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voice-reference-not-data"/>
    <w:p>
      <w:pPr>
        <w:pStyle w:val="Heading1"/>
      </w:pPr>
      <w:r>
        <w:t xml:space="preserve">Voice Reference — NOT data</w:t>
      </w:r>
    </w:p>
    <w:p>
      <w:pPr>
        <w:pStyle w:val="FirstParagraph"/>
      </w:pPr>
      <w:r>
        <w:rPr>
          <w:i/>
          <w:iCs/>
        </w:rPr>
        <w:t xml:space="preserve">Style/tone benchmark for the FinTech Monitor narratives. These are headline excerpts from</w:t>
      </w:r>
      <w:r>
        <w:rPr>
          <w:i/>
          <w:iCs/>
        </w:rPr>
        <w:t xml:space="preserve"> </w:t>
      </w:r>
      <w:r>
        <w:rPr>
          <w:i/>
          <w:iCs/>
        </w:rPr>
        <w:t xml:space="preserve">Gilad Shai’s Insurance &amp; InsurTech Investment Reports. Upload as a source and label it</w:t>
      </w:r>
      <w:r>
        <w:rPr>
          <w:i/>
          <w:iCs/>
        </w:rPr>
        <w:t xml:space="preserve"> </w:t>
      </w:r>
      <w:r>
        <w:rPr>
          <w:i/>
          <w:iCs/>
        </w:rPr>
        <w:t xml:space="preserve">“voice reference — not data”</w:t>
      </w:r>
      <w:r>
        <w:rPr>
          <w:i/>
          <w:iCs/>
        </w:rPr>
        <w:t xml:space="preserve"> </w:t>
      </w:r>
      <w:r>
        <w:rPr>
          <w:i/>
          <w:iCs/>
        </w:rPr>
        <w:t xml:space="preserve">so the model imitates the voice but does NOT treat these as deals.</w:t>
      </w:r>
    </w:p>
    <w:p>
      <w:pPr>
        <w:pStyle w:val="BodyText"/>
      </w:pPr>
      <w:r>
        <w:t xml:space="preserve">The voice: lead with deal count + dollars, then a provocation. Short sentences. Name a trend.</w:t>
      </w:r>
      <w:r>
        <w:t xml:space="preserve"> </w:t>
      </w:r>
      <w:r>
        <w:t xml:space="preserve">End on a forward-looking</w:t>
      </w:r>
      <w:r>
        <w:t xml:space="preserve"> </w:t>
      </w:r>
      <w:r>
        <w:t xml:space="preserve">“so what.”</w:t>
      </w:r>
      <w:r>
        <w:t xml:space="preserve"> </w:t>
      </w:r>
      <w:r>
        <w:t xml:space="preserve">No hype, no filler adjectives.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Week of June 14–20, 2026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Four deals. $44M+. Plus a special situation: PruVen backed an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 marketing AI — and surfaced a trend nobody has named yet. The companies controlling</w:t>
      </w:r>
      <w:r>
        <w:rPr>
          <w:i/>
          <w:iCs/>
        </w:rPr>
        <w:t xml:space="preserve"> </w:t>
      </w:r>
      <w:r>
        <w:rPr>
          <w:i/>
          <w:iCs/>
        </w:rPr>
        <w:t xml:space="preserve">the funnel entrance are building the next underwriting data advantage.</w:t>
      </w:r>
      <w:r>
        <w:t xml:space="preserve"> </w:t>
      </w:r>
      <w:r>
        <w:t xml:space="preserve">Tags: Venture Capital &amp; Growth, Carrier Strategy, AI &amp; Automation</w:t>
      </w:r>
    </w:p>
    <w:p>
      <w:pPr>
        <w:pStyle w:val="BodyText"/>
      </w:pPr>
      <w:r>
        <w:rPr>
          <w:b/>
          <w:bCs/>
        </w:rPr>
        <w:t xml:space="preserve">Week of June 7–13, 2026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Two deals. $1.05B. A satellite company quadrupled in six months</w:t>
      </w:r>
      <w:r>
        <w:rPr>
          <w:i/>
          <w:iCs/>
        </w:rPr>
        <w:t xml:space="preserve"> </w:t>
      </w:r>
      <w:r>
        <w:rPr>
          <w:i/>
          <w:iCs/>
        </w:rPr>
        <w:t xml:space="preserve">because it can see through clouds faster than it can build satellites. OpenAI backed an AI</w:t>
      </w:r>
      <w:r>
        <w:rPr>
          <w:i/>
          <w:iCs/>
        </w:rPr>
        <w:t xml:space="preserve"> </w:t>
      </w:r>
      <w:r>
        <w:rPr>
          <w:i/>
          <w:iCs/>
        </w:rPr>
        <w:t xml:space="preserve">company betting the</w:t>
      </w:r>
      <w:r>
        <w:rPr>
          <w:i/>
          <w:iCs/>
        </w:rPr>
        <w:t xml:space="preserve"> </w:t>
      </w:r>
      <w:r>
        <w:rPr>
          <w:i/>
          <w:iCs/>
        </w:rPr>
        <w:t xml:space="preserve">“autonomous agent”</w:t>
      </w:r>
      <w:r>
        <w:rPr>
          <w:i/>
          <w:iCs/>
        </w:rPr>
        <w:t xml:space="preserve"> </w:t>
      </w:r>
      <w:r>
        <w:rPr>
          <w:i/>
          <w:iCs/>
        </w:rPr>
        <w:t xml:space="preserve">consensus is wrong — and AIG is already proving it right.</w:t>
      </w:r>
      <w:r>
        <w:t xml:space="preserve"> </w:t>
      </w:r>
      <w:r>
        <w:t xml:space="preserve">Tags: Carrier Strategy, InsurTech, Insurance Investment M&amp;A, Venture Capital &amp; Growth</w:t>
      </w:r>
    </w:p>
    <w:p>
      <w:pPr>
        <w:pStyle w:val="BodyText"/>
      </w:pPr>
      <w:r>
        <w:rPr>
          <w:b/>
          <w:bCs/>
        </w:rPr>
        <w:t xml:space="preserve">Week of May 31 – June 6, 2026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Six deals. $3.1B deployed. Bill Ackman built his Berkshire.</w:t>
      </w:r>
      <w:r>
        <w:rPr>
          <w:i/>
          <w:iCs/>
        </w:rPr>
        <w:t xml:space="preserve"> </w:t>
      </w:r>
      <w:r>
        <w:rPr>
          <w:i/>
          <w:iCs/>
        </w:rPr>
        <w:t xml:space="preserve">PayPay bought a life insurer for 74 million users. Abu Dhabi backed insurance software. The world</w:t>
      </w:r>
      <w:r>
        <w:rPr>
          <w:i/>
          <w:iCs/>
        </w:rPr>
        <w:t xml:space="preserve"> </w:t>
      </w:r>
      <w:r>
        <w:rPr>
          <w:i/>
          <w:iCs/>
        </w:rPr>
        <w:t xml:space="preserve">noticed insurance this week.</w:t>
      </w:r>
      <w:r>
        <w:t xml:space="preserve"> </w:t>
      </w:r>
      <w:r>
        <w:t xml:space="preserve">Tags: Venture Capital &amp; Growth, M&amp;A &amp; Strategic Investment, Carrier Strategy, InsurTech</w:t>
      </w:r>
    </w:p>
    <w:p>
      <w:pPr>
        <w:pStyle w:val="BodyText"/>
      </w:pPr>
      <w:r>
        <w:rPr>
          <w:b/>
          <w:bCs/>
        </w:rPr>
        <w:t xml:space="preserve">Week of May 24–30, 2026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Six deals. $1.97B deployed. A Korean insurer made history. An AI</w:t>
      </w:r>
      <w:r>
        <w:rPr>
          <w:i/>
          <w:iCs/>
        </w:rPr>
        <w:t xml:space="preserve"> </w:t>
      </w:r>
      <w:r>
        <w:rPr>
          <w:i/>
          <w:iCs/>
        </w:rPr>
        <w:t xml:space="preserve">carrier turned profitable. Nationwide absorbed $6B in reserves without hiring a single person.</w:t>
      </w:r>
      <w:r>
        <w:t xml:space="preserve"> </w:t>
      </w:r>
      <w:r>
        <w:t xml:space="preserve">Tags: Venture Capital &amp; Growth, Carrier Strategy, M&amp;A &amp; Strategic Investment, InsurTech</w:t>
      </w:r>
    </w:p>
    <w:p>
      <w:pPr>
        <w:pStyle w:val="BodyText"/>
      </w:pPr>
      <w:r>
        <w:rPr>
          <w:b/>
          <w:bCs/>
        </w:rPr>
        <w:t xml:space="preserve">Week of May 17–23, 2026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Four deals. $370M. Satellites, India, and a $99 claims advocate.</w:t>
      </w:r>
      <w:r>
        <w:rPr>
          <w:i/>
          <w:iCs/>
        </w:rPr>
        <w:t xml:space="preserve"> </w:t>
      </w:r>
      <w:r>
        <w:rPr>
          <w:i/>
          <w:iCs/>
        </w:rPr>
        <w:t xml:space="preserve">The carriers building data infrastructure now will define who wins in 2029.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Tip: for an even stronger voice model, also upload 1–2 FULL reports (not just these headlines)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source, so the model learns the body structure, not only the opener.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2026-06-23T01:04:28Z</dcterms:created>
  <dcterms:modified xsi:type="dcterms:W3CDTF">2026-06-23T01:04:28Z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