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tech-monitor"/>
    <w:p>
      <w:pPr>
        <w:pStyle w:val="Heading1"/>
      </w:pPr>
      <w:r>
        <w:t xml:space="preserve">FinTech Monitor</w:t>
      </w:r>
    </w:p>
    <w:bookmarkStart w:id="9" w:name="Xba31c279e0be5e9a925ed95f0c9a3663cbbbbc6"/>
    <w:p>
      <w:pPr>
        <w:pStyle w:val="Heading3"/>
      </w:pPr>
      <w:r>
        <w:t xml:space="preserve">Week ending June 19, 2026 · 14 tracked deals across 8 subsectors</w:t>
      </w:r>
    </w:p>
    <w:p>
      <w:r>
        <w:pict>
          <v:rect style="width:0;height:1.5pt" o:hralign="center" o:hrstd="t" o:hr="t"/>
        </w:pict>
      </w:r>
    </w:p>
    <w:bookmarkEnd w:id="9"/>
    <w:bookmarkStart w:id="10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rPr>
          <w:b/>
          <w:bCs/>
        </w:rPr>
        <w:t xml:space="preserve">14 deals across 8 subsectors. $929M primary / $1,050M M&amp;A / $125M debt. Incumbents are buying capability and data — not market share — and the window for standalone fintechs is narrowing.</w:t>
      </w:r>
    </w:p>
    <w:p>
      <w:pPr>
        <w:pStyle w:val="BodyText"/>
      </w:pPr>
      <w:r>
        <w:rPr>
          <w:b/>
          <w:bCs/>
        </w:rPr>
        <w:t xml:space="preserve">The one read.</w:t>
      </w:r>
      <w:r>
        <w:t xml:space="preserve"> </w:t>
      </w:r>
      <w:r>
        <w:t xml:space="preserve">This was a week of established players reaching into fintech to wire next-generation capability directly into their own stacks — Deluxe into SMB payments, Beyond into real-estate services, ANV into auto-lending, Pollen Street into core banking. The throughline isn’t growth-for-growth’s-sake; it’s incumbents acquiring technology and data assets they can’t build fast enough. The pace suggests a shrinking window before incumbents close their tech gaps and the standalone bid fades.</w:t>
      </w:r>
    </w:p>
    <w:p>
      <w:pPr>
        <w:pStyle w:val="BodyText"/>
      </w:pPr>
      <w:r>
        <w:rPr>
          <w:b/>
          <w:bCs/>
        </w:rPr>
        <w:t xml:space="preserve">The unnamed trend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owning the earliest data touchpoint.</w:t>
      </w:r>
      <w:r>
        <w:t xml:space="preserve"> </w:t>
      </w:r>
      <w:r>
        <w:t xml:space="preserve">The sharpest signal this week sits upstream of the deals themselves. PruVen, an insurance CVC, backed</w:t>
      </w:r>
      <w:r>
        <w:t xml:space="preserve"> </w:t>
      </w:r>
      <w:r>
        <w:rPr>
          <w:b/>
          <w:bCs/>
        </w:rPr>
        <w:t xml:space="preserve">Gradial</w:t>
      </w:r>
      <w:r>
        <w:t xml:space="preserve">, an enterprise-marketing AI — buying influence over the lead-generation funnel. IAG took a strategic stake in</w:t>
      </w:r>
      <w:r>
        <w:t xml:space="preserve"> </w:t>
      </w:r>
      <w:r>
        <w:rPr>
          <w:b/>
          <w:bCs/>
        </w:rPr>
        <w:t xml:space="preserve">Sonder</w:t>
      </w:r>
      <w:r>
        <w:t xml:space="preserve">, a people-risk platform — buying claims-</w:t>
      </w:r>
      <w:r>
        <w:rPr>
          <w:i/>
          <w:iCs/>
        </w:rPr>
        <w:t xml:space="preserve">prevention</w:t>
      </w:r>
      <w:r>
        <w:t xml:space="preserve"> </w:t>
      </w:r>
      <w:r>
        <w:t xml:space="preserve">data. Neither is a classic insurtech bet. Both are wagers that whoever controls the earliest data input owns the downstream decision — underwriting, claims, risk — three years from now. Watch this cross every vertical: the capability being acquired is</w:t>
      </w:r>
      <w:r>
        <w:t xml:space="preserve"> </w:t>
      </w:r>
      <w:r>
        <w:rPr>
          <w:i/>
          <w:iCs/>
        </w:rPr>
        <w:t xml:space="preserve">first-party data positioning</w:t>
      </w:r>
      <w:r>
        <w:t xml:space="preserve">, not product.</w:t>
      </w:r>
    </w:p>
    <w:p>
      <w:pPr>
        <w:pStyle w:val="BodyText"/>
      </w:pPr>
      <w:r>
        <w:rPr>
          <w:b/>
          <w:bCs/>
        </w:rPr>
        <w:t xml:space="preserve">Themes in ≥2 subsectors.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Stablecoin rails are becoming the default cross-border payment infrastructure</w:t>
      </w:r>
      <w:r>
        <w:t xml:space="preserve"> </w:t>
      </w:r>
      <w:r>
        <w:t xml:space="preserve">— Payments (Trace Finance, Flutterwave/Ripple, El Dorado, Range).</w:t>
      </w:r>
      <w:r>
        <w:t xml:space="preserve"> </w:t>
      </w:r>
      <w:r>
        <w:rPr>
          <w:i/>
          <w:iCs/>
        </w:rPr>
        <w:t xml:space="preserve">Emerging.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agents are entering the financial back-office across sectors</w:t>
      </w:r>
      <w:r>
        <w:t xml:space="preserve"> </w:t>
      </w:r>
      <w:r>
        <w:t xml:space="preserve">— Financial Info &amp; Analytics (Behavox), Corporate Financial Function (BIPO), InsurTech (Poetic, Trussed).</w:t>
      </w:r>
      <w:r>
        <w:t xml:space="preserve"> </w:t>
      </w:r>
      <w:r>
        <w:rPr>
          <w:i/>
          <w:iCs/>
        </w:rPr>
        <w:t xml:space="preserve">Building.</w:t>
      </w:r>
    </w:p>
    <w:p>
      <w:pPr>
        <w:pStyle w:val="BodyText"/>
      </w:pPr>
      <w:r>
        <w:rPr>
          <w:b/>
          <w:bCs/>
        </w:rPr>
        <w:t xml:space="preserve">Rotation.</w:t>
      </w:r>
      <w:r>
        <w:t xml:space="preserve"> </w:t>
      </w:r>
      <w:r>
        <w:rPr>
          <w:rStyle w:val="VerbatimChar"/>
        </w:rPr>
        <w:t xml:space="preserve">[Tape: __]</w:t>
      </w:r>
      <w:r>
        <w:t xml:space="preserve"> </w:t>
      </w:r>
      <w:r>
        <w:t xml:space="preserve">— capital rotation vs. the trailing trend cannot be computed until the Excel Tape is live.</w:t>
      </w:r>
    </w:p>
    <w:p>
      <w:r>
        <w:pict>
          <v:rect style="width:0;height:1.5pt" o:hralign="center" o:hrstd="t" o:hr="t"/>
        </w:pict>
      </w:r>
    </w:p>
    <w:bookmarkEnd w:id="10"/>
    <w:bookmarkStart w:id="19" w:name="subsector-briefs"/>
    <w:p>
      <w:pPr>
        <w:pStyle w:val="Heading2"/>
      </w:pPr>
      <w:r>
        <w:t xml:space="preserve">SUBSECTOR BRIEFS</w:t>
      </w:r>
    </w:p>
    <w:bookmarkStart w:id="11" w:name="asset-wealth-tech"/>
    <w:p>
      <w:pPr>
        <w:pStyle w:val="Heading3"/>
      </w:pPr>
      <w:r>
        <w:t xml:space="preserve">Asset &amp; Wealth Tech</w:t>
      </w:r>
    </w:p>
    <w:p>
      <w:pPr>
        <w:pStyle w:val="FirstParagraph"/>
      </w:pPr>
      <w:r>
        <w:rPr>
          <w:b/>
          <w:bCs/>
        </w:rPr>
        <w:t xml:space="preserve">1 deal. $27M primary.</w:t>
      </w:r>
      <w:r>
        <w:t xml:space="preserve"> </w:t>
      </w:r>
      <w:r>
        <w:t xml:space="preserve">Europe’s pension and life insurers are finally moving their core system-of-record off legacy infrastructure. Festina Finance raised ~$27M (Birchway Capital; ~$216M valuation, Netcompany retaining 22%) to scale a cloud-native, modular platform for pensions, life insurance, and financial planning — the system of record, not a front-end skin. The interesting part isn’t the round size; it’s that the most conservative corner of European finance is now treating rip-and-replace as viable.</w:t>
      </w:r>
      <w:r>
        <w:t xml:space="preserve"> </w:t>
      </w:r>
      <w:r>
        <w:rPr>
          <w:i/>
          <w:iCs/>
        </w:rPr>
        <w:t xml:space="preserve">Our bet: by 2029, cloud-native is the default in every new European pension/life platform decision, and the legacy mainframe stacks become the named replacement targets.</w:t>
      </w:r>
    </w:p>
    <w:bookmarkEnd w:id="11"/>
    <w:bookmarkStart w:id="12" w:name="banking-lending-tech"/>
    <w:p>
      <w:pPr>
        <w:pStyle w:val="Heading3"/>
      </w:pPr>
      <w:r>
        <w:t xml:space="preserve">Banking &amp; Lending Tech</w:t>
      </w:r>
    </w:p>
    <w:p>
      <w:pPr>
        <w:pStyle w:val="FirstParagraph"/>
      </w:pPr>
      <w:r>
        <w:rPr>
          <w:b/>
          <w:bCs/>
        </w:rPr>
        <w:t xml:space="preserve">4 deals. $415M primary / $372M+ M&amp;A / $125M debt.</w:t>
      </w:r>
      <w:r>
        <w:t xml:space="preserve"> </w:t>
      </w:r>
      <w:r>
        <w:t xml:space="preserve">Credit is fracturing out of the bank branch and into digital-first channels aimed at the underserved. Karta is issuing WhatsApp-run US credit cards to credit-invisible international travelers ($15M equity + $125M debt), while D360 Bank — Saudi Arabia’s first licensed digital bank — took a $400M capital increase (PIF, Derayah) to push past 3M customers. Underneath the new models, the old infrastructure is being repriced: Open Lending taken private (~$372M, ANV), and Finastra’s Universal Banking unit sold to Pollen Street. New capital for digital-first lending; restructuring for the incumbent rails.</w:t>
      </w:r>
      <w:r>
        <w:t xml:space="preserve"> </w:t>
      </w:r>
      <w:r>
        <w:rPr>
          <w:i/>
          <w:iCs/>
        </w:rPr>
        <w:t xml:space="preserve">Our bet: by 2028 the fastest-growing consumer-credit books won’t sit inside banks at all — they’ll be embedded in messaging, travel, and marketplace apps like Karta’s.</w:t>
      </w:r>
    </w:p>
    <w:bookmarkEnd w:id="12"/>
    <w:bookmarkStart w:id="13" w:name="capital-markets-tech"/>
    <w:p>
      <w:pPr>
        <w:pStyle w:val="Heading3"/>
      </w:pPr>
      <w:r>
        <w:t xml:space="preserve">Capital Markets Tech</w:t>
      </w:r>
    </w:p>
    <w:p>
      <w:pPr>
        <w:pStyle w:val="FirstParagraph"/>
      </w:pPr>
      <w:r>
        <w:rPr>
          <w:b/>
          <w:bCs/>
        </w:rPr>
        <w:t xml:space="preserve">1 deal. $140M+ primary.</w:t>
      </w:r>
      <w:r>
        <w:t xml:space="preserve"> </w:t>
      </w:r>
      <w:r>
        <w:t xml:space="preserve">The operational backbone of private markets is digitizing into specialized software. Chronograph’s $140M+ from Sixth Street funds portfolio monitoring, reporting, and diligence built specifically for private equity and private credit — purpose-built tooling replacing spreadsheets as these markets scale in complexity.</w:t>
      </w:r>
      <w:r>
        <w:t xml:space="preserve"> </w:t>
      </w:r>
      <w:r>
        <w:rPr>
          <w:i/>
          <w:iCs/>
        </w:rPr>
        <w:t xml:space="preserve">Our bet: by 2028, an in-house monitoring stack is a competitive liability for any private-credit manager above ~$1B AUM; specialized platforms become table stakes.</w:t>
      </w:r>
    </w:p>
    <w:bookmarkEnd w:id="13"/>
    <w:bookmarkStart w:id="14" w:name="corporate-financial-function"/>
    <w:p>
      <w:pPr>
        <w:pStyle w:val="Heading3"/>
      </w:pPr>
      <w:r>
        <w:t xml:space="preserve">Corporate Financial Function</w:t>
      </w:r>
    </w:p>
    <w:p>
      <w:pPr>
        <w:pStyle w:val="FirstParagraph"/>
      </w:pPr>
      <w:r>
        <w:rPr>
          <w:b/>
          <w:bCs/>
        </w:rPr>
        <w:t xml:space="preserve">2 deals. $57M primary.</w:t>
      </w:r>
      <w:r>
        <w:t xml:space="preserve"> </w:t>
      </w:r>
      <w:r>
        <w:t xml:space="preserve">The CFO stack is unbundling into the vertical. BIPO raised $50M to extend global payroll, HR, and embedded workforce-finance across 170+ markets, while SubBase ($7M) brings procure-to-pay and AP automation purpose-built for construction. The pattern: financial operations embedded inside the industry platform rather than bought as standalone tools.</w:t>
      </w:r>
      <w:r>
        <w:t xml:space="preserve"> </w:t>
      </w:r>
      <w:r>
        <w:rPr>
          <w:i/>
          <w:iCs/>
        </w:rPr>
        <w:t xml:space="preserve">Our bet: by 2029, payroll, spend, and procurement are increasingly purchased inside the vertical SaaS that runs the business — construction, healthcare, logistics — not as horizontal point solutions.</w:t>
      </w:r>
    </w:p>
    <w:bookmarkEnd w:id="14"/>
    <w:bookmarkStart w:id="15" w:name="financial-info-analytics"/>
    <w:p>
      <w:pPr>
        <w:pStyle w:val="Heading3"/>
      </w:pPr>
      <w:r>
        <w:t xml:space="preserve">Financial Info &amp; Analytics</w:t>
      </w:r>
    </w:p>
    <w:p>
      <w:pPr>
        <w:pStyle w:val="FirstParagraph"/>
      </w:pPr>
      <w:r>
        <w:rPr>
          <w:b/>
          <w:bCs/>
        </w:rPr>
        <w:t xml:space="preserve">2 deals. $187.5M primary.</w:t>
      </w:r>
      <w:r>
        <w:t xml:space="preserve"> </w:t>
      </w:r>
      <w:r>
        <w:t xml:space="preserve">AI is becoming the core of compliance and risk, not a bolt-on. Behavox raised $175M (HPS) for an AI-native platform unifying communications surveillance for banks and asset managers; Flagright added $12.5M for AI-led AML at fintechs and banks. The shift is from reactive, rule-based systems to proactive, intelligent oversight.</w:t>
      </w:r>
      <w:r>
        <w:t xml:space="preserve"> </w:t>
      </w:r>
      <w:r>
        <w:rPr>
          <w:i/>
          <w:iCs/>
        </w:rPr>
        <w:t xml:space="preserve">Our bet: by 2029, rule-based surveillance is a legacy liability — Tier-1 compliance stacks are AI-native, and the laggards become the enforcement headlines.</w:t>
      </w:r>
    </w:p>
    <w:bookmarkEnd w:id="15"/>
    <w:bookmarkStart w:id="16" w:name="insurtech"/>
    <w:p>
      <w:pPr>
        <w:pStyle w:val="Heading3"/>
      </w:pPr>
      <w:r>
        <w:t xml:space="preserve">InsurTech</w:t>
      </w:r>
    </w:p>
    <w:p>
      <w:pPr>
        <w:pStyle w:val="FirstParagraph"/>
      </w:pPr>
      <w:r>
        <w:rPr>
          <w:b/>
          <w:bCs/>
        </w:rPr>
        <w:t xml:space="preserve">4 deals. ~$44.6M primary. Plus a special situation.</w:t>
      </w:r>
      <w:r>
        <w:t xml:space="preserve"> </w:t>
      </w:r>
      <w:r>
        <w:t xml:space="preserve">The signal isn’t the money. Connie Health raised $40M (HealthQuest) and spent it the same day closing its 10th acquisition — a Medicare book from Clearlink. This isn’t a company; it’s a roll-up wearing a Series B. Underneath, the back office kept getting wired — Braven ($4.6M) automating delegated-authority ops for MGAs, Trussed (Nassau) building the AI-governance layer carriers need first. But the deal that should worry incumbents wasn’t an insurtech at all: PruVen, an insurance CVC, backed</w:t>
      </w:r>
      <w:r>
        <w:t xml:space="preserve"> </w:t>
      </w:r>
      <w:r>
        <w:rPr>
          <w:b/>
          <w:bCs/>
        </w:rPr>
        <w:t xml:space="preserve">Gradial</w:t>
      </w:r>
      <w:r>
        <w:t xml:space="preserve">, a marketing AI. Insurance money is buying the funnel entrance.</w:t>
      </w:r>
      <w:r>
        <w:t xml:space="preserve"> </w:t>
      </w:r>
      <w:r>
        <w:rPr>
          <w:i/>
          <w:iCs/>
        </w:rPr>
        <w:t xml:space="preserve">Our bet: by 2029, at least one of the top five global carriers will have acquired a marketing or lead-gen AI platform specifically for its first-party data.</w:t>
      </w:r>
    </w:p>
    <w:bookmarkEnd w:id="16"/>
    <w:bookmarkStart w:id="17" w:name="payments"/>
    <w:p>
      <w:pPr>
        <w:pStyle w:val="Heading3"/>
      </w:pPr>
      <w:r>
        <w:t xml:space="preserve">Payments</w:t>
      </w:r>
    </w:p>
    <w:p>
      <w:pPr>
        <w:pStyle w:val="FirstParagraph"/>
      </w:pPr>
      <w:r>
        <w:rPr>
          <w:b/>
          <w:bCs/>
        </w:rPr>
        <w:t xml:space="preserve">6 deals. ~$99M primary (one undisclosed) / $625M M&amp;A.</w:t>
      </w:r>
      <w:r>
        <w:t xml:space="preserve"> </w:t>
      </w:r>
      <w:r>
        <w:t xml:space="preserve">Three raises and a $625M exit — and stablecoins quietly became the story. Deluxe paid ~$625M for Celero to buy into SMB processing. But the structural shift is in the rails: Flutterwave’s Series E (~$3.2B) arrived with Ripple wiring RLUSD into its African corridors, and Trace Finance ($32M, CoinFund) is building the regulated stablecoin-settlement layer between the US and Brazil — with El Dorado ($9M) and Range ($8.3M) pushing the same thesis in LatAm and Europe. Four of the week’s payments deals touched stablecoin infrastructure; one was a card-processing rollup.</w:t>
      </w:r>
      <w:r>
        <w:t xml:space="preserve"> </w:t>
      </w:r>
      <w:r>
        <w:rPr>
          <w:i/>
          <w:iCs/>
        </w:rPr>
        <w:t xml:space="preserve">Our bet: by 2027, every Tier-1 cross-border processor has shipped a stablecoin-settlement product or bought one.</w:t>
      </w:r>
    </w:p>
    <w:bookmarkEnd w:id="17"/>
    <w:bookmarkStart w:id="18" w:name="real-estate-mortgage-tech"/>
    <w:p>
      <w:pPr>
        <w:pStyle w:val="Heading3"/>
      </w:pPr>
      <w:r>
        <w:t xml:space="preserve">Real Estate &amp; Mortgage Tech</w:t>
      </w:r>
    </w:p>
    <w:p>
      <w:pPr>
        <w:pStyle w:val="FirstParagraph"/>
      </w:pPr>
      <w:r>
        <w:rPr>
          <w:b/>
          <w:bCs/>
        </w:rPr>
        <w:t xml:space="preserve">1 deal. $53M M&amp;A.</w:t>
      </w:r>
      <w:r>
        <w:t xml:space="preserve"> </w:t>
      </w:r>
      <w:r>
        <w:t xml:space="preserve">The line between consumer brands and real-estate services is blurring. Beyond (owner of the Bed Bath &amp; Beyond brand) acquired Fathom Holdings for ~$53M — a tech-driven platform spanning brokerage, mortgage, title, and agent SaaS — a retail brand reaching directly into transaction-adjacent services.</w:t>
      </w:r>
      <w:r>
        <w:t xml:space="preserve"> </w:t>
      </w:r>
      <w:r>
        <w:rPr>
          <w:i/>
          <w:iCs/>
        </w:rPr>
        <w:t xml:space="preserve">Our bet: by 2028, at least three major non-real-estate consumer brands launch or acquire comprehensive real-estate platforms to capture transaction-adjacent revenue.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0dee893296d695454232e15803fb82e4f70d66"/>
    <w:p>
      <w:pPr>
        <w:pStyle w:val="Heading2"/>
      </w:pPr>
      <w:r>
        <w:t xml:space="preserve">MASTER THESIS LEDGER — end of week ending June 19,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Subsector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is moving into insurance operations / back-office, not just distribution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Poetic; Trussed AI; Braven</w:t>
            </w:r>
          </w:p>
        </w:tc>
        <w:tc>
          <w:tcPr/>
          <w:p>
            <w:pPr>
              <w:pStyle w:val="Compact"/>
            </w:pPr>
            <w:r>
              <w:t xml:space="preserve">Jun-12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AI-native agencies are rolling up distribution books with primary capital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Connie Health ($40M + 10th acq.)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funnel entrance is the next underwriting-data advantage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PruVen / Gradial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Stablecoin rails are becoming default cross-border payment infrastructure</w:t>
            </w:r>
          </w:p>
        </w:tc>
        <w:tc>
          <w:tcPr/>
          <w:p>
            <w:pPr>
              <w:pStyle w:val="Compact"/>
            </w:pPr>
            <w: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Trace; Flutterwave/Ripple; El Dorado; Range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agents are entering the financial back-office across sectors</w:t>
            </w:r>
          </w:p>
        </w:tc>
        <w:tc>
          <w:tcPr/>
          <w:p>
            <w:pPr>
              <w:pStyle w:val="Compact"/>
            </w:pPr>
            <w: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Behavox; BIPO; Poetic; Flagright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Incumbents are acquiring the earliest data touchpoint for downstream advantage</w:t>
            </w:r>
          </w:p>
        </w:tc>
        <w:tc>
          <w:tcPr/>
          <w:p>
            <w:pPr>
              <w:pStyle w:val="Compact"/>
            </w:pPr>
            <w: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Gradial/PruVen; Sonder/IAG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European institutions are migrating core system-of-record to cloud-native</w:t>
            </w:r>
          </w:p>
        </w:tc>
        <w:tc>
          <w:tcPr/>
          <w:p>
            <w:pPr>
              <w:pStyle w:val="Compact"/>
            </w:pPr>
            <w:r>
              <w:t xml:space="preserve">Asset &amp; Wealth Tech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Festina Finance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Digital-first platforms are serving niche / underserved credit segments</w:t>
            </w:r>
          </w:p>
        </w:tc>
        <w:tc>
          <w:tcPr/>
          <w:p>
            <w:pPr>
              <w:pStyle w:val="Compact"/>
            </w:pPr>
            <w:r>
              <w:t xml:space="preserve">Banking &amp; Lending Tech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D360 Bank; Karta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Private-markets operations are digitizing onto specialized vendors</w:t>
            </w:r>
          </w:p>
        </w:tc>
        <w:tc>
          <w:tcPr/>
          <w:p>
            <w:pPr>
              <w:pStyle w:val="Compact"/>
            </w:pPr>
            <w:r>
              <w:t xml:space="preserve">Capital Markets Tech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Chronograph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CFO functions are embedding into vertical SaaS</w:t>
            </w:r>
          </w:p>
        </w:tc>
        <w:tc>
          <w:tcPr/>
          <w:p>
            <w:pPr>
              <w:pStyle w:val="Compact"/>
            </w:pPr>
            <w:r>
              <w:t xml:space="preserve">Corporate Financial Function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BIPO; SubBase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AI-native platforms are becoming the compliance / risk standard</w:t>
            </w:r>
          </w:p>
        </w:tc>
        <w:tc>
          <w:tcPr/>
          <w:p>
            <w:pPr>
              <w:pStyle w:val="Compact"/>
            </w:pPr>
            <w:r>
              <w:t xml:space="preserve">Financial Info &amp; Analytics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Behavox; Flagright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Consumer brands are acquiring real-estate tech for integrated services</w:t>
            </w:r>
          </w:p>
        </w:tc>
        <w:tc>
          <w:tcPr/>
          <w:p>
            <w:pPr>
              <w:pStyle w:val="Compact"/>
            </w:pPr>
            <w:r>
              <w:t xml:space="preserve">Real Estate &amp; Mortgage Tech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Fathom / Beyond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  <w:tc>
          <w:tcPr/>
          <w:p>
            <w:pPr>
              <w:pStyle w:val="Compact"/>
            </w:pPr>
            <w:r>
              <w:t xml:space="preserve">Jun-19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quantitative claims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[Tape: __]</w:t>
      </w:r>
      <w:r>
        <w:rPr>
          <w:i/>
          <w:iCs/>
        </w:rPr>
        <w:t xml:space="preserve"> </w:t>
      </w:r>
      <w:r>
        <w:rPr>
          <w:i/>
          <w:iCs/>
        </w:rPr>
        <w:t xml:space="preserve">populate once the Excel Tape is live. Forward</w:t>
      </w:r>
      <w:r>
        <w:rPr>
          <w:i/>
          <w:iCs/>
        </w:rPr>
        <w:t xml:space="preserve"> </w:t>
      </w:r>
      <w:r>
        <w:rPr>
          <w:i/>
          <w:iCs/>
        </w:rPr>
        <w:t xml:space="preserve">“bets”</w:t>
      </w:r>
      <w:r>
        <w:rPr>
          <w:i/>
          <w:iCs/>
        </w:rPr>
        <w:t xml:space="preserve"> </w:t>
      </w:r>
      <w:r>
        <w:rPr>
          <w:i/>
          <w:iCs/>
        </w:rPr>
        <w:t xml:space="preserve">are forecasts, not facts.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2026-06-23T15:07:36Z</dcterms:created>
  <dcterms:modified xsi:type="dcterms:W3CDTF">2026-06-23T15:07:36Z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