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ntech-monitor-master-thesis-ledger"/>
    <w:p>
      <w:pPr>
        <w:pStyle w:val="Heading1"/>
      </w:pPr>
      <w:r>
        <w:t xml:space="preserve">FinTech Monitor — Master Thesis Ledger</w:t>
      </w:r>
    </w:p>
    <w:p>
      <w:pPr>
        <w:pStyle w:val="FirstParagraph"/>
      </w:pPr>
      <w:r>
        <w:rPr>
          <w:i/>
          <w:iCs/>
        </w:rPr>
        <w:t xml:space="preserve">The living</w:t>
      </w:r>
      <w:r>
        <w:rPr>
          <w:i/>
          <w:iCs/>
        </w:rPr>
        <w:t xml:space="preserve"> </w:t>
      </w:r>
      <w:r>
        <w:rPr>
          <w:i/>
          <w:iCs/>
        </w:rPr>
        <w:t xml:space="preserve">“income statement.”</w:t>
      </w:r>
      <w:r>
        <w:rPr>
          <w:i/>
          <w:iCs/>
        </w:rPr>
        <w:t xml:space="preserve"> </w:t>
      </w:r>
      <w:r>
        <w:rPr>
          <w:i/>
          <w:iCs/>
        </w:rPr>
        <w:t xml:space="preserve">One row per thesis, across all subsectors plus Cross-Sector.</w:t>
      </w:r>
      <w:r>
        <w:rPr>
          <w:i/>
          <w:iCs/>
        </w:rPr>
        <w:t xml:space="preserve"> </w:t>
      </w:r>
      <w:r>
        <w:rPr>
          <w:i/>
          <w:iCs/>
        </w:rPr>
        <w:t xml:space="preserve">Each weekly run reads this, scores new deals against it, and writes the update back here.</w:t>
      </w:r>
      <w:r>
        <w:rPr>
          <w:i/>
          <w:iCs/>
        </w:rPr>
        <w:t xml:space="preserve"> </w:t>
      </w:r>
      <w:r>
        <w:rPr>
          <w:i/>
          <w:iCs/>
        </w:rPr>
        <w:t xml:space="preserve">Lightly seeded below from the deals we’ve already processed — clear the rows if you’d rather</w:t>
      </w:r>
      <w:r>
        <w:rPr>
          <w:i/>
          <w:iCs/>
        </w:rPr>
        <w:t xml:space="preserve"> </w:t>
      </w:r>
      <w:r>
        <w:rPr>
          <w:i/>
          <w:iCs/>
        </w:rPr>
        <w:t xml:space="preserve">start fully empty.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Thesis</w:t>
            </w:r>
          </w:p>
        </w:tc>
        <w:tc>
          <w:tcPr/>
          <w:p>
            <w:pPr>
              <w:pStyle w:val="Compact"/>
            </w:pPr>
            <w:r>
              <w:t xml:space="preserve">Subsector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Conf.</w:t>
            </w:r>
          </w:p>
        </w:tc>
        <w:tc>
          <w:tcPr/>
          <w:p>
            <w:pPr>
              <w:pStyle w:val="Compact"/>
            </w:pPr>
            <w:r>
              <w:t xml:space="preserve">Evidence For</w:t>
            </w:r>
          </w:p>
        </w:tc>
        <w:tc>
          <w:tcPr/>
          <w:p>
            <w:pPr>
              <w:pStyle w:val="Compact"/>
            </w:pPr>
            <w:r>
              <w:t xml:space="preserve">Evidence Against</w:t>
            </w:r>
          </w:p>
        </w:tc>
        <w:tc>
          <w:tcPr/>
          <w:p>
            <w:pPr>
              <w:pStyle w:val="Compact"/>
            </w:pPr>
            <w:r>
              <w:t xml:space="preserve">First seen</w:t>
            </w:r>
          </w:p>
        </w:tc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Client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is moving into insurance</w:t>
            </w:r>
            <w:r>
              <w:t xml:space="preserve"> </w:t>
            </w:r>
            <w:r>
              <w:rPr>
                <w:b/>
                <w:bCs/>
              </w:rPr>
              <w:t xml:space="preserve">operations / back-office</w:t>
            </w:r>
            <w:r>
              <w:t xml:space="preserve">, not just distribution</w:t>
            </w:r>
          </w:p>
        </w:tc>
        <w:tc>
          <w:tcPr/>
          <w:p>
            <w:pPr>
              <w:pStyle w:val="Compact"/>
            </w:pPr>
            <w:r>
              <w:t xml:space="preserve">InsurTech</w:t>
            </w:r>
          </w:p>
        </w:tc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Med-High</w:t>
            </w:r>
          </w:p>
        </w:tc>
        <w:tc>
          <w:tcPr/>
          <w:p>
            <w:pPr>
              <w:pStyle w:val="Compact"/>
            </w:pPr>
            <w:r>
              <w:t xml:space="preserve">Poetic ($50M, Jun 10); Trussed AI (Nassau, Jun 17); Braven ($4.6M, Jun 16)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Jun-12 wk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Source AI-ops &amp; governance targets to carriers/MGAs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AI-native agencies are rolling up distribution books</w:t>
            </w:r>
            <w:r>
              <w:t xml:space="preserve"> </w:t>
            </w:r>
            <w:r>
              <w:t xml:space="preserve">with primary capital</w:t>
            </w:r>
          </w:p>
        </w:tc>
        <w:tc>
          <w:tcPr/>
          <w:p>
            <w:pPr>
              <w:pStyle w:val="Compact"/>
            </w:pPr>
            <w:r>
              <w:t xml:space="preserve">InsurTech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Connie Health ($40M B + 10th acquisition, Jun 18)</w:t>
            </w:r>
          </w:p>
        </w:tc>
        <w:tc>
          <w:tcPr/>
          <w:p>
            <w:pPr>
              <w:pStyle w:val="Compact"/>
            </w:pPr>
            <w:r>
              <w:t xml:space="preserve">single name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Map sub-scale Medicare books; pitch roll-up adjacencies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funnel entrance is the next underwriting-data advantage</w:t>
            </w:r>
          </w:p>
        </w:tc>
        <w:tc>
          <w:tcPr/>
          <w:p>
            <w:pPr>
              <w:pStyle w:val="Compact"/>
            </w:pPr>
            <w:r>
              <w:t xml:space="preserve">InsurTech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PruVen in Gradial ($65M marketing AI, Jun 18)</w:t>
            </w:r>
          </w:p>
        </w:tc>
        <w:tc>
          <w:tcPr/>
          <w:p>
            <w:pPr>
              <w:pStyle w:val="Compact"/>
            </w:pPr>
            <w:r>
              <w:t xml:space="preserve">1 datapoint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Watch carrier/CVC bets on first-party intent &amp; content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Stablecoin rails are becoming default cross-border payment infrastructure</w:t>
            </w:r>
          </w:p>
        </w:tc>
        <w:tc>
          <w:tcPr/>
          <w:p>
            <w:pPr>
              <w:pStyle w:val="Compact"/>
            </w:pPr>
            <w:r>
              <w:t xml:space="preserve">Cross-Sector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Trace Finance ($32M, Jun 17); Flutterwave/Ripple RLUSD (Jun 16)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Pitch stablecoin-infra targets to networks &amp; acquirers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agents are entering the financial back-office across sectors</w:t>
            </w:r>
          </w:p>
        </w:tc>
        <w:tc>
          <w:tcPr/>
          <w:p>
            <w:pPr>
              <w:pStyle w:val="Compact"/>
            </w:pPr>
            <w:r>
              <w:t xml:space="preserve">Cross-Sector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Poetic (insurance); Behavox (compliance); BIPO (payroll agentic workflows)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Jun-19 wk</w:t>
            </w:r>
          </w:p>
        </w:tc>
        <w:tc>
          <w:tcPr/>
          <w:p>
            <w:pPr>
              <w:pStyle w:val="Compact"/>
            </w:pPr>
            <w:r>
              <w:t xml:space="preserve">Broad origination theme — agentic-ops targets in every vertical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legend:</w:t>
      </w:r>
      <w:r>
        <w:t xml:space="preserve"> </w:t>
      </w:r>
      <w:r>
        <w:t xml:space="preserve">Watch (1 datapoint) → Emerging → Building → Consensus → Breaking.</w:t>
      </w:r>
      <w:r>
        <w:t xml:space="preserve"> </w:t>
      </w:r>
      <w:r>
        <w:rPr>
          <w:b/>
          <w:bCs/>
        </w:rPr>
        <w:t xml:space="preserve">Subsector values:</w:t>
      </w:r>
      <w:r>
        <w:t xml:space="preserve"> </w:t>
      </w:r>
      <w:r>
        <w:t xml:space="preserve">the 8 coverage sectors, or</w:t>
      </w:r>
      <w:r>
        <w:t xml:space="preserve"> </w:t>
      </w:r>
      <w:r>
        <w:rPr>
          <w:rStyle w:val="VerbatimChar"/>
        </w:rPr>
        <w:t xml:space="preserve">Cross-Sector</w:t>
      </w:r>
      <w:r>
        <w:t xml:space="preserve"> </w:t>
      </w:r>
      <w:r>
        <w:t xml:space="preserve">(owned by the synthesis run).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2026-06-23T01:04:28Z</dcterms:created>
  <dcterms:modified xsi:type="dcterms:W3CDTF">2026-06-23T01:04:28Z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