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518c1de3ad86ef45c8b075e36b4bce2a32c293"/>
    <w:p>
      <w:pPr>
        <w:pStyle w:val="Heading1"/>
      </w:pPr>
      <w:r>
        <w:t xml:space="preserve">Starter Kit — FinTech Capital Markets Monitor</w:t>
      </w:r>
    </w:p>
    <w:bookmarkStart w:id="9" w:name="X33fd6df91bd175959aee90dfdaa8d71fa33b2a1"/>
    <w:p>
      <w:pPr>
        <w:pStyle w:val="Heading3"/>
      </w:pPr>
      <w:r>
        <w:t xml:space="preserve">Tailored to the actual Precedents + Public Comps schemas · Excel(OneDrive) → NotebookLM → Agent Builder</w:t>
      </w:r>
    </w:p>
    <w:p>
      <w:pPr>
        <w:pStyle w:val="FirstParagraph"/>
      </w:pPr>
      <w:r>
        <w:t xml:space="preserve">The golden rule again:</w:t>
      </w:r>
      <w:r>
        <w:t xml:space="preserve"> </w:t>
      </w:r>
      <w:r>
        <w:rPr>
          <w:b/>
          <w:bCs/>
        </w:rPr>
        <w:t xml:space="preserve">exact math in Excel (where the data already lives); language in</w:t>
      </w:r>
      <w:r>
        <w:rPr>
          <w:b/>
          <w:bCs/>
        </w:rPr>
        <w:t xml:space="preserve"> </w:t>
      </w:r>
      <w:r>
        <w:rPr>
          <w:b/>
          <w:bCs/>
        </w:rPr>
        <w:t xml:space="preserve">NotebookLM/Gemini; only finished summaries cross into Google.</w:t>
      </w:r>
    </w:p>
    <w:p>
      <w:r>
        <w:pict>
          <v:rect style="width:0;height:1.5pt" o:hralign="center" o:hrstd="t" o:hr="t"/>
        </w:pict>
      </w:r>
    </w:p>
    <w:bookmarkEnd w:id="9"/>
    <w:bookmarkStart w:id="13" w:name="part-a-data-layer-excel-on-onedrive"/>
    <w:p>
      <w:pPr>
        <w:pStyle w:val="Heading2"/>
      </w:pPr>
      <w:r>
        <w:t xml:space="preserve">PART A — Data layer (Excel on OneDrive)</w:t>
      </w:r>
    </w:p>
    <w:bookmarkStart w:id="10" w:name="X8b8222287b809809f48b9a030dfdc3e87dbbc32"/>
    <w:p>
      <w:pPr>
        <w:pStyle w:val="Heading3"/>
      </w:pPr>
      <w:r>
        <w:t xml:space="preserve">A1. Deals master — already done, two small additions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All M&amp;A (PE &amp; Strategic)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Growth Capital Raises</w:t>
      </w:r>
      <w:r>
        <w:t xml:space="preserve"> </w:t>
      </w:r>
      <w:r>
        <w:t xml:space="preserve">tabs are the master deal DB and</w:t>
      </w:r>
      <w:r>
        <w:t xml:space="preserve"> </w:t>
      </w:r>
      <w:r>
        <w:t xml:space="preserve">already use the right schema. Add a few helper columns (cheap, high-leverage):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column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=YEAR(Date)&amp;"-Q"&amp;ROUNDUP(MONTH(Date)/3,0)</w:t>
            </w:r>
            <w:r>
              <w:t xml:space="preserve"> </w:t>
            </w:r>
            <w:r>
              <w:t xml:space="preserve">— the time axis for every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Seed/A/B/C… (parse from description) — enables the stage-mix and</w:t>
            </w:r>
            <w:r>
              <w:t xml:space="preserve"> </w:t>
            </w:r>
            <w:r>
              <w:t xml:space="preserve">“aging-raiser”</w:t>
            </w:r>
            <w:r>
              <w:t xml:space="preserve"> </w:t>
            </w:r>
            <w:r>
              <w:t xml:space="preserve">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Investor/Acquirer (norm)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one clean name per firm — enables the Board leaderboard (e.g.,</w:t>
            </w:r>
            <w:r>
              <w:t xml:space="preserve"> </w:t>
            </w:r>
            <w:r>
              <w:t xml:space="preserve">“a16z crypto”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“Andreessen Horowitz”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 Tags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controlled vocab (e.g.,</w:t>
            </w:r>
            <w:r>
              <w:t xml:space="preserve"> </w:t>
            </w:r>
            <w:r>
              <w:rPr>
                <w:rStyle w:val="VerbatimChar"/>
              </w:rPr>
              <w:t xml:space="preserve">stablecoin-rails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agentic-AI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embedded-insurance</w:t>
            </w:r>
            <w:r>
              <w:t xml:space="preserve">) — enables theme tracking</w:t>
            </w:r>
          </w:p>
        </w:tc>
      </w:tr>
    </w:tbl>
    <w:p>
      <w:pPr>
        <w:pStyle w:val="BodyText"/>
      </w:pPr>
      <w:r>
        <w:t xml:space="preserve">Then build</w:t>
      </w:r>
      <w:r>
        <w:t xml:space="preserve"> </w:t>
      </w:r>
      <w:r>
        <w:rPr>
          <w:rStyle w:val="VerbatimChar"/>
          <w:b/>
          <w:bCs/>
        </w:rPr>
        <w:t xml:space="preserve">Deals_All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Power Query</w:t>
      </w:r>
      <w:r>
        <w:t xml:space="preserve"> </w:t>
      </w:r>
      <w:r>
        <w:t xml:space="preserve">(Data → Get Data → combine the two tabs):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DealType</w:t>
      </w:r>
      <w:r>
        <w:t xml:space="preserve"> </w:t>
      </w:r>
      <w:r>
        <w:t xml:space="preserve">=</w:t>
      </w:r>
      <w:r>
        <w:t xml:space="preserve"> </w:t>
      </w:r>
      <w:r>
        <w:t xml:space="preserve">“M&amp;A”</w:t>
      </w:r>
      <w:r>
        <w:t xml:space="preserve"> </w:t>
      </w:r>
      <w:r>
        <w:t xml:space="preserve">/</w:t>
      </w:r>
      <w:r>
        <w:t xml:space="preserve"> </w:t>
      </w:r>
      <w:r>
        <w:t xml:space="preserve">“Raise”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Capital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EV ($M)</w:t>
      </w:r>
      <w:r>
        <w:t xml:space="preserve"> </w:t>
      </w:r>
      <w:r>
        <w:t xml:space="preserve">for M&amp;A rows /</w:t>
      </w:r>
      <w:r>
        <w:t xml:space="preserve"> </w:t>
      </w:r>
      <w:r>
        <w:rPr>
          <w:rStyle w:val="VerbatimChar"/>
        </w:rPr>
        <w:t xml:space="preserve">Amount ($M)</w:t>
      </w:r>
      <w:r>
        <w:t xml:space="preserve"> </w:t>
      </w:r>
      <w:r>
        <w:t xml:space="preserve">for</w:t>
      </w:r>
      <w:r>
        <w:t xml:space="preserve"> </w:t>
      </w:r>
      <w:r>
        <w:t xml:space="preserve">raises. One refreshable union table = the source for The Tape. (Power Query so it re-refreshes</w:t>
      </w:r>
      <w:r>
        <w:t xml:space="preserve"> </w:t>
      </w:r>
      <w:r>
        <w:t xml:space="preserve">each week with no rework.)</w:t>
      </w:r>
    </w:p>
    <w:bookmarkEnd w:id="10"/>
    <w:bookmarkStart w:id="11" w:name="a2.-comps-history-the-real-build"/>
    <w:p>
      <w:pPr>
        <w:pStyle w:val="Heading3"/>
      </w:pPr>
      <w:r>
        <w:t xml:space="preserve">A2. Comps history — the real build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Consolidate</w:t>
      </w:r>
      <w:r>
        <w:t xml:space="preserve"> </w:t>
      </w:r>
      <w:r>
        <w:t xml:space="preserve">every historical CapIQ version into one long table</w:t>
      </w:r>
      <w:r>
        <w:t xml:space="preserve"> </w:t>
      </w:r>
      <w:r>
        <w:rPr>
          <w:rStyle w:val="VerbatimChar"/>
          <w:b/>
          <w:bCs/>
        </w:rPr>
        <w:t xml:space="preserve">Comps_History</w:t>
      </w:r>
      <w:r>
        <w:t xml:space="preserve"> </w:t>
      </w:r>
      <w:r>
        <w:t xml:space="preserve">—</w:t>
      </w:r>
      <w:r>
        <w:t xml:space="preserve"> </w:t>
      </w:r>
      <w:r>
        <w:t xml:space="preserve">one row per company</w:t>
      </w:r>
      <w:r>
        <w:t xml:space="preserve"> </w:t>
      </w:r>
      <w:r>
        <w:rPr>
          <w:i/>
          <w:iCs/>
        </w:rPr>
        <w:t xml:space="preserve">per snapshot</w:t>
      </w:r>
      <w:r>
        <w:t xml:space="preserve">, with an added</w:t>
      </w:r>
      <w:r>
        <w:t xml:space="preserve"> </w:t>
      </w:r>
      <w:r>
        <w:rPr>
          <w:rStyle w:val="VerbatimChar"/>
          <w:b/>
          <w:bCs/>
        </w:rPr>
        <w:t xml:space="preserve">As-Of Date</w:t>
      </w:r>
      <w:r>
        <w:t xml:space="preserve"> </w:t>
      </w:r>
      <w:r>
        <w:t xml:space="preserve">column. (Power Query</w:t>
      </w:r>
      <w:r>
        <w:t xml:space="preserve"> </w:t>
      </w:r>
      <w:r>
        <w:t xml:space="preserve">“append/merge folder”</w:t>
      </w:r>
      <w:r>
        <w:t xml:space="preserve"> </w:t>
      </w:r>
      <w:r>
        <w:t xml:space="preserve">can stack them automatically if the files share a layout.)</w:t>
      </w:r>
    </w:p>
    <w:p>
      <w:pPr>
        <w:numPr>
          <w:ilvl w:val="0"/>
          <w:numId w:val="1001"/>
        </w:numPr>
      </w:pPr>
      <w:r>
        <w:t xml:space="preserve">Add a</w:t>
      </w:r>
      <w:r>
        <w:t xml:space="preserve"> </w:t>
      </w:r>
      <w:r>
        <w:rPr>
          <w:rStyle w:val="VerbatimChar"/>
          <w:b/>
          <w:bCs/>
        </w:rPr>
        <w:t xml:space="preserve">Subsector</w:t>
      </w:r>
      <w:r>
        <w:rPr>
          <w:b/>
          <w:bCs/>
        </w:rPr>
        <w:t xml:space="preserve"> </w:t>
      </w:r>
      <w:r>
        <w:rPr>
          <w:b/>
          <w:bCs/>
        </w:rPr>
        <w:t xml:space="preserve">map tab</w:t>
      </w:r>
      <w:r>
        <w:t xml:space="preserve">:</w:t>
      </w:r>
      <w:r>
        <w:t xml:space="preserve"> </w:t>
      </w:r>
      <w:r>
        <w:rPr>
          <w:rStyle w:val="VerbatimChar"/>
        </w:rPr>
        <w:t xml:space="preserve">Ticker → Subsector</w:t>
      </w:r>
      <w:r>
        <w:t xml:space="preserve"> </w:t>
      </w:r>
      <w:r>
        <w:t xml:space="preserve">(your 8). VLOOKUP it into</w:t>
      </w:r>
      <w:r>
        <w:t xml:space="preserve"> </w:t>
      </w:r>
      <w:r>
        <w:rPr>
          <w:rStyle w:val="VerbatimChar"/>
        </w:rPr>
        <w:t xml:space="preserve">Comps_History</w:t>
      </w:r>
      <w:r>
        <w:t xml:space="preserve">.</w:t>
      </w:r>
      <w:r>
        <w:t xml:space="preserve"> </w:t>
      </w:r>
      <w:r>
        <w:rPr>
          <w:i/>
          <w:iCs/>
        </w:rPr>
        <w:t xml:space="preserve">Without this, none of the public-multiple trends are possible.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Compute your own constant-horizon multiple — do NOT trend the pre-built EV/Rev CY2025–27</w:t>
      </w:r>
      <w:r>
        <w:rPr>
          <w:b/>
          <w:bCs/>
        </w:rPr>
        <w:t xml:space="preserve"> </w:t>
      </w:r>
      <w:r>
        <w:rPr>
          <w:b/>
          <w:bCs/>
        </w:rPr>
        <w:t xml:space="preserve">columns.</w:t>
      </w:r>
      <w:r>
        <w:t xml:space="preserve"> </w:t>
      </w:r>
      <w:r>
        <w:t xml:space="preserve">Their calendar years are hardcoded, so across snapshots their horizon drifts</w:t>
      </w:r>
      <w:r>
        <w:t xml:space="preserve"> </w:t>
      </w:r>
      <w:r>
        <w:t xml:space="preserve">(3-yr-fwd at a 2022 as-of, 1-yr-fwd at a 2026 as-of). Instead, since your Revenue and EBITDA</w:t>
      </w:r>
      <w:r>
        <w:t xml:space="preserve"> </w:t>
      </w:r>
      <w:r>
        <w:t xml:space="preserve">columns span CY2022–CY2027, divide each snapshot’s EV by the</w:t>
      </w:r>
      <w:r>
        <w:t xml:space="preserve"> </w:t>
      </w:r>
      <w:r>
        <w:rPr>
          <w:b/>
          <w:bCs/>
        </w:rPr>
        <w:t xml:space="preserve">next-year (CY+1)</w:t>
      </w:r>
      <w:r>
        <w:t xml:space="preserve"> </w:t>
      </w:r>
      <w:r>
        <w:t xml:space="preserve">figure</w:t>
      </w:r>
      <w:r>
        <w:t xml:space="preserve"> </w:t>
      </w:r>
      <w:r>
        <w:t xml:space="preserve">relative to its own D3: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FwdRev        = INDEX(Rev_CY2022:Rev_CY2027,    MATCH(YEAR([@AsOf])+1, RevYearHeaders, 0))</w:t>
      </w:r>
      <w:r>
        <w:br/>
      </w:r>
      <w:r>
        <w:rPr>
          <w:rStyle w:val="VerbatimChar"/>
        </w:rPr>
        <w:t xml:space="preserve">FwdEBITDA     = INDEX(EBITDA_CY2022:EBITDA_CY2027, MATCH(YEAR([@AsOf])+1, EBITDAYearHeaders, 0))</w:t>
      </w:r>
      <w:r>
        <w:br/>
      </w:r>
      <w:r>
        <w:rPr>
          <w:rStyle w:val="VerbatimChar"/>
        </w:rPr>
        <w:t xml:space="preserve">Fwd_EV_Rev    = [@Enterprise Value] / FwdRev</w:t>
      </w:r>
      <w:r>
        <w:br/>
      </w:r>
      <w:r>
        <w:rPr>
          <w:rStyle w:val="VerbatimChar"/>
        </w:rPr>
        <w:t xml:space="preserve">Fwd_EV_EBITDA = [@Enterprise Value] / FwdEBITDA</w:t>
      </w:r>
    </w:p>
    <w:p>
      <w:pPr>
        <w:numPr>
          <w:ilvl w:val="0"/>
          <w:numId w:val="1000"/>
        </w:numPr>
      </w:pPr>
      <w:r>
        <w:t xml:space="preserve">Because the source figures are act-or-est</w:t>
      </w:r>
      <w:r>
        <w:t xml:space="preserve"> </w:t>
      </w:r>
      <w:r>
        <w:rPr>
          <w:i/>
          <w:iCs/>
        </w:rPr>
        <w:t xml:space="preserve">as of D3</w:t>
      </w:r>
      <w:r>
        <w:t xml:space="preserve">, this is automatically point-in-time</w:t>
      </w:r>
      <w:r>
        <w:t xml:space="preserve"> </w:t>
      </w:r>
      <w:r>
        <w:t xml:space="preserve">with no look-ahead bias, and constant-horizon for every snapshot (as-of year ≤ 2026).</w:t>
      </w:r>
    </w:p>
    <w:bookmarkEnd w:id="11"/>
    <w:bookmarkStart w:id="12" w:name="Xc7218e921bd6dd63fa648b861c260fff7a1ebfe"/>
    <w:p>
      <w:pPr>
        <w:pStyle w:val="Heading3"/>
      </w:pPr>
      <w:r>
        <w:t xml:space="preserve">A3. CapIQ backfill protocol (do this once, early)</w:t>
      </w:r>
    </w:p>
    <w:p>
      <w:pPr>
        <w:pStyle w:val="FirstParagraph"/>
      </w:pPr>
      <w:r>
        <w:t xml:space="preserve">In the CapIQ plugin, step the as-of date to each</w:t>
      </w:r>
      <w:r>
        <w:t xml:space="preserve"> </w:t>
      </w:r>
      <w:r>
        <w:rPr>
          <w:b/>
          <w:bCs/>
        </w:rPr>
        <w:t xml:space="preserve">quarter-end from 31-Mar-2022 → present</w:t>
      </w:r>
      <w:r>
        <w:t xml:space="preserve"> </w:t>
      </w:r>
      <w:r>
        <w:t xml:space="preserve">(~18 pulls), saving each as a snapshot into</w:t>
      </w:r>
      <w:r>
        <w:t xml:space="preserve"> </w:t>
      </w:r>
      <w:r>
        <w:rPr>
          <w:rStyle w:val="VerbatimChar"/>
        </w:rPr>
        <w:t xml:space="preserve">Comps_History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As-Of Date</w:t>
      </w:r>
      <w:r>
        <w:t xml:space="preserve">. Result:</w:t>
      </w:r>
      <w:r>
        <w:t xml:space="preserve"> </w:t>
      </w:r>
      <w:r>
        <w:t xml:space="preserve">~4 years of subsector multiple history immediately — the spine of the whole product.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art-b-the-tape-excel-recipes"/>
    <w:p>
      <w:pPr>
        <w:pStyle w:val="Heading2"/>
      </w:pPr>
      <w:r>
        <w:t xml:space="preserve">PART B — The Tape (Excel recipes)</w:t>
      </w:r>
    </w:p>
    <w:p>
      <w:pPr>
        <w:pStyle w:val="FirstParagraph"/>
      </w:pPr>
      <w:r>
        <w:t xml:space="preserve">All of these read</w:t>
      </w:r>
      <w:r>
        <w:t xml:space="preserve"> </w:t>
      </w:r>
      <w:r>
        <w:rPr>
          <w:rStyle w:val="VerbatimChar"/>
        </w:rPr>
        <w:t xml:space="preserve">Deals_All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Comps_History</w:t>
      </w:r>
      <w:r>
        <w:t xml:space="preserve">. Use</w:t>
      </w:r>
      <w:r>
        <w:t xml:space="preserve"> </w:t>
      </w:r>
      <w:r>
        <w:rPr>
          <w:b/>
          <w:bCs/>
        </w:rPr>
        <w:t xml:space="preserve">Excel 365 dynamic arrays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FILTER</w:t>
      </w:r>
      <w:r>
        <w:t xml:space="preserve">/</w:t>
      </w:r>
      <w:r>
        <w:rPr>
          <w:rStyle w:val="VerbatimChar"/>
        </w:rPr>
        <w:t xml:space="preserve">MEDIAN</w:t>
      </w:r>
      <w:r>
        <w:t xml:space="preserve">) so no Power Pivot is required. Define named ranges first.</w:t>
      </w:r>
    </w:p>
    <w:p>
      <w:pPr>
        <w:pStyle w:val="BodyText"/>
      </w:pPr>
      <w:r>
        <w:rPr>
          <w:b/>
          <w:bCs/>
        </w:rPr>
        <w:t xml:space="preserve">B1 · Sector Rotation</w:t>
      </w:r>
      <w:r>
        <w:t xml:space="preserve"> </w:t>
      </w:r>
      <w:r>
        <w:t xml:space="preserve">(PivotTable on</w:t>
      </w:r>
      <w:r>
        <w:t xml:space="preserve"> </w:t>
      </w:r>
      <w:r>
        <w:rPr>
          <w:rStyle w:val="VerbatimChar"/>
        </w:rPr>
        <w:t xml:space="preserve">Deals_All</w:t>
      </w:r>
      <w:r>
        <w:t xml:space="preserve">)</w:t>
      </w:r>
      <w:r>
        <w:t xml:space="preserve"> </w:t>
      </w:r>
      <w:r>
        <w:t xml:space="preserve">- Rows:</w:t>
      </w:r>
      <w:r>
        <w:t xml:space="preserve"> </w:t>
      </w:r>
      <w:r>
        <w:rPr>
          <w:rStyle w:val="VerbatimChar"/>
        </w:rPr>
        <w:t xml:space="preserve">Sector</w:t>
      </w:r>
      <w:r>
        <w:t xml:space="preserve"> </w:t>
      </w:r>
      <w:r>
        <w:t xml:space="preserve">· Columns:</w:t>
      </w:r>
      <w:r>
        <w:t xml:space="preserve"> </w:t>
      </w:r>
      <w:r>
        <w:rPr>
          <w:rStyle w:val="VerbatimChar"/>
        </w:rPr>
        <w:t xml:space="preserve">Quarter</w:t>
      </w:r>
      <w:r>
        <w:t xml:space="preserve"> </w:t>
      </w:r>
      <w:r>
        <w:t xml:space="preserve">· Values:</w:t>
      </w:r>
      <w:r>
        <w:t xml:space="preserve"> </w:t>
      </w:r>
      <w:r>
        <w:rPr>
          <w:rStyle w:val="VerbatimChar"/>
        </w:rPr>
        <w:t xml:space="preserve">Sum of Capital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 of Target</w:t>
      </w:r>
      <w:r>
        <w:t xml:space="preserve">.</w:t>
      </w:r>
      <w:r>
        <w:t xml:space="preserve"> </w:t>
      </w:r>
      <w:r>
        <w:t xml:space="preserve">- Add a second pivot split by</w:t>
      </w:r>
      <w:r>
        <w:t xml:space="preserve"> </w:t>
      </w:r>
      <w:r>
        <w:rPr>
          <w:rStyle w:val="VerbatimChar"/>
        </w:rPr>
        <w:t xml:space="preserve">DealType</w:t>
      </w:r>
      <w:r>
        <w:t xml:space="preserve"> </w:t>
      </w:r>
      <w:r>
        <w:t xml:space="preserve">to see M&amp;A vs. primary capital separately.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Read:</w:t>
      </w:r>
      <w:r>
        <w:t xml:space="preserve"> </w:t>
      </w:r>
      <w:r>
        <w:t xml:space="preserve">where $ and deal-count are entering/leaving each subsector over time.</w:t>
      </w:r>
    </w:p>
    <w:p>
      <w:pPr>
        <w:pStyle w:val="BodyText"/>
      </w:pPr>
      <w:r>
        <w:rPr>
          <w:b/>
          <w:bCs/>
        </w:rPr>
        <w:t xml:space="preserve">B2 · Private multiples over time</w:t>
      </w:r>
      <w:r>
        <w:t xml:space="preserve"> </w:t>
      </w:r>
      <w:r>
        <w:t xml:space="preserve">(sparse — disclosed deals only)</w:t>
      </w:r>
    </w:p>
    <w:p>
      <w:pPr>
        <w:pStyle w:val="SourceCode"/>
      </w:pPr>
      <w:r>
        <w:rPr>
          <w:rStyle w:val="VerbatimChar"/>
        </w:rPr>
        <w:t xml:space="preserve">=IFERROR(MEDIAN(FILTER(MA_EVRev,(MA_Sector=$A2)*(YEAR(MA_Date)=B$1)*(MA_EVRev&lt;&gt;""))),"")</w:t>
      </w:r>
    </w:p>
    <w:p>
      <w:pPr>
        <w:pStyle w:val="FirstParagraph"/>
      </w:pPr>
      <w:r>
        <w:t xml:space="preserve">Grid: rows = Sector, cols = Year. (EV/Rev is blank on most deals, so treat private points as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overlay</w:t>
      </w:r>
      <w:r>
        <w:t xml:space="preserve">, not a dense series.)</w:t>
      </w:r>
    </w:p>
    <w:p>
      <w:pPr>
        <w:pStyle w:val="BodyText"/>
      </w:pPr>
      <w:r>
        <w:rPr>
          <w:b/>
          <w:bCs/>
        </w:rPr>
        <w:t xml:space="preserve">B3 · Public multiples over time</w:t>
      </w:r>
      <w:r>
        <w:t xml:space="preserve"> </w:t>
      </w:r>
      <w:r>
        <w:t xml:space="preserve">(dense — the star series)</w:t>
      </w:r>
      <w:r>
        <w:t xml:space="preserve"> </w:t>
      </w:r>
      <w:r>
        <w:t xml:space="preserve">Trend the</w:t>
      </w:r>
      <w:r>
        <w:t xml:space="preserve"> </w:t>
      </w:r>
      <w:r>
        <w:rPr>
          <w:b/>
          <w:bCs/>
        </w:rPr>
        <w:t xml:space="preserve">self-computed</w:t>
      </w:r>
      <w:r>
        <w:t xml:space="preserve"> </w:t>
      </w:r>
      <w:r>
        <w:rPr>
          <w:rStyle w:val="VerbatimChar"/>
        </w:rPr>
        <w:t xml:space="preserve">Fwd_EV_Rev</w:t>
      </w:r>
      <w:r>
        <w:t xml:space="preserve"> </w:t>
      </w:r>
      <w:r>
        <w:t xml:space="preserve">from A2.3 (not the hardcoded CY columns), median by</w:t>
      </w:r>
      <w:r>
        <w:t xml:space="preserve"> </w:t>
      </w:r>
      <w:r>
        <w:t xml:space="preserve">Subsector × As-Of Date:</w:t>
      </w:r>
    </w:p>
    <w:p>
      <w:pPr>
        <w:pStyle w:val="SourceCode"/>
      </w:pPr>
      <w:r>
        <w:rPr>
          <w:rStyle w:val="VerbatimChar"/>
        </w:rPr>
        <w:t xml:space="preserve">=IFERROR(MEDIAN(FILTER(C_FwdEVRev,(C_Subsector=$A2)*(C_AsOf=B$1)*(C_FwdEVRev&lt;&gt;""))),"")</w:t>
      </w:r>
    </w:p>
    <w:p>
      <w:pPr>
        <w:pStyle w:val="FirstParagraph"/>
      </w:pPr>
      <w:r>
        <w:t xml:space="preserve">Grid: rows = Subsector, cols =</w:t>
      </w:r>
      <w:r>
        <w:t xml:space="preserve"> </w:t>
      </w:r>
      <w:r>
        <w:rPr>
          <w:rStyle w:val="VerbatimChar"/>
        </w:rPr>
        <w:t xml:space="preserve">As-Of Date</w:t>
      </w:r>
      <w:r>
        <w:t xml:space="preserve">. Repeat for</w:t>
      </w:r>
      <w:r>
        <w:t xml:space="preserve"> </w:t>
      </w:r>
      <w:r>
        <w:rPr>
          <w:rStyle w:val="VerbatimChar"/>
        </w:rPr>
        <w:t xml:space="preserve">Fwd_EV_EBITDA</w:t>
      </w:r>
      <w:r>
        <w:t xml:space="preserve">; add 25th/75th-pctile</w:t>
      </w:r>
      <w:r>
        <w:t xml:space="preserve"> </w:t>
      </w:r>
      <w:r>
        <w:t xml:space="preserve">rows via</w:t>
      </w:r>
      <w:r>
        <w:t xml:space="preserve"> </w:t>
      </w:r>
      <w:r>
        <w:rPr>
          <w:rStyle w:val="VerbatimChar"/>
        </w:rPr>
        <w:t xml:space="preserve">PERCENTILE(FILTER(...),0.25/0.75)</w:t>
      </w:r>
      <w:r>
        <w:t xml:space="preserve"> </w:t>
      </w:r>
      <w:r>
        <w:t xml:space="preserve">to plot a band, not just the median.</w:t>
      </w:r>
      <w:r>
        <w:t xml:space="preserve"> </w:t>
      </w:r>
      <w:r>
        <w:rPr>
          <w:i/>
          <w:iCs/>
        </w:rPr>
        <w:t xml:space="preserve">(The pre-built EV/Rev CY2025–27 columns are still correct for the current cross-section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just not for trending.)</w:t>
      </w:r>
    </w:p>
    <w:p>
      <w:pPr>
        <w:pStyle w:val="BodyText"/>
      </w:pPr>
      <w:r>
        <w:rPr>
          <w:b/>
          <w:bCs/>
        </w:rPr>
        <w:t xml:space="preserve">B4 · Private–Public Spread</w:t>
      </w:r>
      <w:r>
        <w:t xml:space="preserve"> </w:t>
      </w:r>
      <w:r>
        <w:t xml:space="preserve">(flagship metric)</w:t>
      </w:r>
      <w:r>
        <w:t xml:space="preserve"> </w:t>
      </w:r>
      <w:r>
        <w:t xml:space="preserve">For each Sector × period:</w:t>
      </w:r>
      <w:r>
        <w:t xml:space="preserve"> </w:t>
      </w:r>
      <w:r>
        <w:rPr>
          <w:rStyle w:val="VerbatimChar"/>
        </w:rPr>
        <w:t xml:space="preserve">private median EV/Rev (B2) − public median EV/Rev (B3)</w:t>
      </w:r>
      <w:r>
        <w:t xml:space="preserve">.</w:t>
      </w:r>
      <w:r>
        <w:t xml:space="preserve"> </w:t>
      </w:r>
      <w:r>
        <w:t xml:space="preserve">- Positive/widening → private marks running hot (late-cycle; down-round risk ahead).</w:t>
      </w:r>
      <w:r>
        <w:t xml:space="preserve"> </w:t>
      </w:r>
      <w:r>
        <w:t xml:space="preserve">- Negative → public trades above last private marks (expect take-privates / structured rounds).</w:t>
      </w:r>
    </w:p>
    <w:p>
      <w:pPr>
        <w:pStyle w:val="BodyText"/>
      </w:pPr>
      <w:r>
        <w:rPr>
          <w:b/>
          <w:bCs/>
        </w:rPr>
        <w:t xml:space="preserve">B5 · Quality &amp; sentiment overlays</w:t>
      </w:r>
      <w:r>
        <w:t xml:space="preserve"> </w:t>
      </w:r>
      <w:r>
        <w:t xml:space="preserve">(from comps KPIs)</w:t>
      </w:r>
      <w:r>
        <w:t xml:space="preserve"> </w:t>
      </w:r>
      <w:r>
        <w:t xml:space="preserve">- Median</w:t>
      </w:r>
      <w:r>
        <w:t xml:space="preserve"> </w:t>
      </w:r>
      <w:r>
        <w:rPr>
          <w:b/>
          <w:bCs/>
        </w:rPr>
        <w:t xml:space="preserve">Rule of 40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YoY Revenue Growth</w:t>
      </w:r>
      <w:r>
        <w:t xml:space="preserve"> </w:t>
      </w:r>
      <w:r>
        <w:t xml:space="preserve">by Subsector by As-Of Date (the columns are</w:t>
      </w:r>
      <w:r>
        <w:t xml:space="preserve"> </w:t>
      </w:r>
      <w:r>
        <w:t xml:space="preserve">already in the comps tab) → is the re-rating earned by fundamentals or just multiple?</w:t>
      </w:r>
      <w:r>
        <w:t xml:space="preserve"> </w:t>
      </w:r>
      <w:r>
        <w:t xml:space="preserve">- Decompose value change =</w:t>
      </w:r>
      <w:r>
        <w:t xml:space="preserve"> </w:t>
      </w:r>
      <w:r>
        <w:rPr>
          <w:i/>
          <w:iCs/>
        </w:rPr>
        <w:t xml:space="preserve">multiple Δ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estimate Δ</w:t>
      </w:r>
      <w:r>
        <w:t xml:space="preserve"> </w:t>
      </w:r>
      <w:r>
        <w:t xml:space="preserve">across snapshots (the valuation bridge).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a one-page</w:t>
      </w:r>
      <w:r>
        <w:t xml:space="preserve"> </w:t>
      </w:r>
      <w:r>
        <w:rPr>
          <w:b/>
          <w:bCs/>
        </w:rPr>
        <w:t xml:space="preserve">“Tape Summary”</w:t>
      </w:r>
      <w:r>
        <w:t xml:space="preserve"> </w:t>
      </w:r>
      <w:r>
        <w:t xml:space="preserve">(the B1/B3/B4 tables + 2–3 charts). Export to</w:t>
      </w:r>
      <w:r>
        <w:t xml:space="preserve"> </w:t>
      </w:r>
      <w:r>
        <w:rPr>
          <w:b/>
          <w:bCs/>
        </w:rPr>
        <w:t xml:space="preserve">PDF</w:t>
      </w:r>
      <w:r>
        <w:rPr>
          <w:b/>
          <w:bCs/>
        </w:rPr>
        <w:t xml:space="preserve"> </w:t>
      </w:r>
      <w:r>
        <w:rPr>
          <w:b/>
          <w:bCs/>
        </w:rPr>
        <w:t xml:space="preserve">each cycle</w:t>
      </w:r>
      <w:r>
        <w:t xml:space="preserve"> </w:t>
      </w:r>
      <w:r>
        <w:t xml:space="preserve">— this is the only quantitative artifact that crosses into NotebookLM.</w:t>
      </w:r>
    </w:p>
    <w:p>
      <w:r>
        <w:pict>
          <v:rect style="width:0;height:1.5pt" o:hralign="center" o:hrstd="t" o:hr="t"/>
        </w:pict>
      </w:r>
    </w:p>
    <w:bookmarkEnd w:id="14"/>
    <w:bookmarkStart w:id="19" w:name="part-c-the-narrative-notebooklm"/>
    <w:p>
      <w:pPr>
        <w:pStyle w:val="Heading2"/>
      </w:pPr>
      <w:r>
        <w:t xml:space="preserve">PART C — The Narrative (NotebookLM)</w:t>
      </w:r>
    </w:p>
    <w:bookmarkStart w:id="15" w:name="c1-notebook-sources"/>
    <w:p>
      <w:pPr>
        <w:pStyle w:val="Heading3"/>
      </w:pPr>
      <w:r>
        <w:t xml:space="preserve">C1 · Notebook &amp; sources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b/>
          <w:bCs/>
        </w:rPr>
        <w:t xml:space="preserve">master notebook</w:t>
      </w:r>
      <w:r>
        <w:t xml:space="preserve">. Sources to upload (convert Excel/Word → PDF or Google Doc first):</w:t>
      </w:r>
      <w:r>
        <w:t xml:space="preserve"> </w:t>
      </w:r>
      <w:r>
        <w:t xml:space="preserve">- every</w:t>
      </w:r>
      <w:r>
        <w:t xml:space="preserve"> </w:t>
      </w:r>
      <w:r>
        <w:rPr>
          <w:b/>
          <w:bCs/>
        </w:rPr>
        <w:t xml:space="preserve">weekly deal log</w:t>
      </w:r>
      <w:r>
        <w:t xml:space="preserve"> </w:t>
      </w:r>
      <w:r>
        <w:t xml:space="preserve">(the workbooks we build),</w:t>
      </w:r>
      <w:r>
        <w:t xml:space="preserve"> </w:t>
      </w:r>
      <w:r>
        <w:t xml:space="preserve">- the latest</w:t>
      </w:r>
      <w:r>
        <w:t xml:space="preserve"> </w:t>
      </w:r>
      <w:r>
        <w:rPr>
          <w:b/>
          <w:bCs/>
        </w:rPr>
        <w:t xml:space="preserve">Tape Summary PDF</w:t>
      </w:r>
      <w:r>
        <w:t xml:space="preserve">,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Thesis Ledger</w:t>
      </w:r>
      <w:r>
        <w:t xml:space="preserve"> </w:t>
      </w:r>
      <w:r>
        <w:t xml:space="preserve">doc,</w:t>
      </w:r>
      <w:r>
        <w:t xml:space="preserve"> </w:t>
      </w:r>
      <w:r>
        <w:t xml:space="preserve">- prior</w:t>
      </w:r>
      <w:r>
        <w:t xml:space="preserve"> </w:t>
      </w:r>
      <w:r>
        <w:rPr>
          <w:b/>
          <w:bCs/>
        </w:rPr>
        <w:t xml:space="preserve">weekly reports</w:t>
      </w:r>
      <w:r>
        <w:t xml:space="preserve"> </w:t>
      </w:r>
      <w:r>
        <w:t xml:space="preserve">(so it speaks in continuity).</w:t>
      </w:r>
      <w:r>
        <w:t xml:space="preserve"> </w:t>
      </w:r>
      <w:r>
        <w:t xml:space="preserve">If a subsector gets noisy, spin a focused child notebook for it.</w:t>
      </w:r>
    </w:p>
    <w:bookmarkEnd w:id="15"/>
    <w:bookmarkStart w:id="16" w:name="X830529490a9d049d56a5ee651ca1fe025155e0e"/>
    <w:p>
      <w:pPr>
        <w:pStyle w:val="Heading3"/>
      </w:pPr>
      <w:r>
        <w:t xml:space="preserve">C2 · Standing weekly prompt (paste this each week, after adding the week’s sources)</w:t>
      </w:r>
    </w:p>
    <w:p>
      <w:pPr>
        <w:pStyle w:val="SourceCode"/>
      </w:pPr>
      <w:r>
        <w:rPr>
          <w:rStyle w:val="VerbatimChar"/>
        </w:rPr>
        <w:t xml:space="preserve">You are the senior analyst for our FinTech coverage group. Sources: this week's deal log,</w:t>
      </w:r>
      <w:r>
        <w:br/>
      </w:r>
      <w:r>
        <w:rPr>
          <w:rStyle w:val="VerbatimChar"/>
        </w:rPr>
        <w:t xml:space="preserve">the current Tape Summary, the Thesis Ledger, and all prior weekly reports.</w:t>
      </w:r>
      <w:r>
        <w:br/>
      </w:r>
      <w:r>
        <w:br/>
      </w:r>
      <w:r>
        <w:rPr>
          <w:rStyle w:val="VerbatimChar"/>
        </w:rPr>
        <w:t xml:space="preserve">1. THESIS LEDGER UPDATE. For every open thesis, classify this week's deals as CONFIRMS /</w:t>
      </w:r>
      <w:r>
        <w:br/>
      </w:r>
      <w:r>
        <w:rPr>
          <w:rStyle w:val="VerbatimChar"/>
        </w:rPr>
        <w:t xml:space="preserve">   CONTRADICTS / NEUTRAL, cite the specific deal(s), and adjust the confidence. Propose any</w:t>
      </w:r>
      <w:r>
        <w:br/>
      </w:r>
      <w:r>
        <w:rPr>
          <w:rStyle w:val="VerbatimChar"/>
        </w:rPr>
        <w:t xml:space="preserve">   NEW thesis only if ≥2 datapoints support it. Output the revised ledger table.</w:t>
      </w:r>
      <w:r>
        <w:br/>
      </w:r>
      <w:r>
        <w:rPr>
          <w:rStyle w:val="VerbatimChar"/>
        </w:rPr>
        <w:t xml:space="preserve">2. SUBSECTOR NARRATIVES. For each subsector with activity, 2–4 sentences: what happened, how</w:t>
      </w:r>
      <w:r>
        <w:br/>
      </w:r>
      <w:r>
        <w:rPr>
          <w:rStyle w:val="VerbatimChar"/>
        </w:rPr>
        <w:t xml:space="preserve">   it fits the trailing trend (cite a Tape number), and the "so what" for clients.</w:t>
      </w:r>
      <w:r>
        <w:br/>
      </w:r>
      <w:r>
        <w:rPr>
          <w:rStyle w:val="VerbatimChar"/>
        </w:rPr>
        <w:t xml:space="preserve">3. SYNTHESIS. One cross-sector read. Explicitly name any theme appearing in ≥2 subsectors</w:t>
      </w:r>
      <w:r>
        <w:br/>
      </w:r>
      <w:r>
        <w:rPr>
          <w:rStyle w:val="VerbatimChar"/>
        </w:rPr>
        <w:t xml:space="preserve">   that has not yet been named. Anchor every quantitative claim to the Tape Summary; never</w:t>
      </w:r>
      <w:r>
        <w:br/>
      </w:r>
      <w:r>
        <w:rPr>
          <w:rStyle w:val="VerbatimChar"/>
        </w:rPr>
        <w:t xml:space="preserve">   estimate a multiple yourself. Cite sources for every claim.</w:t>
      </w:r>
    </w:p>
    <w:bookmarkEnd w:id="16"/>
    <w:bookmarkStart w:id="17" w:name="X9a3b9852a5fdb7fed711a48e066d12bd210555e"/>
    <w:p>
      <w:pPr>
        <w:pStyle w:val="Heading3"/>
      </w:pPr>
      <w:r>
        <w:t xml:space="preserve">C3 · Thesis Ledger template (one living Google Doc / Word file)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Subsector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Evidence For</w:t>
            </w:r>
          </w:p>
        </w:tc>
        <w:tc>
          <w:tcPr/>
          <w:p>
            <w:pPr>
              <w:pStyle w:val="Compact"/>
            </w:pPr>
            <w:r>
              <w:t xml:space="preserve">Evidence Against</w:t>
            </w:r>
          </w:p>
        </w:tc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Client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“Stablecoin rails are becoming table-stakes payments infra”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Trace, Flutterwave/Ripple…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Jun-26</w:t>
            </w:r>
          </w:p>
        </w:tc>
        <w:tc>
          <w:tcPr/>
          <w:p>
            <w:pPr>
              <w:pStyle w:val="Compact"/>
            </w:pPr>
            <w:r>
              <w:t xml:space="preserve">Jun-26</w:t>
            </w:r>
          </w:p>
        </w:tc>
        <w:tc>
          <w:tcPr/>
          <w:p>
            <w:pPr>
              <w:pStyle w:val="Compact"/>
            </w:pPr>
            <w:r>
              <w:t xml:space="preserve">Pitch infra targets to acquirers</w:t>
            </w:r>
          </w:p>
        </w:tc>
      </w:tr>
    </w:tbl>
    <w:bookmarkEnd w:id="17"/>
    <w:bookmarkStart w:id="18" w:name="Xa9d72ce9fe2fb8238a4b1eb63ce50d0d553d2ee"/>
    <w:p>
      <w:pPr>
        <w:pStyle w:val="Heading3"/>
      </w:pPr>
      <w:r>
        <w:t xml:space="preserve">C4 · Weekly report template (house voice, modeled on the benchmark)</w:t>
      </w:r>
    </w:p>
    <w:p>
      <w:pPr>
        <w:pStyle w:val="SourceCode"/>
      </w:pPr>
      <w:r>
        <w:rPr>
          <w:rStyle w:val="VerbatimChar"/>
        </w:rPr>
        <w:t xml:space="preserve">[Subsector] Investment Report — Week of [dates]</w:t>
      </w:r>
      <w:r>
        <w:br/>
      </w:r>
      <w:r>
        <w:rPr>
          <w:rStyle w:val="VerbatimChar"/>
        </w:rPr>
        <w:t xml:space="preserve">[N] deals. $[X] deployed. [One-line hook — the surprising signal / the trend nobody named.]</w:t>
      </w:r>
      <w:r>
        <w:br/>
      </w:r>
      <w:r>
        <w:br/>
      </w:r>
      <w:r>
        <w:rPr>
          <w:rStyle w:val="VerbatimChar"/>
        </w:rPr>
        <w:t xml:space="preserve">— Thesis in focus: [named thesis + status change this week]</w:t>
      </w:r>
      <w:r>
        <w:br/>
      </w:r>
      <w:r>
        <w:rPr>
          <w:rStyle w:val="VerbatimChar"/>
        </w:rPr>
        <w:t xml:space="preserve">— The deals: [each deal, one line, with the angle not the press release]</w:t>
      </w:r>
      <w:r>
        <w:br/>
      </w:r>
      <w:r>
        <w:rPr>
          <w:rStyle w:val="VerbatimChar"/>
        </w:rPr>
        <w:t xml:space="preserve">— What it means: [the forward read, anchored to a Tape number]</w:t>
      </w:r>
      <w:r>
        <w:br/>
      </w:r>
      <w:r>
        <w:rPr>
          <w:rStyle w:val="VerbatimChar"/>
        </w:rPr>
        <w:t xml:space="preserve">Tags: [coverage tags]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99400a6227cc39749788d4bceaa1978b682c1ac"/>
    <w:p>
      <w:pPr>
        <w:pStyle w:val="Heading2"/>
      </w:pPr>
      <w:r>
        <w:t xml:space="preserve">PART D — Gemini report-writer persona (Gem or saved prompt)</w:t>
      </w:r>
    </w:p>
    <w:p>
      <w:pPr>
        <w:pStyle w:val="SourceCode"/>
      </w:pPr>
      <w:r>
        <w:rPr>
          <w:rStyle w:val="VerbatimChar"/>
        </w:rPr>
        <w:t xml:space="preserve">You write FinTech deal commentary in a terse, thesis-driven, senior-banker voice. Lead with</w:t>
      </w:r>
      <w:r>
        <w:br/>
      </w:r>
      <w:r>
        <w:rPr>
          <w:rStyle w:val="VerbatimChar"/>
        </w:rPr>
        <w:t xml:space="preserve">a number and a provocation. No hype, no adjectives without evidence. Every claim ties to a</w:t>
      </w:r>
      <w:r>
        <w:br/>
      </w:r>
      <w:r>
        <w:rPr>
          <w:rStyle w:val="VerbatimChar"/>
        </w:rPr>
        <w:t xml:space="preserve">deal or a provided figure. You never compute multiples — you are given them. Output matches</w:t>
      </w:r>
      <w:r>
        <w:br/>
      </w:r>
      <w:r>
        <w:rPr>
          <w:rStyle w:val="VerbatimChar"/>
        </w:rPr>
        <w:t xml:space="preserve">the weekly report template exactly.</w:t>
      </w:r>
    </w:p>
    <w:p>
      <w:pPr>
        <w:pStyle w:val="FirstParagraph"/>
      </w:pPr>
      <w:r>
        <w:t xml:space="preserve">Use Gemini to polish/format the NotebookLM draft and to spin alternate formats (email blast,</w:t>
      </w:r>
      <w:r>
        <w:t xml:space="preserve"> </w:t>
      </w:r>
      <w:r>
        <w:t xml:space="preserve">MD one-pager). Keep the</w:t>
      </w:r>
      <w:r>
        <w:t xml:space="preserve"> </w:t>
      </w:r>
      <w:r>
        <w:rPr>
          <w:i/>
          <w:iCs/>
        </w:rPr>
        <w:t xml:space="preserve">grounded</w:t>
      </w:r>
      <w:r>
        <w:t xml:space="preserve"> </w:t>
      </w:r>
      <w:r>
        <w:t xml:space="preserve">work in NotebookLM.</w:t>
      </w:r>
    </w:p>
    <w:p>
      <w:r>
        <w:pict>
          <v:rect style="width:0;height:1.5pt" o:hralign="center" o:hrstd="t" o:hr="t"/>
        </w:pict>
      </w:r>
    </w:p>
    <w:bookmarkEnd w:id="20"/>
    <w:bookmarkStart w:id="21" w:name="part-e-phase-3-agent-builder-later"/>
    <w:p>
      <w:pPr>
        <w:pStyle w:val="Heading2"/>
      </w:pPr>
      <w:r>
        <w:t xml:space="preserve">PART E — Phase 3: Agent Builder (later)</w:t>
      </w:r>
    </w:p>
    <w:p>
      <w:pPr>
        <w:pStyle w:val="FirstParagraph"/>
      </w:pPr>
      <w:r>
        <w:t xml:space="preserve">Export</w:t>
      </w:r>
      <w:r>
        <w:t xml:space="preserve"> </w:t>
      </w:r>
      <w:r>
        <w:rPr>
          <w:rStyle w:val="VerbatimChar"/>
        </w:rPr>
        <w:t xml:space="preserve">Deals_All</w:t>
      </w:r>
      <w:r>
        <w:t xml:space="preserve"> </w:t>
      </w:r>
      <w:r>
        <w:t xml:space="preserve">→ CSV/JSONL → upload to a Cloud Storage bucket → build a Vertex Agent</w:t>
      </w:r>
      <w:r>
        <w:t xml:space="preserve"> </w:t>
      </w:r>
      <w:r>
        <w:t xml:space="preserve">Builder</w:t>
      </w:r>
      <w:r>
        <w:t xml:space="preserve"> </w:t>
      </w:r>
      <w:r>
        <w:rPr>
          <w:b/>
          <w:bCs/>
        </w:rPr>
        <w:t xml:space="preserve">data store</w:t>
      </w:r>
      <w:r>
        <w:t xml:space="preserve"> </w:t>
      </w:r>
      <w:r>
        <w:t xml:space="preserve">→ a grounded</w:t>
      </w:r>
      <w:r>
        <w:t xml:space="preserve"> </w:t>
      </w:r>
      <w:r>
        <w:t xml:space="preserve">“Coverage Analyst”</w:t>
      </w:r>
      <w:r>
        <w:t xml:space="preserve"> </w:t>
      </w:r>
      <w:r>
        <w:t xml:space="preserve">agent the team queries in plain English</w:t>
      </w:r>
      <w:r>
        <w:t xml:space="preserve"> </w:t>
      </w:r>
      <w:r>
        <w:t xml:space="preserve">(</w:t>
      </w:r>
      <w:r>
        <w:t xml:space="preserve">“every InsurTech deal above 5x revenue since 2024”</w:t>
      </w:r>
      <w:r>
        <w:t xml:space="preserve">). For true aggregate queries, ground on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instead of files. This is the scale + self-serve layer once the manual loop works.</w:t>
      </w:r>
    </w:p>
    <w:p>
      <w:r>
        <w:pict>
          <v:rect style="width:0;height:1.5pt" o:hralign="center" o:hrstd="t" o:hr="t"/>
        </w:pict>
      </w:r>
    </w:p>
    <w:bookmarkEnd w:id="21"/>
    <w:bookmarkStart w:id="22" w:name="part-f-weekly-operating-cadence"/>
    <w:p>
      <w:pPr>
        <w:pStyle w:val="Heading2"/>
      </w:pPr>
      <w:r>
        <w:t xml:space="preserve">PART F — Weekly operating cadence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 (OneDrive):</w:t>
      </w:r>
      <w:r>
        <w:t xml:space="preserve"> </w:t>
      </w:r>
      <w:r>
        <w:t xml:space="preserve">add the week’s deals to the master tabs; refresh</w:t>
      </w:r>
      <w:r>
        <w:t xml:space="preserve"> </w:t>
      </w:r>
      <w:r>
        <w:rPr>
          <w:rStyle w:val="VerbatimChar"/>
        </w:rPr>
        <w:t xml:space="preserve">Deals_All</w:t>
      </w:r>
      <w:r>
        <w:t xml:space="preserve">; refresh the Tape; export</w:t>
      </w:r>
      <w:r>
        <w:t xml:space="preserve"> </w:t>
      </w:r>
      <w:r>
        <w:rPr>
          <w:b/>
          <w:bCs/>
        </w:rPr>
        <w:t xml:space="preserve">Tape Summary PDF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(Biweekly) CapIQ:</w:t>
      </w:r>
      <w:r>
        <w:t xml:space="preserve"> </w:t>
      </w:r>
      <w:r>
        <w:t xml:space="preserve">pull the new comps snapshot → append to</w:t>
      </w:r>
      <w:r>
        <w:t xml:space="preserve"> </w:t>
      </w:r>
      <w:r>
        <w:rPr>
          <w:rStyle w:val="VerbatimChar"/>
        </w:rPr>
        <w:t xml:space="preserve">Comps_History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As-Of Date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NotebookLM:</w:t>
      </w:r>
      <w:r>
        <w:t xml:space="preserve"> </w:t>
      </w:r>
      <w:r>
        <w:t xml:space="preserve">upload the week’s deal log + Tape Summary; run the standing prompt; save the updated Thesis Ledger and the reports back to OneDrive.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Gemini:</w:t>
      </w:r>
      <w:r>
        <w:t xml:space="preserve"> </w:t>
      </w:r>
      <w:r>
        <w:t xml:space="preserve">polish/format for distribution.</w:t>
      </w:r>
    </w:p>
    <w:p>
      <w:pPr>
        <w:pStyle w:val="FirstParagraph"/>
      </w:pPr>
      <w:r>
        <w:t xml:space="preserve">The only cross-the-wall step is uploading two PDFs to NotebookLM — minimal data movement, no raw rows exposed.</w:t>
      </w:r>
    </w:p>
    <w:p>
      <w:r>
        <w:pict>
          <v:rect style="width:0;height:1.5pt" o:hralign="center" o:hrstd="t" o:hr="t"/>
        </w:pict>
      </w:r>
    </w:p>
    <w:bookmarkEnd w:id="22"/>
    <w:bookmarkStart w:id="23" w:name="do-first-checklist-this-week"/>
    <w:p>
      <w:pPr>
        <w:pStyle w:val="Heading2"/>
      </w:pPr>
      <w:r>
        <w:t xml:space="preserve">Do-first checklist (this week)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Ticker → Subsector</w:t>
      </w:r>
      <w:r>
        <w:t xml:space="preserve"> </w:t>
      </w:r>
      <w:r>
        <w:t xml:space="preserve">map tab to the comps file.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As-Of Date</w:t>
      </w:r>
      <w:r>
        <w:t xml:space="preserve"> </w:t>
      </w:r>
      <w:r>
        <w:t xml:space="preserve">to historical comps versions; stack into</w:t>
      </w:r>
      <w:r>
        <w:t xml:space="preserve"> </w:t>
      </w:r>
      <w:r>
        <w:rPr>
          <w:rStyle w:val="VerbatimChar"/>
        </w:rPr>
        <w:t xml:space="preserve">Comps_History</w:t>
      </w:r>
      <w:r>
        <w:t xml:space="preserve"> </w:t>
      </w:r>
      <w:r>
        <w:t xml:space="preserve">(Power Query).</w:t>
      </w:r>
    </w:p>
    <w:p>
      <w:pPr>
        <w:pStyle w:val="Compact"/>
        <w:numPr>
          <w:ilvl w:val="0"/>
          <w:numId w:val="1005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CapIQ quarter-end backfill</w:t>
      </w:r>
      <w:r>
        <w:t xml:space="preserve"> </w:t>
      </w:r>
      <w:r>
        <w:t xml:space="preserve">(2022→present).</w:t>
      </w:r>
    </w:p>
    <w:p>
      <w:pPr>
        <w:pStyle w:val="Compact"/>
        <w:numPr>
          <w:ilvl w:val="0"/>
          <w:numId w:val="100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Quarter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DealType</w:t>
      </w:r>
      <w:r>
        <w:t xml:space="preserve">; build</w:t>
      </w:r>
      <w:r>
        <w:t xml:space="preserve"> </w:t>
      </w:r>
      <w:r>
        <w:rPr>
          <w:rStyle w:val="VerbatimChar"/>
        </w:rPr>
        <w:t xml:space="preserve">Deals_All</w:t>
      </w:r>
      <w:r>
        <w:t xml:space="preserve"> </w:t>
      </w:r>
      <w:r>
        <w:t xml:space="preserve">(Power Query).</w:t>
      </w:r>
    </w:p>
    <w:p>
      <w:pPr>
        <w:pStyle w:val="Compact"/>
        <w:numPr>
          <w:ilvl w:val="0"/>
          <w:numId w:val="1007"/>
        </w:numPr>
      </w:pPr>
      <w:r>
        <w:t xml:space="preserve">Build B1 + B3 + B4; export the first</w:t>
      </w:r>
      <w:r>
        <w:t xml:space="preserve"> </w:t>
      </w:r>
      <w:r>
        <w:rPr>
          <w:b/>
          <w:bCs/>
        </w:rPr>
        <w:t xml:space="preserve">Tape Summary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Stand up the NotebookLM notebook; seed the</w:t>
      </w:r>
      <w:r>
        <w:t xml:space="preserve"> </w:t>
      </w:r>
      <w:r>
        <w:rPr>
          <w:b/>
          <w:bCs/>
        </w:rPr>
        <w:t xml:space="preserve">InsurTech</w:t>
      </w:r>
      <w:r>
        <w:t xml:space="preserve"> </w:t>
      </w:r>
      <w:r>
        <w:t xml:space="preserve">pilot against the existing benchmark.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2026-06-23T00:33:12Z</dcterms:created>
  <dcterms:modified xsi:type="dcterms:W3CDTF">2026-06-23T00:33:12Z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