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insurtech-pilot-notebooklm-dry-run"/>
    <w:p>
      <w:pPr>
        <w:pStyle w:val="Heading1"/>
      </w:pPr>
      <w:r>
        <w:t xml:space="preserve">InsurTech Pilot — NotebookLM Dry Run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 concrete first run of the narrative engine, scoped to InsurTech, so you can</w:t>
      </w:r>
      <w:r>
        <w:t xml:space="preserve"> </w:t>
      </w:r>
      <w:r>
        <w:t xml:space="preserve">react to real output before pointing it at the full database. Built from the InsurTech deals</w:t>
      </w:r>
      <w:r>
        <w:t xml:space="preserve"> </w:t>
      </w:r>
      <w:r>
        <w:t xml:space="preserve">we’ve already verified this session.</w:t>
      </w:r>
      <w:r>
        <w:t xml:space="preserve"> </w:t>
      </w:r>
      <w:r>
        <w:rPr>
          <w:i/>
          <w:iCs/>
        </w:rPr>
        <w:t xml:space="preserve">Illustrative:</w:t>
      </w:r>
      <w:r>
        <w:t xml:space="preserve"> </w:t>
      </w:r>
      <w:r>
        <w:t xml:space="preserve">on the real run, NotebookLM produces this</w:t>
      </w:r>
      <w:r>
        <w:t xml:space="preserve"> </w:t>
      </w:r>
      <w:r>
        <w:t xml:space="preserve">grounded in your corpus with inline citations, and the theses get richer against hundreds of</w:t>
      </w:r>
      <w:r>
        <w:t xml:space="preserve"> </w:t>
      </w:r>
      <w:r>
        <w:t xml:space="preserve">precedents. The one thing it must NOT invent — multiples/volumes — is shown as a</w:t>
      </w:r>
      <w:r>
        <w:t xml:space="preserve"> </w:t>
      </w:r>
      <w:r>
        <w:rPr>
          <w:rStyle w:val="VerbatimChar"/>
        </w:rPr>
        <w:t xml:space="preserve">[Tape: …]</w:t>
      </w:r>
      <w:r>
        <w:t xml:space="preserve"> </w:t>
      </w:r>
      <w:r>
        <w:t xml:space="preserve">slot that you fill from the Excel Tape Summary.</w:t>
      </w:r>
    </w:p>
    <w:p>
      <w:r>
        <w:pict>
          <v:rect style="width:0;height:1.5pt" o:hralign="center" o:hrstd="t" o:hr="t"/>
        </w:pict>
      </w:r>
    </w:p>
    <w:bookmarkStart w:id="9" w:name="X6943426f77669314e5aa4c30ef9fb40002177ad"/>
    <w:p>
      <w:pPr>
        <w:pStyle w:val="Heading2"/>
      </w:pPr>
      <w:r>
        <w:t xml:space="preserve">1. NotebookLM source list (upload for the InsurTech pilot)</w:t>
      </w:r>
    </w:p>
    <w:p>
      <w:pPr>
        <w:pStyle w:val="Compact"/>
        <w:numPr>
          <w:ilvl w:val="0"/>
          <w:numId w:val="1001"/>
        </w:numPr>
      </w:pPr>
      <w:r>
        <w:t xml:space="preserve">Weekly deal logs covering the period (the workbooks we built: wk-ending-Jun-12, wk-ending-Jun-19).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Tape Summary PDF</w:t>
      </w:r>
      <w:r>
        <w:t xml:space="preserve"> </w:t>
      </w:r>
      <w:r>
        <w:t xml:space="preserve">(even a stub: InsurTech rotation + forward-multiple line).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Thesis Ledger</w:t>
      </w:r>
      <w:r>
        <w:t xml:space="preserve"> </w:t>
      </w:r>
      <w:r>
        <w:t xml:space="preserve">doc (starts empty; this run seeds it).</w:t>
      </w:r>
    </w:p>
    <w:p>
      <w:pPr>
        <w:pStyle w:val="Compact"/>
        <w:numPr>
          <w:ilvl w:val="0"/>
          <w:numId w:val="1001"/>
        </w:numPr>
      </w:pPr>
      <w:r>
        <w:t xml:space="preserve">The benchmark report(s) you pasted — as a</w:t>
      </w:r>
      <w:r>
        <w:t xml:space="preserve"> </w:t>
      </w:r>
      <w:r>
        <w:rPr>
          <w:i/>
          <w:iCs/>
        </w:rPr>
        <w:t xml:space="preserve">style</w:t>
      </w:r>
      <w:r>
        <w:t xml:space="preserve"> </w:t>
      </w:r>
      <w:r>
        <w:t xml:space="preserve">source, labeled</w:t>
      </w:r>
      <w:r>
        <w:t xml:space="preserve"> </w:t>
      </w:r>
      <w:r>
        <w:t xml:space="preserve">“voice reference, not data.”</w:t>
      </w:r>
    </w:p>
    <w:bookmarkEnd w:id="9"/>
    <w:bookmarkStart w:id="10" w:name="X21e89965a173c77dfdd0777d3668cc7481e5fbf"/>
    <w:p>
      <w:pPr>
        <w:pStyle w:val="Heading2"/>
      </w:pPr>
      <w:r>
        <w:t xml:space="preserve">2. Standing prompt (InsurTech-scoped — paste after uploading)</w:t>
      </w:r>
    </w:p>
    <w:p>
      <w:pPr>
        <w:pStyle w:val="SourceCode"/>
      </w:pPr>
      <w:r>
        <w:rPr>
          <w:rStyle w:val="VerbatimChar"/>
        </w:rPr>
        <w:t xml:space="preserve">You are the senior analyst for our InsurTech coverage. Sources: the weekly deal logs, the</w:t>
      </w:r>
      <w:r>
        <w:br/>
      </w:r>
      <w:r>
        <w:rPr>
          <w:rStyle w:val="VerbatimChar"/>
        </w:rPr>
        <w:t xml:space="preserve">Tape Summary, the Thesis Ledger, and the voice-reference report.</w:t>
      </w:r>
      <w:r>
        <w:br/>
      </w:r>
      <w:r>
        <w:rPr>
          <w:rStyle w:val="VerbatimChar"/>
        </w:rPr>
        <w:t xml:space="preserve">1. THESIS LEDGER UPDATE: for every open thesis, mark this period's deals CONFIRMS / CONTRADICTS</w:t>
      </w:r>
      <w:r>
        <w:br/>
      </w:r>
      <w:r>
        <w:rPr>
          <w:rStyle w:val="VerbatimChar"/>
        </w:rPr>
        <w:t xml:space="preserve">   / NEUTRAL with the specific deal cited, and adjust confidence. Add a NEW thesis only with ≥2</w:t>
      </w:r>
      <w:r>
        <w:br/>
      </w:r>
      <w:r>
        <w:rPr>
          <w:rStyle w:val="VerbatimChar"/>
        </w:rPr>
        <w:t xml:space="preserve">   supporting datapoints OR flag a 1-datapoint "watch." Output the revised ledger table.</w:t>
      </w:r>
      <w:r>
        <w:br/>
      </w:r>
      <w:r>
        <w:rPr>
          <w:rStyle w:val="VerbatimChar"/>
        </w:rPr>
        <w:t xml:space="preserve">2. NARRATIVE: a thesis-driven brief in the voice-reference style — lead with deal count + $,</w:t>
      </w:r>
      <w:r>
        <w:br/>
      </w:r>
      <w:r>
        <w:rPr>
          <w:rStyle w:val="VerbatimChar"/>
        </w:rPr>
        <w:t xml:space="preserve">   then the signal. Every multiple/volume claim must come from the Tape Summary; if absent,</w:t>
      </w:r>
      <w:r>
        <w:br/>
      </w:r>
      <w:r>
        <w:rPr>
          <w:rStyle w:val="VerbatimChar"/>
        </w:rPr>
        <w:t xml:space="preserve">   write "[Tape: __]". Cite a source for every deal claim.</w:t>
      </w:r>
    </w:p>
    <w:p>
      <w:r>
        <w:pict>
          <v:rect style="width:0;height:1.5pt" o:hralign="center" o:hrstd="t" o:hr="t"/>
        </w:pict>
      </w:r>
    </w:p>
    <w:bookmarkEnd w:id="10"/>
    <w:bookmarkStart w:id="13" w:name="worked-output-what-the-run-returns"/>
    <w:p>
      <w:pPr>
        <w:pStyle w:val="Heading2"/>
      </w:pPr>
      <w:r>
        <w:t xml:space="preserve">3. Worked output (what the run returns)</w:t>
      </w:r>
    </w:p>
    <w:bookmarkStart w:id="11" w:name="a.-thesis-ledger-after-this-run"/>
    <w:p>
      <w:pPr>
        <w:pStyle w:val="Heading3"/>
      </w:pPr>
      <w:r>
        <w:t xml:space="preserve">3a. Thesis Ledger — after this run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Thesis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Conf.</w:t>
            </w:r>
          </w:p>
        </w:tc>
        <w:tc>
          <w:tcPr/>
          <w:p>
            <w:pPr>
              <w:pStyle w:val="Compact"/>
            </w:pPr>
            <w:r>
              <w:t xml:space="preserve">Evidence For</w:t>
            </w:r>
          </w:p>
        </w:tc>
        <w:tc>
          <w:tcPr/>
          <w:p>
            <w:pPr>
              <w:pStyle w:val="Compact"/>
            </w:pPr>
            <w:r>
              <w:t xml:space="preserve">Against</w:t>
            </w:r>
          </w:p>
        </w:tc>
        <w:tc>
          <w:tcPr/>
          <w:p>
            <w:pPr>
              <w:pStyle w:val="Compact"/>
            </w:pPr>
            <w:r>
              <w:t xml:space="preserve">First seen</w:t>
            </w: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  <w:tc>
          <w:tcPr/>
          <w:p>
            <w:pPr>
              <w:pStyle w:val="Compact"/>
            </w:pPr>
            <w:r>
              <w:t xml:space="preserve">Client implication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 is moving into insurance</w:t>
            </w:r>
            <w:r>
              <w:t xml:space="preserve"> </w:t>
            </w:r>
            <w:r>
              <w:rPr>
                <w:b/>
                <w:bCs/>
              </w:rPr>
              <w:t xml:space="preserve">operations/back-office</w:t>
            </w:r>
            <w:r>
              <w:t xml:space="preserve">, not just distribution</w:t>
            </w:r>
          </w:p>
        </w:tc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Med-High</w:t>
            </w:r>
          </w:p>
        </w:tc>
        <w:tc>
          <w:tcPr/>
          <w:p>
            <w:pPr>
              <w:pStyle w:val="Compact"/>
            </w:pPr>
            <w:r>
              <w:t xml:space="preserve">Poetic ($50M, Jun 10); Trussed AI (Nassau, Jun 17); Braven ($4.6M, Jun 16)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Jun-12 wk</w:t>
            </w:r>
          </w:p>
        </w:tc>
        <w:tc>
          <w:tcPr/>
          <w:p>
            <w:pPr>
              <w:pStyle w:val="Compact"/>
            </w:pPr>
            <w:r>
              <w:t xml:space="preserve">Jun-19 wk</w:t>
            </w:r>
          </w:p>
        </w:tc>
        <w:tc>
          <w:tcPr/>
          <w:p>
            <w:pPr>
              <w:pStyle w:val="Compact"/>
            </w:pPr>
            <w:r>
              <w:t xml:space="preserve">Source AI-ops &amp; governance targets to carriers/MGAs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AI-native agencies are rolling up distribution books</w:t>
            </w:r>
            <w:r>
              <w:t xml:space="preserve"> </w:t>
            </w:r>
            <w:r>
              <w:t xml:space="preserve">with primary capital</w:t>
            </w:r>
          </w:p>
        </w:tc>
        <w:tc>
          <w:tcPr/>
          <w:p>
            <w:pPr>
              <w:pStyle w:val="Compact"/>
            </w:pPr>
            <w:r>
              <w:t xml:space="preserve">Emerging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Connie Health ($40M B + 10th acquisition, Clearlink Medicare, Jun 18)</w:t>
            </w:r>
          </w:p>
        </w:tc>
        <w:tc>
          <w:tcPr/>
          <w:p>
            <w:pPr>
              <w:pStyle w:val="Compact"/>
            </w:pPr>
            <w:r>
              <w:t xml:space="preserve">single name</w:t>
            </w:r>
          </w:p>
        </w:tc>
        <w:tc>
          <w:tcPr/>
          <w:p>
            <w:pPr>
              <w:pStyle w:val="Compact"/>
            </w:pPr>
            <w:r>
              <w:t xml:space="preserve">Jun-19 wk</w:t>
            </w:r>
          </w:p>
        </w:tc>
        <w:tc>
          <w:tcPr/>
          <w:p>
            <w:pPr>
              <w:pStyle w:val="Compact"/>
            </w:pPr>
            <w:r>
              <w:t xml:space="preserve">Jun-19 wk</w:t>
            </w:r>
          </w:p>
        </w:tc>
        <w:tc>
          <w:tcPr/>
          <w:p>
            <w:pPr>
              <w:pStyle w:val="Compact"/>
            </w:pPr>
            <w:r>
              <w:t xml:space="preserve">Pitch roll-up adjacencies; map sub-scale Medicare 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funnel entrance is the next underwriting-data advantage</w:t>
            </w:r>
          </w:p>
        </w:tc>
        <w:tc>
          <w:tcPr/>
          <w:p>
            <w:pPr>
              <w:pStyle w:val="Compact"/>
            </w:pPr>
            <w:r>
              <w:t xml:space="preserve">Watch (new)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PruVen (insurance CVC) in Gradial $65M marketing-AI, Jun 18</w:t>
            </w:r>
          </w:p>
        </w:tc>
        <w:tc>
          <w:tcPr/>
          <w:p>
            <w:pPr>
              <w:pStyle w:val="Compact"/>
            </w:pPr>
            <w:r>
              <w:t xml:space="preserve">1 datapoint</w:t>
            </w:r>
          </w:p>
        </w:tc>
        <w:tc>
          <w:tcPr/>
          <w:p>
            <w:pPr>
              <w:pStyle w:val="Compact"/>
            </w:pPr>
            <w:r>
              <w:t xml:space="preserve">Jun-19 wk</w:t>
            </w:r>
          </w:p>
        </w:tc>
        <w:tc>
          <w:tcPr/>
          <w:p>
            <w:pPr>
              <w:pStyle w:val="Compact"/>
            </w:pPr>
            <w:r>
              <w:t xml:space="preserve">Jun-19 wk</w:t>
            </w:r>
          </w:p>
        </w:tc>
        <w:tc>
          <w:tcPr/>
          <w:p>
            <w:pPr>
              <w:pStyle w:val="Compact"/>
            </w:pPr>
            <w:r>
              <w:t xml:space="preserve">Watch carrier/CVC bets on first-party intent &amp; content data</w:t>
            </w:r>
          </w:p>
        </w:tc>
      </w:tr>
    </w:tbl>
    <w:bookmarkEnd w:id="11"/>
    <w:bookmarkStart w:id="12" w:name="Xc0e78566a21f9f0a10f2946b6671a2b542cf540"/>
    <w:p>
      <w:pPr>
        <w:pStyle w:val="Heading3"/>
      </w:pPr>
      <w:r>
        <w:t xml:space="preserve">3b. Narrative — InsurTech, Week of June 14–20, 2026</w:t>
      </w:r>
    </w:p>
    <w:p>
      <w:pPr>
        <w:pStyle w:val="BlockText"/>
      </w:pPr>
      <w:r>
        <w:rPr>
          <w:b/>
          <w:bCs/>
        </w:rPr>
        <w:t xml:space="preserve">Four deals. ~$44M tracked. A health-insurance roll-up went shopping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its Series B — and an insurer’s marketing-AI bet quietly redrew where underwriting advantage will come from.</w:t>
      </w:r>
    </w:p>
    <w:p>
      <w:pPr>
        <w:pStyle w:val="BlockText"/>
      </w:pPr>
      <w:r>
        <w:rPr>
          <w:i/>
          <w:iCs/>
        </w:rPr>
        <w:t xml:space="preserve">Tags: Carrier Strategy · AI &amp; Automation · Distribution · Medicare/Health · Venture &amp; Growth</w:t>
      </w:r>
    </w:p>
    <w:p>
      <w:pPr>
        <w:pStyle w:val="BlockText"/>
      </w:pPr>
      <w:r>
        <w:rPr>
          <w:b/>
          <w:bCs/>
        </w:rPr>
        <w:t xml:space="preserve">Thesis in focus — AI is moving into insurance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operations</w:t>
      </w:r>
      <w:r>
        <w:rPr>
          <w:b/>
          <w:bCs/>
        </w:rPr>
        <w:t xml:space="preserve">, not the quote box.</w:t>
      </w:r>
      <w:r>
        <w:t xml:space="preserve"> </w:t>
      </w:r>
      <w:r>
        <w:t xml:space="preserve">Two weeks</w:t>
      </w:r>
      <w:r>
        <w:t xml:space="preserve"> </w:t>
      </w:r>
      <w:r>
        <w:t xml:space="preserve">ago</w:t>
      </w:r>
      <w:r>
        <w:t xml:space="preserve"> </w:t>
      </w:r>
      <w:r>
        <w:rPr>
          <w:b/>
          <w:bCs/>
        </w:rPr>
        <w:t xml:space="preserve">Poetic</w:t>
      </w:r>
      <w:r>
        <w:t xml:space="preserve"> </w:t>
      </w:r>
      <w:r>
        <w:t xml:space="preserve">raised $50M (Kleiner Perkins) to automate complex, multi-step insurance</w:t>
      </w:r>
      <w:r>
        <w:t xml:space="preserve"> </w:t>
      </w:r>
      <w:r>
        <w:t xml:space="preserve">back-office work with deterministic AI. This week confirmed it from two sides:</w:t>
      </w:r>
      <w:r>
        <w:t xml:space="preserve"> </w:t>
      </w:r>
      <w:r>
        <w:rPr>
          <w:b/>
          <w:bCs/>
        </w:rPr>
        <w:t xml:space="preserve">Trussed AI</w:t>
      </w:r>
      <w:r>
        <w:t xml:space="preserve"> </w:t>
      </w:r>
      <w:r>
        <w:t xml:space="preserve">(backed by</w:t>
      </w:r>
      <w:r>
        <w:t xml:space="preserve"> </w:t>
      </w:r>
      <w:r>
        <w:rPr>
          <w:b/>
          <w:bCs/>
        </w:rPr>
        <w:t xml:space="preserve">Nassau Financial Group</w:t>
      </w:r>
      <w:r>
        <w:t xml:space="preserve">) is building the AI governance/compliance layer carriers</w:t>
      </w:r>
      <w:r>
        <w:t xml:space="preserve"> </w:t>
      </w:r>
      <w:r>
        <w:t xml:space="preserve">need to deploy that automation safely, and</w:t>
      </w:r>
      <w:r>
        <w:t xml:space="preserve"> </w:t>
      </w:r>
      <w:r>
        <w:rPr>
          <w:b/>
          <w:bCs/>
        </w:rPr>
        <w:t xml:space="preserve">Braven</w:t>
      </w:r>
      <w:r>
        <w:t xml:space="preserve"> </w:t>
      </w:r>
      <w:r>
        <w:t xml:space="preserve">(ex-Sytrex, $4.6M seed) is automating</w:t>
      </w:r>
      <w:r>
        <w:t xml:space="preserve"> </w:t>
      </w:r>
      <w:r>
        <w:t xml:space="preserve">delegated-authority ops — binder validation, bordereaux — for MGAs and reinsurers. Capital has</w:t>
      </w:r>
      <w:r>
        <w:t xml:space="preserve"> </w:t>
      </w:r>
      <w:r>
        <w:t xml:space="preserve">stopped chasing the front-end and started wiring the back office.</w:t>
      </w:r>
      <w:r>
        <w:t xml:space="preserve"> </w:t>
      </w:r>
      <w:r>
        <w:rPr>
          <w:i/>
          <w:iCs/>
        </w:rPr>
        <w:t xml:space="preserve">(Thesis #1 → confidence up.)</w:t>
      </w:r>
    </w:p>
    <w:p>
      <w:pPr>
        <w:pStyle w:val="BlockText"/>
      </w:pPr>
      <w:r>
        <w:rPr>
          <w:b/>
          <w:bCs/>
        </w:rPr>
        <w:t xml:space="preserve">The deal that matters most — Connie Health ($40M Series B, HealthQuest Capital).</w:t>
      </w:r>
      <w:r>
        <w:t xml:space="preserve"> </w:t>
      </w:r>
      <w:r>
        <w:t xml:space="preserve">Look at</w:t>
      </w:r>
      <w:r>
        <w:t xml:space="preserve"> </w:t>
      </w:r>
      <w:r>
        <w:t xml:space="preserve">what it did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the round: simultaneously closed its</w:t>
      </w:r>
      <w:r>
        <w:t xml:space="preserve"> </w:t>
      </w:r>
      <w:r>
        <w:rPr>
          <w:b/>
          <w:bCs/>
        </w:rPr>
        <w:t xml:space="preserve">10th acquisition</w:t>
      </w:r>
      <w:r>
        <w:t xml:space="preserve">, absorbing</w:t>
      </w:r>
      <w:r>
        <w:t xml:space="preserve"> </w:t>
      </w:r>
      <w:r>
        <w:t xml:space="preserve">Clearlink’s Medicare book. That’s the AI-native agency playbook — raise primary capital, then</w:t>
      </w:r>
      <w:r>
        <w:t xml:space="preserve"> </w:t>
      </w:r>
      <w:r>
        <w:t xml:space="preserve">roll up distribution faster than incumbents can react. This is becoming a consolidation, not a</w:t>
      </w:r>
      <w:r>
        <w:t xml:space="preserve"> </w:t>
      </w:r>
      <w:r>
        <w:t xml:space="preserve">company; watch the next two tuck-ins.</w:t>
      </w:r>
      <w:r>
        <w:t xml:space="preserve"> </w:t>
      </w:r>
      <w:r>
        <w:rPr>
          <w:i/>
          <w:iCs/>
        </w:rPr>
        <w:t xml:space="preserve">(Seeds Thesis #2.)</w:t>
      </w:r>
    </w:p>
    <w:p>
      <w:pPr>
        <w:pStyle w:val="BlockText"/>
      </w:pPr>
      <w:r>
        <w:rPr>
          <w:b/>
          <w:bCs/>
        </w:rPr>
        <w:t xml:space="preserve">Carrier-strategy read — IAG into Sonder.</w:t>
      </w:r>
      <w:r>
        <w:t xml:space="preserve"> </w:t>
      </w:r>
      <w:r>
        <w:t xml:space="preserve">A carrier (via Firemark Ventures) taking a</w:t>
      </w:r>
      <w:r>
        <w:t xml:space="preserve"> </w:t>
      </w:r>
      <w:r>
        <w:t xml:space="preserve">minority in a people-risk/wellbeing platform is the quiet move to</w:t>
      </w:r>
      <w:r>
        <w:t xml:space="preserve"> </w:t>
      </w:r>
      <w:r>
        <w:rPr>
          <w:i/>
          <w:iCs/>
        </w:rPr>
        <w:t xml:space="preserve">own the data that prevents</w:t>
      </w:r>
      <w:r>
        <w:rPr>
          <w:i/>
          <w:iCs/>
        </w:rPr>
        <w:t xml:space="preserve"> </w:t>
      </w:r>
      <w:r>
        <w:rPr>
          <w:i/>
          <w:iCs/>
        </w:rPr>
        <w:t xml:space="preserve">the claim</w:t>
      </w:r>
      <w:r>
        <w:t xml:space="preserve">, not just price it.</w:t>
      </w:r>
    </w:p>
    <w:p>
      <w:pPr>
        <w:pStyle w:val="BlockText"/>
      </w:pPr>
      <w:r>
        <w:rPr>
          <w:b/>
          <w:bCs/>
        </w:rPr>
        <w:t xml:space="preserve">The trend nobody’s named yet.</w:t>
      </w:r>
      <w:r>
        <w:t xml:space="preserve"> </w:t>
      </w:r>
      <w:r>
        <w:t xml:space="preserve">The week’s most overlooked signal sits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t xml:space="preserve">insurtech label:</w:t>
      </w:r>
      <w:r>
        <w:t xml:space="preserve"> </w:t>
      </w:r>
      <w:r>
        <w:rPr>
          <w:b/>
          <w:bCs/>
        </w:rPr>
        <w:t xml:space="preserve">PruVen Capital</w:t>
      </w:r>
      <w:r>
        <w:t xml:space="preserve"> </w:t>
      </w:r>
      <w:r>
        <w:t xml:space="preserve">— an insurance-linked CVC — turned up in</w:t>
      </w:r>
      <w:r>
        <w:t xml:space="preserve"> </w:t>
      </w:r>
      <w:r>
        <w:rPr>
          <w:b/>
          <w:bCs/>
        </w:rPr>
        <w:t xml:space="preserve">Gradial’s</w:t>
      </w:r>
      <w:r>
        <w:t xml:space="preserve"> </w:t>
      </w:r>
      <w:r>
        <w:t xml:space="preserve">$65M round, an</w:t>
      </w:r>
      <w:r>
        <w:t xml:space="preserve"> </w:t>
      </w:r>
      <w:r>
        <w:rPr>
          <w:i/>
          <w:iCs/>
        </w:rPr>
        <w:t xml:space="preserve">enterprise-marketing</w:t>
      </w:r>
      <w:r>
        <w:t xml:space="preserve"> </w:t>
      </w:r>
      <w:r>
        <w:t xml:space="preserve">AI. Why does insurance money back a marketing tool?</w:t>
      </w:r>
      <w:r>
        <w:t xml:space="preserve"> </w:t>
      </w:r>
      <w:r>
        <w:t xml:space="preserve">Because whoever controls the funnel entrance — first-party intent and content data — owns the</w:t>
      </w:r>
      <w:r>
        <w:t xml:space="preserve"> </w:t>
      </w:r>
      <w:r>
        <w:t xml:space="preserve">cheapest, freshest underwriting signal in 2029.</w:t>
      </w:r>
      <w:r>
        <w:t xml:space="preserve"> </w:t>
      </w:r>
      <w:r>
        <w:rPr>
          <w:i/>
          <w:iCs/>
        </w:rPr>
        <w:t xml:space="preserve">(Thesis #3, watch.)</w:t>
      </w:r>
    </w:p>
    <w:p>
      <w:pPr>
        <w:pStyle w:val="BlockText"/>
      </w:pPr>
      <w:r>
        <w:rPr>
          <w:b/>
          <w:bCs/>
        </w:rPr>
        <w:t xml:space="preserve">[Tape: InsurTech public median fwd EV/Revenue =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x (</w:t>
      </w:r>
      <w:r>
        <w:rPr>
          <w:b/>
          <w:bCs/>
        </w:rPr>
        <w:t xml:space="preserve"> </w:t>
      </w:r>
      <w:r>
        <w:rPr>
          <w:b/>
          <w:bCs/>
        </w:rPr>
        <w:t xml:space="preserve">vs prior snapshot); trailing-13-wk</w:t>
      </w:r>
      <w:r>
        <w:rPr>
          <w:b/>
          <w:bCs/>
        </w:rPr>
        <w:t xml:space="preserve"> </w:t>
      </w:r>
      <w:r>
        <w:rPr>
          <w:b/>
          <w:bCs/>
        </w:rPr>
        <w:t xml:space="preserve">InsurTech primary capital = $</w:t>
      </w:r>
      <w:r>
        <w:rPr>
          <w:b/>
          <w:b/>
          <w:bCs/>
          <w:bCs/>
        </w:rPr>
        <w:t xml:space="preserve">M across</w:t>
      </w:r>
      <w:r>
        <w:rPr>
          <w:b/>
          <w:b/>
          <w:bCs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deals.]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how-to-read-it-grading-vs.-the-benchmark"/>
    <w:p>
      <w:pPr>
        <w:pStyle w:val="Heading2"/>
      </w:pPr>
      <w:r>
        <w:t xml:space="preserve">4. How to read it / grading vs. the benchmark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independently reproduces the benchmark’s headline insight</w:t>
      </w:r>
      <w:r>
        <w:t xml:space="preserve"> </w:t>
      </w:r>
      <w:r>
        <w:t xml:space="preserve">—</w:t>
      </w:r>
      <w:r>
        <w:t xml:space="preserve"> </w:t>
      </w:r>
      <w:r>
        <w:t xml:space="preserve">“the companies controlling</w:t>
      </w:r>
      <w:r>
        <w:t xml:space="preserve"> </w:t>
      </w:r>
      <w:r>
        <w:t xml:space="preserve">the funnel entrance are building the next underwriting data advantage”</w:t>
      </w:r>
      <w:r>
        <w:t xml:space="preserve"> </w:t>
      </w:r>
      <w:r>
        <w:t xml:space="preserve">(Gradial/PruVen). That’s</w:t>
      </w:r>
      <w:r>
        <w:t xml:space="preserve"> </w:t>
      </w:r>
      <w:r>
        <w:t xml:space="preserve">the validation: the</w:t>
      </w:r>
      <w:r>
        <w:t xml:space="preserve"> </w:t>
      </w:r>
      <w:r>
        <w:rPr>
          <w:i/>
          <w:iCs/>
        </w:rPr>
        <w:t xml:space="preserve">system</w:t>
      </w:r>
      <w:r>
        <w:t xml:space="preserve"> </w:t>
      </w:r>
      <w:r>
        <w:t xml:space="preserve">surfaces the same non-obvious trend a top human analyst did.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What’s still a stub: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[Tape: …]</w:t>
      </w:r>
      <w:r>
        <w:t xml:space="preserve"> </w:t>
      </w:r>
      <w:r>
        <w:t xml:space="preserve">line. That single number is the only thing sourced</w:t>
      </w:r>
      <w:r>
        <w:t xml:space="preserve"> </w:t>
      </w:r>
      <w:r>
        <w:t xml:space="preserve">from Excel — it’s what makes the prose defensible instead of vibes.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improves on the full DB:</w:t>
      </w:r>
      <w:r>
        <w:t xml:space="preserve"> </w:t>
      </w:r>
      <w:r>
        <w:t xml:space="preserve">Thesis #2 (roll-up) gets quantified — how many AI-native</w:t>
      </w:r>
      <w:r>
        <w:t xml:space="preserve"> </w:t>
      </w:r>
      <w:r>
        <w:t xml:space="preserve">agency acquisitions across the back-catalog, at what cadence; Thesis #1 gets a multiple trend</w:t>
      </w:r>
      <w:r>
        <w:t xml:space="preserve"> </w:t>
      </w:r>
      <w:r>
        <w:t xml:space="preserve">(are AI-ops insurtechs re-rating vs. carriers?). The mechanics don’t change — only the depth.</w: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run this exact prompt in NotebookLM on the two InsurTech logs, drop in one real Tape</w:t>
      </w:r>
      <w:r>
        <w:t xml:space="preserve"> </w:t>
      </w:r>
      <w:r>
        <w:t xml:space="preserve">number, and compare to the benchmark. If the voice lands, we replicate the pattern across the</w:t>
      </w:r>
      <w:r>
        <w:t xml:space="preserve"> </w:t>
      </w:r>
      <w:r>
        <w:t xml:space="preserve">other seven subsectors and add the cross-sector synthesis.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2026-06-23T00:33:12Z</dcterms:created>
  <dcterms:modified xsi:type="dcterms:W3CDTF">2026-06-23T00:33:12Z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