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d4cdfa5a9c2a7778e3c319abfe16700d01ecf4c"/>
    <w:p>
      <w:pPr>
        <w:pStyle w:val="Heading1"/>
      </w:pPr>
      <w:r>
        <w:t xml:space="preserve">FinTech Monitor — Prompts v2 (voice + discipline upgrades)</w:t>
      </w:r>
    </w:p>
    <w:p>
      <w:pPr>
        <w:pStyle w:val="FirstParagraph"/>
      </w:pPr>
      <w:r>
        <w:rPr>
          <w:i/>
          <w:iCs/>
        </w:rPr>
        <w:t xml:space="preserve">Replaces Prompt A / Prompt B in the run guide. Fixes from the first dry run: write theses not</w:t>
      </w:r>
      <w:r>
        <w:rPr>
          <w:i/>
          <w:iCs/>
        </w:rPr>
        <w:t xml:space="preserve"> </w:t>
      </w:r>
      <w:r>
        <w:rPr>
          <w:i/>
          <w:iCs/>
        </w:rPr>
        <w:t xml:space="preserve">summaries, separate capital vs M&amp;A vs debt, stop padding the ledger, and make the synthesis</w:t>
      </w:r>
      <w:r>
        <w:rPr>
          <w:i/>
          <w:iCs/>
        </w:rPr>
        <w:t xml:space="preserve"> </w:t>
      </w:r>
      <w:r>
        <w:rPr>
          <w:i/>
          <w:iCs/>
        </w:rPr>
        <w:t xml:space="preserve">hunt the unnamed trend.</w:t>
      </w:r>
    </w:p>
    <w:bookmarkStart w:id="9" w:name="source-note-do-this-first"/>
    <w:p>
      <w:pPr>
        <w:pStyle w:val="Heading2"/>
      </w:pPr>
      <w:r>
        <w:t xml:space="preserve">Source note (do this first)</w:t>
      </w:r>
    </w:p>
    <w:p>
      <w:pPr>
        <w:pStyle w:val="FirstParagraph"/>
      </w:pPr>
      <w:r>
        <w:t xml:space="preserve">The weekly log must include, per subsector, a short</w:t>
      </w:r>
      <w:r>
        <w:t xml:space="preserve"> </w:t>
      </w:r>
      <w:r>
        <w:rPr>
          <w:b/>
          <w:bCs/>
        </w:rPr>
        <w:t xml:space="preserve">“Context / Watch”</w:t>
      </w:r>
      <w:r>
        <w:t xml:space="preserve"> </w:t>
      </w:r>
      <w:r>
        <w:t xml:space="preserve">block of sub-threshold</w:t>
      </w:r>
      <w:r>
        <w:t xml:space="preserve"> </w:t>
      </w:r>
      <w:r>
        <w:t xml:space="preserve">but signal-rich deals (e.g., for InsurTech: Braven, Sonder, Trussed AI, and the Gradial/PruVen</w:t>
      </w:r>
      <w:r>
        <w:t xml:space="preserve"> </w:t>
      </w:r>
      <w:r>
        <w:t xml:space="preserve">special situation). The tracker uses the $25M floor; the</w:t>
      </w:r>
      <w:r>
        <w:t xml:space="preserve"> </w:t>
      </w:r>
      <w:r>
        <w:rPr>
          <w:b/>
          <w:bCs/>
        </w:rPr>
        <w:t xml:space="preserve">narrative</w:t>
      </w:r>
      <w:r>
        <w:t xml:space="preserve"> </w:t>
      </w:r>
      <w:r>
        <w:t xml:space="preserve">does not — it needs the</w:t>
      </w:r>
      <w:r>
        <w:t xml:space="preserve"> </w:t>
      </w:r>
      <w:r>
        <w:t xml:space="preserve">context deals to find the real signal.</w:t>
      </w:r>
    </w:p>
    <w:p>
      <w:r>
        <w:pict>
          <v:rect style="width:0;height:1.5pt" o:hralign="center" o:hrstd="t" o:hr="t"/>
        </w:pict>
      </w:r>
    </w:p>
    <w:bookmarkEnd w:id="9"/>
    <w:bookmarkStart w:id="10" w:name="Xa2ef4c69383c798478aa7f918aae2a7fbd1c455"/>
    <w:p>
      <w:pPr>
        <w:pStyle w:val="Heading2"/>
      </w:pPr>
      <w:r>
        <w:t xml:space="preserve">Prompt A v2 — Subsector narrative (run per subsector, swap</w:t>
      </w:r>
      <w:r>
        <w:t xml:space="preserve"> </w:t>
      </w:r>
      <w:r>
        <w:rPr>
          <w:rStyle w:val="VerbatimChar"/>
        </w:rPr>
        <w:t xml:space="preserve">{{SUBSECTOR}}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You are the senior analyst for our FinTech coverage. Sources: the weekly deal log (all</w:t>
      </w:r>
      <w:r>
        <w:br/>
      </w:r>
      <w:r>
        <w:rPr>
          <w:rStyle w:val="VerbatimChar"/>
        </w:rPr>
        <w:t xml:space="preserve">subsectors, including Context/Watch deals), the Tape Summary, the master Thesis Ledger, and the</w:t>
      </w:r>
      <w:r>
        <w:br/>
      </w:r>
      <w:r>
        <w:rPr>
          <w:rStyle w:val="VerbatimChar"/>
        </w:rPr>
        <w:t xml:space="preserve">voice reference. SCOPE: only Sector = "{{SUBSECTOR}}".</w:t>
      </w:r>
      <w:r>
        <w:br/>
      </w:r>
      <w:r>
        <w:br/>
      </w:r>
      <w:r>
        <w:rPr>
          <w:rStyle w:val="VerbatimChar"/>
        </w:rPr>
        <w:t xml:space="preserve">VOICE (non-negotiable):</w:t>
      </w:r>
      <w:r>
        <w:br/>
      </w:r>
      <w:r>
        <w:rPr>
          <w:rStyle w:val="VerbatimChar"/>
        </w:rPr>
        <w:t xml:space="preserve">- Lead with the non-obvious signal or a reframe — NOT the biggest deal. If a Context/Watch or</w:t>
      </w:r>
      <w:r>
        <w:br/>
      </w:r>
      <w:r>
        <w:rPr>
          <w:rStyle w:val="VerbatimChar"/>
        </w:rPr>
        <w:t xml:space="preserve">  adjacent deal carries the real signal, open with it.</w:t>
      </w:r>
      <w:r>
        <w:br/>
      </w:r>
      <w:r>
        <w:rPr>
          <w:rStyle w:val="VerbatimChar"/>
        </w:rPr>
        <w:t xml:space="preserve">- Short, declarative sentences. No filler closers ("automate or get left behind," "no longer a</w:t>
      </w:r>
      <w:r>
        <w:br/>
      </w:r>
      <w:r>
        <w:rPr>
          <w:rStyle w:val="VerbatimChar"/>
        </w:rPr>
        <w:t xml:space="preserve">  luxury"). End on ONE specific, dated, falsifiable implication (a "by 2029…" bet).</w:t>
      </w:r>
      <w:r>
        <w:br/>
      </w:r>
      <w:r>
        <w:rPr>
          <w:rStyle w:val="VerbatimChar"/>
        </w:rPr>
        <w:t xml:space="preserve">- Imitate the voice reference's rhythm; do not copy its facts.</w:t>
      </w:r>
      <w:r>
        <w:br/>
      </w:r>
      <w:r>
        <w:br/>
      </w:r>
      <w:r>
        <w:rPr>
          <w:rStyle w:val="VerbatimChar"/>
        </w:rPr>
        <w:t xml:space="preserve">HEADLINE / $ CONVENTION:</w:t>
      </w:r>
      <w:r>
        <w:br/>
      </w:r>
      <w:r>
        <w:rPr>
          <w:rStyle w:val="VerbatimChar"/>
        </w:rPr>
        <w:t xml:space="preserve">- Open: "[N] deals. $[X] primary capital / $[Y] M&amp;A value[ / $[Z] debt]." Never sum raises, M&amp;A,</w:t>
      </w:r>
      <w:r>
        <w:br/>
      </w:r>
      <w:r>
        <w:rPr>
          <w:rStyle w:val="VerbatimChar"/>
        </w:rPr>
        <w:t xml:space="preserve">  and debt into one number. Mark undisclosed amounts as such.</w:t>
      </w:r>
      <w:r>
        <w:br/>
      </w:r>
      <w:r>
        <w:br/>
      </w:r>
      <w:r>
        <w:rPr>
          <w:rStyle w:val="VerbatimChar"/>
        </w:rPr>
        <w:t xml:space="preserve">THESIS DISCIPLINE:</w:t>
      </w:r>
      <w:r>
        <w:br/>
      </w:r>
      <w:r>
        <w:rPr>
          <w:rStyle w:val="VerbatimChar"/>
        </w:rPr>
        <w:t xml:space="preserve">- For each OPEN {{SUBSECTOR}} thesis: CONFIRMS / CONTRADICTS / NEUTRAL, cite the deal, adjust confidence.</w:t>
      </w:r>
      <w:r>
        <w:br/>
      </w:r>
      <w:r>
        <w:rPr>
          <w:rStyle w:val="VerbatimChar"/>
        </w:rPr>
        <w:t xml:space="preserve">- Create a NEW thesis ONLY if it asserts a DIRECTION the market is moving AND has &gt;=2 datapoints,</w:t>
      </w:r>
      <w:r>
        <w:br/>
      </w:r>
      <w:r>
        <w:rPr>
          <w:rStyle w:val="VerbatimChar"/>
        </w:rPr>
        <w:t xml:space="preserve">  OR is a genuinely non-obvious 1-datapoint "watch." Do NOT log a thesis that merely restates a</w:t>
      </w:r>
      <w:r>
        <w:br/>
      </w:r>
      <w:r>
        <w:rPr>
          <w:rStyle w:val="VerbatimChar"/>
        </w:rPr>
        <w:t xml:space="preserve">  single deal. If nothing qualifies, leave the ledger unchanged and say so.</w:t>
      </w:r>
      <w:r>
        <w:br/>
      </w:r>
      <w:r>
        <w:br/>
      </w:r>
      <w:r>
        <w:rPr>
          <w:rStyle w:val="VerbatimChar"/>
        </w:rPr>
        <w:t xml:space="preserve">DATA: every multiple/volume claim comes from the Tape Summary; if absent, write "[Tape: __]".</w:t>
      </w:r>
      <w:r>
        <w:br/>
      </w:r>
      <w:r>
        <w:rPr>
          <w:rStyle w:val="VerbatimChar"/>
        </w:rPr>
        <w:t xml:space="preserve">Cite a source for every deal.</w:t>
      </w:r>
    </w:p>
    <w:bookmarkEnd w:id="10"/>
    <w:bookmarkStart w:id="11" w:name="X6d00074e31c182761f4f68cd9f7d848c49b30c9"/>
    <w:p>
      <w:pPr>
        <w:pStyle w:val="Heading2"/>
      </w:pPr>
      <w:r>
        <w:t xml:space="preserve">Prompt B v2 — Cross-sector synthesis (run once, last, as its own message)</w:t>
      </w:r>
    </w:p>
    <w:p>
      <w:pPr>
        <w:pStyle w:val="SourceCode"/>
      </w:pPr>
      <w:r>
        <w:rPr>
          <w:rStyle w:val="VerbatimChar"/>
        </w:rPr>
        <w:t xml:space="preserve">You are the head of FinTech coverage writing the weekly synthesis. Sources: the full weekly deal</w:t>
      </w:r>
      <w:r>
        <w:br/>
      </w:r>
      <w:r>
        <w:rPr>
          <w:rStyle w:val="VerbatimChar"/>
        </w:rPr>
        <w:t xml:space="preserve">log (all subsectors incl. Context/Watch), the Tape Summary, the master Thesis Ledger, and this</w:t>
      </w:r>
      <w:r>
        <w:br/>
      </w:r>
      <w:r>
        <w:rPr>
          <w:rStyle w:val="VerbatimChar"/>
        </w:rPr>
        <w:t xml:space="preserve">week's 8 subsector narratives.</w:t>
      </w:r>
      <w:r>
        <w:br/>
      </w:r>
      <w:r>
        <w:br/>
      </w:r>
      <w:r>
        <w:rPr>
          <w:rStyle w:val="VerbatimChar"/>
        </w:rPr>
        <w:t xml:space="preserve">Write a TAKE, not a recap. Structure:</w:t>
      </w:r>
      <w:r>
        <w:br/>
      </w:r>
      <w:r>
        <w:rPr>
          <w:rStyle w:val="VerbatimChar"/>
        </w:rPr>
        <w:t xml:space="preserve">1) HEADLINE: "[N] deals across [k] subsectors. $[X] primary / $[Y] M&amp;A. [one-sentence thesis]."</w:t>
      </w:r>
      <w:r>
        <w:br/>
      </w:r>
      <w:r>
        <w:rPr>
          <w:rStyle w:val="VerbatimChar"/>
        </w:rPr>
        <w:t xml:space="preserve">2) THE ONE READ: the single most important cross-current this week, in 3-4 sentences.</w:t>
      </w:r>
      <w:r>
        <w:br/>
      </w:r>
      <w:r>
        <w:rPr>
          <w:rStyle w:val="VerbatimChar"/>
        </w:rPr>
        <w:t xml:space="preserve">3) THE UNNAMED TREND: find one signal that crosses &gt;=2 subsectors OR hides in a Context/Watch</w:t>
      </w:r>
      <w:r>
        <w:br/>
      </w:r>
      <w:r>
        <w:rPr>
          <w:rStyle w:val="VerbatimChar"/>
        </w:rPr>
        <w:t xml:space="preserve">   deal that nobody has named yet. Name it. Explain why it matters in 2-3 years. This section is</w:t>
      </w:r>
      <w:r>
        <w:br/>
      </w:r>
      <w:r>
        <w:rPr>
          <w:rStyle w:val="VerbatimChar"/>
        </w:rPr>
        <w:t xml:space="preserve">   the point of the whole report — do not skip or hedge it.</w:t>
      </w:r>
      <w:r>
        <w:br/>
      </w:r>
      <w:r>
        <w:rPr>
          <w:rStyle w:val="VerbatimChar"/>
        </w:rPr>
        <w:t xml:space="preserve">4) THEMES IN &gt;=2 SUBSECTORS: list each, the subsectors + deals, and emerging/building/consensus.</w:t>
      </w:r>
      <w:r>
        <w:br/>
      </w:r>
      <w:r>
        <w:rPr>
          <w:rStyle w:val="VerbatimChar"/>
        </w:rPr>
        <w:t xml:space="preserve">5) ROTATION: where capital moved between subsectors vs the trailing trend — cite Tape figures.</w:t>
      </w:r>
      <w:r>
        <w:br/>
      </w:r>
      <w:r>
        <w:rPr>
          <w:rStyle w:val="VerbatimChar"/>
        </w:rPr>
        <w:t xml:space="preserve">6) CROSS-SECTOR LEDGER UPDATE: rows tagged Subsector = "Cross-Sector."</w:t>
      </w:r>
      <w:r>
        <w:br/>
      </w:r>
      <w:r>
        <w:rPr>
          <w:rStyle w:val="VerbatimChar"/>
        </w:rPr>
        <w:t xml:space="preserve">Anchor every number to the Tape; never estimate. Cite sources.</w:t>
      </w:r>
    </w:p>
    <w:p>
      <w:r>
        <w:pict>
          <v:rect style="width:0;height:1.5pt" o:hralign="center" o:hrstd="t" o:hr="t"/>
        </w:pict>
      </w:r>
    </w:p>
    <w:bookmarkEnd w:id="11"/>
    <w:bookmarkStart w:id="12" w:name="voice-exemplars-the-bar-to-hit"/>
    <w:p>
      <w:pPr>
        <w:pStyle w:val="Heading2"/>
      </w:pPr>
      <w:r>
        <w:t xml:space="preserve">Voice exemplars (the bar to hit)</w:t>
      </w:r>
    </w:p>
    <w:p>
      <w:pPr>
        <w:pStyle w:val="FirstParagraph"/>
      </w:pPr>
      <w:r>
        <w:rPr>
          <w:b/>
          <w:bCs/>
        </w:rPr>
        <w:t xml:space="preserve">InsurTech —</w:t>
      </w:r>
      <w:r>
        <w:t xml:space="preserve"> </w:t>
      </w:r>
      <w:r>
        <w:t xml:space="preserve">&gt; Four deals, ~$45M — but the signal isn’t the money. Connie Health raised $40M (HealthQuest) and</w:t>
      </w:r>
      <w:r>
        <w:t xml:space="preserve"> </w:t>
      </w:r>
      <w:r>
        <w:t xml:space="preserve">&gt; spent it the same day closing its 10th acquisition, a Medicare book from Clearlink. This isn’t a</w:t>
      </w:r>
      <w:r>
        <w:t xml:space="preserve"> </w:t>
      </w:r>
      <w:r>
        <w:t xml:space="preserve">&gt; company; it’s a roll-up wearing a Series B. Underneath, the back office kept getting wired —</w:t>
      </w:r>
      <w:r>
        <w:t xml:space="preserve"> </w:t>
      </w:r>
      <w:r>
        <w:t xml:space="preserve">&gt; Braven automating delegated-authority ops, Trussed building the governance layer carriers need</w:t>
      </w:r>
      <w:r>
        <w:t xml:space="preserve"> </w:t>
      </w:r>
      <w:r>
        <w:t xml:space="preserve">&gt; first. But the deal that should scare incumbents wasn’t an insurtech at all: PruVen, an insurance</w:t>
      </w:r>
      <w:r>
        <w:t xml:space="preserve"> </w:t>
      </w:r>
      <w:r>
        <w:t xml:space="preserve">&gt; CVC, backed Gradial, a marketing AI. Insurance money is buying the funnel entrance. Whoever owns</w:t>
      </w:r>
      <w:r>
        <w:t xml:space="preserve"> </w:t>
      </w:r>
      <w:r>
        <w:t xml:space="preserve">&gt; first-party intent data in 2026 owns the cheapest underwriting signal in 2029.</w:t>
      </w:r>
    </w:p>
    <w:p>
      <w:pPr>
        <w:pStyle w:val="BodyText"/>
      </w:pPr>
      <w:r>
        <w:rPr>
          <w:b/>
          <w:bCs/>
        </w:rPr>
        <w:t xml:space="preserve">Payments —</w:t>
      </w:r>
      <w:r>
        <w:t xml:space="preserve"> </w:t>
      </w:r>
      <w:r>
        <w:t xml:space="preserve">&gt; Three raises and a $625M exit — and stablecoins quietly became table stakes. Deluxe paid ~$625M</w:t>
      </w:r>
      <w:r>
        <w:t xml:space="preserve"> </w:t>
      </w:r>
      <w:r>
        <w:t xml:space="preserve">&gt; for Celero to buy into SMB payments. But the structural story is the rails: Flutterwave’s Series E</w:t>
      </w:r>
      <w:r>
        <w:t xml:space="preserve"> </w:t>
      </w:r>
      <w:r>
        <w:t xml:space="preserve">&gt; ($3.2B) came with Ripple wiring RLUSD into its African corridors, and Trace Finance ($32M,</w:t>
      </w:r>
      <w:r>
        <w:t xml:space="preserve"> </w:t>
      </w:r>
      <w:r>
        <w:t xml:space="preserve">&gt; CoinFund) is building the regulated stablecoin-settlement layer between the US and Brazil. Two of</w:t>
      </w:r>
      <w:r>
        <w:t xml:space="preserve"> </w:t>
      </w:r>
      <w:r>
        <w:t xml:space="preserve">&gt; the week’s payments dollars went into stablecoin infrastructure, not card rails. Acquirers who</w:t>
      </w:r>
      <w:r>
        <w:t xml:space="preserve"> </w:t>
      </w:r>
      <w:r>
        <w:t xml:space="preserve">&gt; treat that as a 2028 problem will buy it at 3x the price.</w:t>
      </w:r>
    </w:p>
    <w:p>
      <w:pPr>
        <w:pStyle w:val="BodyText"/>
      </w:pPr>
      <w:r>
        <w:t xml:space="preserve">Note how each: opens with a reframe, separates M&amp;A from raises, names a non-obvious trend, and</w:t>
      </w:r>
      <w:r>
        <w:t xml:space="preserve"> </w:t>
      </w:r>
      <w:r>
        <w:t xml:space="preserve">ends on a dated, falsifiable bet — no filler.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2026-06-23T01:11:01Z</dcterms:created>
  <dcterms:modified xsi:type="dcterms:W3CDTF">2026-06-23T01:11:01Z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