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spacing w:before="0" w:after="180" w:line="300" w:lineRule="auto"/>
      </w:pPr>
      <w:r>
        <w:rPr>
          <w:rFonts w:ascii="Times New Roman" w:hAnsi="Times New Roman" w:cs="Times New Roman" w:eastAsia="SimSun"/>
          <w:b/>
          <w:sz w:val="30"/>
          <w:szCs w:val="30"/>
        </w:rPr>
        <w:t xml:space="preserve">MVCG-RAG：面向知识冲突消解的多视角交叉佐证图检索增强生成方法</w:t>
      </w:r>
    </w:p>
    <w:p>
      <w:pPr>
        <w:jc w:val="center"/>
        <w:spacing w:before="0" w:after="80" w:line="240" w:lineRule="auto"/>
        <w:keepNext/>
      </w:pPr>
      <w:r>
        <w:rPr>
          <w:rFonts w:ascii="Times New Roman" w:hAnsi="Times New Roman" w:cs="Times New Roman" w:eastAsia="SimSun"/>
          <w:b/>
          <w:sz w:val="22"/>
          <w:szCs w:val="22"/>
        </w:rPr>
        <w:t xml:space="preserve">摘要</w:t>
      </w:r>
    </w:p>
    <w:p>
      <w:pPr>
        <w:jc w:val="both"/>
        <w:spacing w:before="0" w:after="180" w:line="240" w:lineRule="auto"/>
        <w:ind w:firstLine="360"/>
      </w:pPr>
      <w:r>
        <w:rPr>
          <w:rFonts w:ascii="Times New Roman" w:hAnsi="Times New Roman" w:cs="Times New Roman" w:eastAsia="SimSun"/>
          <w:sz w:val="20"/>
          <w:szCs w:val="20"/>
        </w:rPr>
        <w:t xml:space="preserve">知识冲突消解是提升检索增强生成可靠性的重要环节。传统 RAG 通常由生成模型隐式融合检索知识与参数化知识，而现有冲突处理方法对多路信息的来源依赖和证据充分性建模不足，容易把同一来源反复产生的信息误认为来自不同视角的相互佐证，因而在冲突或证据不足时产生不可靠回答。针对上述问题，提出了一种面向知识冲突消解的多视角交叉佐证图检索增强生成方法 MVCG-RAG。该方法受人在冲突信息处理中辨别来源、交叉核验和充分后决策的过程启发。具体来说，首先分别分析检索上下文与模型内部知识，使二者之间的潜在冲突显式化，并从完整上下文、局部证据和双层语义关联三个层面进行交叉验证。然后，将不同推理与验证结果及其来源组织为交叉佐证图，通过来源约束限制同一来源的重复贡献，避免信息被反复放大；当上下文结论通过面向当前问题的语义验证后，移除与该结论不一致的基础推理路径。最后，根据交叉佐证是否明确以及证据是否充分，决定输出确定性回答或采用保守结果。该方法无需任务训练，可在零样本条件下应用于不同基座大模型。在三种基座模型和四个冲突数据集上的实验结果表明，MVCG-RAG 较匹配的已发表方法平均提升 5.86 个百分点，验证了所提方法的有效性。</w:t>
      </w:r>
    </w:p>
    <w:p>
      <w:pPr>
        <w:spacing w:before="120" w:after="80" w:line="240" w:lineRule="auto"/>
        <w:keepNext/>
      </w:pPr>
      <w:r>
        <w:rPr>
          <w:rFonts w:ascii="Times New Roman" w:hAnsi="Times New Roman" w:cs="Times New Roman" w:eastAsia="SimSun"/>
          <w:b/>
          <w:sz w:val="24"/>
          <w:szCs w:val="24"/>
        </w:rPr>
        <w:t xml:space="preserve">实验结果</w:t>
      </w:r>
    </w:p>
    <w:p>
      <w:pPr>
        <w:spacing w:before="80" w:after="60" w:line="240" w:lineRule="auto"/>
        <w:keepNext/>
      </w:pPr>
      <w:r>
        <w:rPr>
          <w:rFonts w:ascii="Times New Roman" w:hAnsi="Times New Roman" w:cs="Times New Roman" w:eastAsia="SimSun"/>
          <w:b/>
          <w:sz w:val="21"/>
          <w:szCs w:val="21"/>
        </w:rPr>
        <w:t xml:space="preserve">实验设置</w:t>
      </w:r>
    </w:p>
    <w:p>
      <w:pPr>
        <w:jc w:val="both"/>
        <w:spacing w:before="0" w:after="100" w:line="240" w:lineRule="auto"/>
        <w:ind w:firstLine="360"/>
      </w:pPr>
      <w:r>
        <w:rPr>
          <w:rFonts w:ascii="Times New Roman" w:hAnsi="Times New Roman" w:cs="Times New Roman" w:eastAsia="SimSun"/>
          <w:sz w:val="20"/>
          <w:szCs w:val="20"/>
        </w:rPr>
        <w:t xml:space="preserve">我们在四个知识冲突数据集上评估 MVCG-RAG：FaithEval（1,000 个样本）、RealtimeQA（113 个样本）、MuSiQue-Negative（1,772 个样本）和 SQuAD-Negative（1,769 个样本）。此外，使用 Llama-3.1-8B-Instruct 在无冲突的 MuSiQue-Golden 和 SQuAD-Golden 上进行评测。所有实验均采用温度系数 0、12 个并行 worker，不进行任务训练，不使用示例，也不根据标准答案进行路由或图结构调整。准确率由 TruthfulRAG 公开的原始评价器计算。为保证基座模型匹配，Llama 的结果与已发表的 FaithfulRAG 结果对比；Qwen2.5-7B-Instruct 和精确的 Mistral-7B-Instruct-v0.3 检查点则与已发表的 TruthfulRAG 结果对比。由于对比方法未公开逐样本预测，我们仅报告点估计差值，不宣称与外部方法之间的配对显著性。</w:t>
      </w:r>
    </w:p>
    <w:p>
      <w:pPr>
        <w:spacing w:before="100" w:after="60" w:line="240" w:lineRule="auto"/>
        <w:keepNext/>
      </w:pPr>
      <w:r>
        <w:rPr>
          <w:rFonts w:ascii="Times New Roman" w:hAnsi="Times New Roman" w:cs="Times New Roman" w:eastAsia="SimSun"/>
          <w:b/>
          <w:sz w:val="21"/>
          <w:szCs w:val="21"/>
        </w:rPr>
        <w:t xml:space="preserve">总体性能</w:t>
      </w:r>
    </w:p>
    <w:p>
      <w:pPr>
        <w:jc w:val="both"/>
        <w:spacing w:before="0" w:after="100" w:line="240" w:lineRule="auto"/>
        <w:ind w:firstLine="360"/>
      </w:pPr>
      <w:r>
        <w:rPr>
          <w:rFonts w:ascii="Times New Roman" w:hAnsi="Times New Roman" w:cs="Times New Roman" w:eastAsia="SimSun"/>
          <w:sz w:val="20"/>
          <w:szCs w:val="20"/>
        </w:rPr>
        <w:t xml:space="preserve">表 1 给出了知识冲突消解主实验结果。在每个基座模型和每个数据集上，MVCG-RAG 均超过相应的已发表对比方法。在 Llama 上，本方法相较 FaithfulRAG 平均提升 5.33 个百分点；在 Qwen 上，相较 TruthfulRAG 平均提升 6.88 个百分点；在精确的 Mistral v0.3 检查点上，相较 TruthfulRAG 平均提升 5.38 个百分点。最大的单项提升出现在 Qwen 的 RealtimeQA 上，提升幅度为 10.62 个百分点；Mistral v0.3 在 RealtimeQA 上也由已发表的 81.40 提升至 88.50。</w:t>
      </w:r>
    </w:p>
    <w:tbl>
      <w:tblPr>
        <w:tblW w:w="0" w:type="auto"/>
        <w:tblLayout w:type="fixed"/>
        <w:jc w:val="center"/>
        <w:tblBorders>
          <w:top w:val="single" w:sz="10" w:color="000000"/>
          <w:left w:val="nil" w:sz="0" w:color="000000"/>
          <w:bottom w:val="single" w:sz="10" w:color="000000"/>
          <w:right w:val="nil" w:sz="0" w:color="000000"/>
          <w:insideH w:val="nil" w:sz="0" w:color="000000"/>
          <w:insideV w:val="nil" w:sz="0" w:color="000000"/>
        </w:tblBorders>
      </w:tblPr>
      <w:tblGrid>
        <w:gridCol w:w="1850"/>
        <w:gridCol w:w="1900"/>
        <w:gridCol w:w="850"/>
        <w:gridCol w:w="900"/>
        <w:gridCol w:w="900"/>
        <w:gridCol w:w="900"/>
        <w:gridCol w:w="650"/>
        <w:gridCol w:w="650"/>
      </w:tblGrid>
      <w:tr>
        <w:tc>
          <w:tcPr>
            <w:tcW w:w="1850" w:type="dxa"/>
            <w:vMerge w:val="restart"/>
            <w:vAlign w:val="center"/>
          </w:tcPr>
          <w:p>
            <w:pPr>
              <w:jc w:val="center"/>
              <w:spacing w:before="0" w:after="0" w:line="200"/>
            </w:pPr>
            <w:r>
              <w:rPr>
                <w:rFonts w:ascii="Times New Roman" w:hAnsi="Times New Roman" w:cs="Times New Roman" w:eastAsia="SimSun"/>
                <w:b/>
                <w:sz w:val="16"/>
                <w:szCs w:val="16"/>
              </w:rPr>
              <w:t xml:space="preserve">方法</w:t>
            </w:r>
          </w:p>
        </w:tc>
        <w:tc>
          <w:tcPr>
            <w:tcW w:w="1900" w:type="dxa"/>
            <w:vMerge w:val="restart"/>
            <w:vAlign w:val="center"/>
          </w:tcPr>
          <w:p>
            <w:pPr>
              <w:jc w:val="center"/>
              <w:spacing w:before="0" w:after="0" w:line="200"/>
            </w:pPr>
            <w:r>
              <w:rPr>
                <w:rFonts w:ascii="Times New Roman" w:hAnsi="Times New Roman" w:cs="Times New Roman" w:eastAsia="SimSun"/>
                <w:b/>
                <w:sz w:val="16"/>
                <w:szCs w:val="16"/>
              </w:rPr>
              <w:t xml:space="preserve">基座大模型</w:t>
            </w:r>
          </w:p>
        </w:tc>
        <w:tc>
          <w:tcPr>
            <w:tcW w:w="3550" w:type="dxa"/>
            <w:gridSpan w:val="4"/>
            <w:vAlign w:val="center"/>
          </w:tcPr>
          <w:p>
            <w:pPr>
              <w:jc w:val="center"/>
              <w:spacing w:before="0" w:after="0" w:line="200"/>
            </w:pPr>
            <w:r>
              <w:rPr>
                <w:rFonts w:ascii="Times New Roman" w:hAnsi="Times New Roman" w:cs="Times New Roman" w:eastAsia="SimSun"/>
                <w:b/>
                <w:sz w:val="16"/>
                <w:szCs w:val="16"/>
              </w:rPr>
              <w:t xml:space="preserve">数据集</w:t>
            </w:r>
          </w:p>
        </w:tc>
        <w:tc>
          <w:tcPr>
            <w:tcW w:w="650" w:type="dxa"/>
            <w:vMerge w:val="restart"/>
            <w:vAlign w:val="center"/>
          </w:tcPr>
          <w:p>
            <w:pPr>
              <w:jc w:val="center"/>
              <w:spacing w:before="0" w:after="0" w:line="200"/>
            </w:pPr>
            <w:r>
              <w:rPr>
                <w:rFonts w:ascii="Times New Roman" w:hAnsi="Times New Roman" w:cs="Times New Roman" w:eastAsia="SimSun"/>
                <w:b/>
                <w:sz w:val="16"/>
                <w:szCs w:val="16"/>
              </w:rPr>
              <w:t xml:space="preserve">平均</w:t>
            </w:r>
          </w:p>
        </w:tc>
        <w:tc>
          <w:tcPr>
            <w:tcW w:w="650" w:type="dxa"/>
            <w:vMerge w:val="restart"/>
            <w:vAlign w:val="center"/>
          </w:tcPr>
          <w:p>
            <w:pPr>
              <w:jc w:val="center"/>
              <w:spacing w:before="0" w:after="0" w:line="200"/>
            </w:pPr>
            <w:r>
              <w:rPr>
                <w:rFonts w:ascii="Times New Roman" w:hAnsi="Times New Roman" w:cs="Times New Roman" w:eastAsia="SimSun"/>
                <w:b/>
                <w:sz w:val="16"/>
                <w:szCs w:val="16"/>
              </w:rPr>
              <w:t xml:space="preserve">提升</w:t>
            </w:r>
          </w:p>
        </w:tc>
      </w:tr>
      <w:tr>
        <w:tc>
          <w:tcPr>
            <w:tcW w:w="1850" w:type="dxa"/>
            <w:vMerge/>
            <w:vAlign w:val="center"/>
            <w:tcBorders>
              <w:bottom w:val="single" w:sz="8" w:space="0" w:color="000000"/>
            </w:tcBorders>
          </w:tcPr>
          <w:p>
            <w:pPr>
              <w:jc w:val="center"/>
              <w:spacing w:before="0" w:after="0" w:line="200"/>
            </w:pPr>
            <w:r>
              <w:rPr>
                <w:rFonts w:ascii="Times New Roman" w:hAnsi="Times New Roman" w:cs="Times New Roman" w:eastAsia="SimSun"/>
                <w:sz w:val="16"/>
                <w:szCs w:val="16"/>
              </w:rPr>
              <w:t xml:space="preserve"/>
            </w:r>
          </w:p>
        </w:tc>
        <w:tc>
          <w:tcPr>
            <w:tcW w:w="1900" w:type="dxa"/>
            <w:vMerge/>
            <w:vAlign w:val="center"/>
            <w:tcBorders>
              <w:bottom w:val="single" w:sz="8" w:space="0" w:color="000000"/>
            </w:tcBorders>
          </w:tcPr>
          <w:p>
            <w:pPr>
              <w:jc w:val="center"/>
              <w:spacing w:before="0" w:after="0" w:line="200"/>
            </w:pPr>
            <w:r>
              <w:rPr>
                <w:rFonts w:ascii="Times New Roman" w:hAnsi="Times New Roman" w:cs="Times New Roman" w:eastAsia="SimSun"/>
                <w:sz w:val="16"/>
                <w:szCs w:val="16"/>
              </w:rPr>
              <w:t xml:space="preserve"/>
            </w:r>
          </w:p>
        </w:tc>
        <w:tc>
          <w:tcPr>
            <w:tcW w:w="850" w:type="dxa"/>
            <w:vAlign w:val="center"/>
            <w:tcBorders>
              <w:bottom w:val="single" w:sz="8" w:space="0" w:color="000000"/>
            </w:tcBorders>
          </w:tcPr>
          <w:p>
            <w:pPr>
              <w:jc w:val="center"/>
              <w:spacing w:before="0" w:after="0" w:line="200"/>
            </w:pPr>
            <w:r>
              <w:rPr>
                <w:rFonts w:ascii="Times New Roman" w:hAnsi="Times New Roman" w:cs="Times New Roman" w:eastAsia="SimSun"/>
                <w:b/>
                <w:sz w:val="16"/>
                <w:szCs w:val="16"/>
              </w:rPr>
              <w:t xml:space="preserve">FaithEval</w:t>
            </w:r>
          </w:p>
        </w:tc>
        <w:tc>
          <w:tcPr>
            <w:tcW w:w="900" w:type="dxa"/>
            <w:vAlign w:val="center"/>
            <w:tcBorders>
              <w:bottom w:val="single" w:sz="8" w:space="0" w:color="000000"/>
            </w:tcBorders>
          </w:tcPr>
          <w:p>
            <w:pPr>
              <w:jc w:val="center"/>
              <w:spacing w:before="0" w:after="0" w:line="200"/>
            </w:pPr>
            <w:r>
              <w:rPr>
                <w:rFonts w:ascii="Times New Roman" w:hAnsi="Times New Roman" w:cs="Times New Roman" w:eastAsia="SimSun"/>
                <w:b/>
                <w:sz w:val="16"/>
                <w:szCs w:val="16"/>
              </w:rPr>
              <w:t xml:space="preserve">MuSiQue</w:t>
            </w:r>
          </w:p>
        </w:tc>
        <w:tc>
          <w:tcPr>
            <w:tcW w:w="900" w:type="dxa"/>
            <w:vAlign w:val="center"/>
            <w:tcBorders>
              <w:bottom w:val="single" w:sz="8" w:space="0" w:color="000000"/>
            </w:tcBorders>
          </w:tcPr>
          <w:p>
            <w:pPr>
              <w:jc w:val="center"/>
              <w:spacing w:before="0" w:after="0" w:line="200"/>
            </w:pPr>
            <w:r>
              <w:rPr>
                <w:rFonts w:ascii="Times New Roman" w:hAnsi="Times New Roman" w:cs="Times New Roman" w:eastAsia="SimSun"/>
                <w:b/>
                <w:sz w:val="16"/>
                <w:szCs w:val="16"/>
              </w:rPr>
              <w:t xml:space="preserve">RealtimeQA</w:t>
            </w:r>
          </w:p>
        </w:tc>
        <w:tc>
          <w:tcPr>
            <w:tcW w:w="900" w:type="dxa"/>
            <w:vAlign w:val="center"/>
            <w:tcBorders>
              <w:bottom w:val="single" w:sz="8" w:space="0" w:color="000000"/>
            </w:tcBorders>
          </w:tcPr>
          <w:p>
            <w:pPr>
              <w:jc w:val="center"/>
              <w:spacing w:before="0" w:after="0" w:line="200"/>
            </w:pPr>
            <w:r>
              <w:rPr>
                <w:rFonts w:ascii="Times New Roman" w:hAnsi="Times New Roman" w:cs="Times New Roman" w:eastAsia="SimSun"/>
                <w:b/>
                <w:sz w:val="16"/>
                <w:szCs w:val="16"/>
              </w:rPr>
              <w:t xml:space="preserve">SQuAD</w:t>
            </w:r>
          </w:p>
        </w:tc>
        <w:tc>
          <w:tcPr>
            <w:tcW w:w="650" w:type="dxa"/>
            <w:vMerge/>
            <w:vAlign w:val="center"/>
            <w:tcBorders>
              <w:bottom w:val="single" w:sz="8" w:space="0" w:color="000000"/>
            </w:tcBorders>
          </w:tcPr>
          <w:p>
            <w:pPr>
              <w:jc w:val="center"/>
              <w:spacing w:before="0" w:after="0" w:line="200"/>
            </w:pPr>
            <w:r>
              <w:rPr>
                <w:rFonts w:ascii="Times New Roman" w:hAnsi="Times New Roman" w:cs="Times New Roman" w:eastAsia="SimSun"/>
                <w:sz w:val="16"/>
                <w:szCs w:val="16"/>
              </w:rPr>
              <w:t xml:space="preserve"/>
            </w:r>
          </w:p>
        </w:tc>
        <w:tc>
          <w:tcPr>
            <w:tcW w:w="650" w:type="dxa"/>
            <w:vMerge/>
            <w:vAlign w:val="center"/>
            <w:tcBorders>
              <w:bottom w:val="single" w:sz="8" w:space="0" w:color="000000"/>
            </w:tcBorders>
          </w:tcPr>
          <w:p>
            <w:pPr>
              <w:jc w:val="center"/>
              <w:spacing w:before="0" w:after="0" w:line="200"/>
            </w:pPr>
            <w:r>
              <w:rPr>
                <w:rFonts w:ascii="Times New Roman" w:hAnsi="Times New Roman" w:cs="Times New Roman" w:eastAsia="SimSun"/>
                <w:sz w:val="16"/>
                <w:szCs w:val="16"/>
              </w:rPr>
              <w:t xml:space="preserve"/>
            </w:r>
          </w:p>
        </w:tc>
      </w:tr>
      <w:tr>
        <w:tc>
          <w:tcPr>
            <w:tcW w:w="1850" w:type="dxa"/>
            <w:vAlign w:val="center"/>
          </w:tcPr>
          <w:p>
            <w:pPr>
              <w:jc w:val="left"/>
              <w:spacing w:before="0" w:after="0" w:line="200"/>
            </w:pPr>
            <w:r>
              <w:rPr>
                <w:rFonts w:ascii="Times New Roman" w:hAnsi="Times New Roman" w:cs="Times New Roman" w:eastAsia="SimSun"/>
                <w:sz w:val="15"/>
                <w:szCs w:val="15"/>
              </w:rPr>
              <w:t xml:space="preserve">FaithfulRAG（已发表）</w:t>
            </w:r>
          </w:p>
        </w:tc>
        <w:tc>
          <w:tcPr>
            <w:tcW w:w="1900" w:type="dxa"/>
            <w:vAlign w:val="center"/>
          </w:tcPr>
          <w:p>
            <w:pPr>
              <w:jc w:val="left"/>
              <w:spacing w:before="0" w:after="0" w:line="200"/>
            </w:pPr>
            <w:r>
              <w:rPr>
                <w:rFonts w:ascii="Times New Roman" w:hAnsi="Times New Roman" w:cs="Times New Roman" w:eastAsia="SimSun"/>
                <w:sz w:val="15"/>
                <w:szCs w:val="15"/>
              </w:rPr>
              <w:t xml:space="preserve">Llama-3.1-8B-Instruct</w:t>
            </w:r>
          </w:p>
        </w:tc>
        <w:tc>
          <w:tcPr>
            <w:tcW w:w="850" w:type="dxa"/>
            <w:vAlign w:val="center"/>
          </w:tcPr>
          <w:p>
            <w:pPr>
              <w:jc w:val="center"/>
              <w:spacing w:before="0" w:after="0" w:line="200"/>
            </w:pPr>
            <w:r>
              <w:rPr>
                <w:rFonts w:ascii="Times New Roman" w:hAnsi="Times New Roman" w:cs="Times New Roman" w:eastAsia="SimSun"/>
                <w:u w:val="single"/>
                <w:sz w:val="15"/>
                <w:szCs w:val="15"/>
              </w:rPr>
              <w:t xml:space="preserve">79.80</w:t>
            </w:r>
          </w:p>
        </w:tc>
        <w:tc>
          <w:tcPr>
            <w:tcW w:w="900" w:type="dxa"/>
            <w:vAlign w:val="center"/>
          </w:tcPr>
          <w:p>
            <w:pPr>
              <w:jc w:val="center"/>
              <w:spacing w:before="0" w:after="0" w:line="200"/>
            </w:pPr>
            <w:r>
              <w:rPr>
                <w:rFonts w:ascii="Times New Roman" w:hAnsi="Times New Roman" w:cs="Times New Roman" w:eastAsia="SimSun"/>
                <w:u w:val="single"/>
                <w:sz w:val="15"/>
                <w:szCs w:val="15"/>
              </w:rPr>
              <w:t xml:space="preserve">79.90</w:t>
            </w:r>
          </w:p>
        </w:tc>
        <w:tc>
          <w:tcPr>
            <w:tcW w:w="900" w:type="dxa"/>
            <w:vAlign w:val="center"/>
          </w:tcPr>
          <w:p>
            <w:pPr>
              <w:jc w:val="center"/>
              <w:spacing w:before="0" w:after="0" w:line="200"/>
            </w:pPr>
            <w:r>
              <w:rPr>
                <w:rFonts w:ascii="Times New Roman" w:hAnsi="Times New Roman" w:cs="Times New Roman" w:eastAsia="SimSun"/>
                <w:u w:val="single"/>
                <w:sz w:val="15"/>
                <w:szCs w:val="15"/>
              </w:rPr>
              <w:t xml:space="preserve">81.40</w:t>
            </w:r>
          </w:p>
        </w:tc>
        <w:tc>
          <w:tcPr>
            <w:tcW w:w="900" w:type="dxa"/>
            <w:vAlign w:val="center"/>
          </w:tcPr>
          <w:p>
            <w:pPr>
              <w:jc w:val="center"/>
              <w:spacing w:before="0" w:after="0" w:line="200"/>
            </w:pPr>
            <w:r>
              <w:rPr>
                <w:rFonts w:ascii="Times New Roman" w:hAnsi="Times New Roman" w:cs="Times New Roman" w:eastAsia="SimSun"/>
                <w:u w:val="single"/>
                <w:sz w:val="15"/>
                <w:szCs w:val="15"/>
              </w:rPr>
              <w:t xml:space="preserve">86.30</w:t>
            </w:r>
          </w:p>
        </w:tc>
        <w:tc>
          <w:tcPr>
            <w:tcW w:w="650" w:type="dxa"/>
            <w:vAlign w:val="center"/>
          </w:tcPr>
          <w:p>
            <w:pPr>
              <w:jc w:val="center"/>
              <w:spacing w:before="0" w:after="0" w:line="200"/>
            </w:pPr>
            <w:r>
              <w:rPr>
                <w:rFonts w:ascii="Times New Roman" w:hAnsi="Times New Roman" w:cs="Times New Roman" w:eastAsia="SimSun"/>
                <w:u w:val="single"/>
                <w:sz w:val="15"/>
                <w:szCs w:val="15"/>
              </w:rPr>
              <w:t xml:space="preserve">81.85</w:t>
            </w:r>
          </w:p>
        </w:tc>
        <w:tc>
          <w:tcPr>
            <w:tcW w:w="650" w:type="dxa"/>
            <w:vAlign w:val="center"/>
          </w:tcPr>
          <w:p>
            <w:pPr>
              <w:jc w:val="center"/>
              <w:spacing w:before="0" w:after="0" w:line="200"/>
            </w:pPr>
            <w:r>
              <w:rPr>
                <w:rFonts w:ascii="Times New Roman" w:hAnsi="Times New Roman" w:cs="Times New Roman" w:eastAsia="SimSun"/>
                <w:sz w:val="15"/>
                <w:szCs w:val="15"/>
              </w:rPr>
              <w:t xml:space="preserve">-</w:t>
            </w:r>
          </w:p>
        </w:tc>
      </w:tr>
      <w:tr>
        <w:tc>
          <w:tcPr>
            <w:tcW w:w="1850" w:type="dxa"/>
            <w:vAlign w:val="center"/>
            <w:tcBorders>
              <w:bottom w:val="single" w:sz="5" w:space="0" w:color="000000"/>
            </w:tcBorders>
          </w:tcPr>
          <w:p>
            <w:pPr>
              <w:jc w:val="left"/>
              <w:spacing w:before="0" w:after="0" w:line="200"/>
            </w:pPr>
            <w:r>
              <w:rPr>
                <w:rFonts w:ascii="Times New Roman" w:hAnsi="Times New Roman" w:cs="Times New Roman" w:eastAsia="SimSun"/>
                <w:b/>
                <w:sz w:val="15"/>
                <w:szCs w:val="15"/>
              </w:rPr>
              <w:t xml:space="preserve">MVCG-RAG（本文）</w:t>
            </w:r>
          </w:p>
        </w:tc>
        <w:tc>
          <w:tcPr>
            <w:tcW w:w="1900" w:type="dxa"/>
            <w:vAlign w:val="center"/>
            <w:tcBorders>
              <w:bottom w:val="single" w:sz="5" w:space="0" w:color="000000"/>
            </w:tcBorders>
          </w:tcPr>
          <w:p>
            <w:pPr>
              <w:jc w:val="left"/>
              <w:spacing w:before="0" w:after="0" w:line="200"/>
            </w:pPr>
            <w:r>
              <w:rPr>
                <w:rFonts w:ascii="Times New Roman" w:hAnsi="Times New Roman" w:cs="Times New Roman" w:eastAsia="SimSun"/>
                <w:b/>
                <w:sz w:val="15"/>
                <w:szCs w:val="15"/>
              </w:rPr>
              <w:t xml:space="preserve">Llama-3.1-8B-Instruct</w:t>
            </w:r>
          </w:p>
        </w:tc>
        <w:tc>
          <w:tcPr>
            <w:tcW w:w="850" w:type="dxa"/>
            <w:vAlign w:val="center"/>
            <w:tcBorders>
              <w:bottom w:val="single" w:sz="5" w:space="0" w:color="000000"/>
            </w:tcBorders>
          </w:tcPr>
          <w:p>
            <w:pPr>
              <w:jc w:val="center"/>
              <w:spacing w:before="0" w:after="0" w:line="200"/>
            </w:pPr>
            <w:r>
              <w:rPr>
                <w:rFonts w:ascii="Times New Roman" w:hAnsi="Times New Roman" w:cs="Times New Roman" w:eastAsia="SimSun"/>
                <w:b/>
                <w:sz w:val="15"/>
                <w:szCs w:val="15"/>
              </w:rPr>
              <w:t xml:space="preserve">83.80</w:t>
            </w:r>
          </w:p>
        </w:tc>
        <w:tc>
          <w:tcPr>
            <w:tcW w:w="900" w:type="dxa"/>
            <w:vAlign w:val="center"/>
            <w:tcBorders>
              <w:bottom w:val="single" w:sz="5" w:space="0" w:color="000000"/>
            </w:tcBorders>
          </w:tcPr>
          <w:p>
            <w:pPr>
              <w:jc w:val="center"/>
              <w:spacing w:before="0" w:after="0" w:line="200"/>
            </w:pPr>
            <w:r>
              <w:rPr>
                <w:rFonts w:ascii="Times New Roman" w:hAnsi="Times New Roman" w:cs="Times New Roman" w:eastAsia="SimSun"/>
                <w:b/>
                <w:sz w:val="15"/>
                <w:szCs w:val="15"/>
              </w:rPr>
              <w:t xml:space="preserve">88.43</w:t>
            </w:r>
          </w:p>
        </w:tc>
        <w:tc>
          <w:tcPr>
            <w:tcW w:w="900" w:type="dxa"/>
            <w:vAlign w:val="center"/>
            <w:tcBorders>
              <w:bottom w:val="single" w:sz="5" w:space="0" w:color="000000"/>
            </w:tcBorders>
          </w:tcPr>
          <w:p>
            <w:pPr>
              <w:jc w:val="center"/>
              <w:spacing w:before="0" w:after="0" w:line="200"/>
            </w:pPr>
            <w:r>
              <w:rPr>
                <w:rFonts w:ascii="Times New Roman" w:hAnsi="Times New Roman" w:cs="Times New Roman" w:eastAsia="SimSun"/>
                <w:b/>
                <w:sz w:val="15"/>
                <w:szCs w:val="15"/>
              </w:rPr>
              <w:t xml:space="preserve">87.61</w:t>
            </w:r>
          </w:p>
        </w:tc>
        <w:tc>
          <w:tcPr>
            <w:tcW w:w="900" w:type="dxa"/>
            <w:vAlign w:val="center"/>
            <w:tcBorders>
              <w:bottom w:val="single" w:sz="5" w:space="0" w:color="000000"/>
            </w:tcBorders>
          </w:tcPr>
          <w:p>
            <w:pPr>
              <w:jc w:val="center"/>
              <w:spacing w:before="0" w:after="0" w:line="200"/>
            </w:pPr>
            <w:r>
              <w:rPr>
                <w:rFonts w:ascii="Times New Roman" w:hAnsi="Times New Roman" w:cs="Times New Roman" w:eastAsia="SimSun"/>
                <w:b/>
                <w:sz w:val="15"/>
                <w:szCs w:val="15"/>
              </w:rPr>
              <w:t xml:space="preserve">88.86</w:t>
            </w:r>
          </w:p>
        </w:tc>
        <w:tc>
          <w:tcPr>
            <w:tcW w:w="650" w:type="dxa"/>
            <w:vAlign w:val="center"/>
            <w:tcBorders>
              <w:bottom w:val="single" w:sz="5" w:space="0" w:color="000000"/>
            </w:tcBorders>
          </w:tcPr>
          <w:p>
            <w:pPr>
              <w:jc w:val="center"/>
              <w:spacing w:before="0" w:after="0" w:line="200"/>
            </w:pPr>
            <w:r>
              <w:rPr>
                <w:rFonts w:ascii="Times New Roman" w:hAnsi="Times New Roman" w:cs="Times New Roman" w:eastAsia="SimSun"/>
                <w:b/>
                <w:sz w:val="15"/>
                <w:szCs w:val="15"/>
              </w:rPr>
              <w:t xml:space="preserve">87.18</w:t>
            </w:r>
          </w:p>
        </w:tc>
        <w:tc>
          <w:tcPr>
            <w:tcW w:w="650" w:type="dxa"/>
            <w:vAlign w:val="center"/>
            <w:tcBorders>
              <w:bottom w:val="single" w:sz="5" w:space="0" w:color="000000"/>
            </w:tcBorders>
          </w:tcPr>
          <w:p>
            <w:pPr>
              <w:jc w:val="center"/>
              <w:spacing w:before="0" w:after="0" w:line="200"/>
            </w:pPr>
            <w:r>
              <w:rPr>
                <w:rFonts w:ascii="Times New Roman" w:hAnsi="Times New Roman" w:cs="Times New Roman" w:eastAsia="SimSun"/>
                <w:b/>
                <w:sz w:val="15"/>
                <w:szCs w:val="15"/>
              </w:rPr>
              <w:t xml:space="preserve">+5.33</w:t>
            </w:r>
          </w:p>
        </w:tc>
      </w:tr>
      <w:tr>
        <w:tc>
          <w:tcPr>
            <w:tcW w:w="1850" w:type="dxa"/>
            <w:vAlign w:val="center"/>
          </w:tcPr>
          <w:p>
            <w:pPr>
              <w:jc w:val="left"/>
              <w:spacing w:before="0" w:after="0" w:line="200"/>
            </w:pPr>
            <w:r>
              <w:rPr>
                <w:rFonts w:ascii="Times New Roman" w:hAnsi="Times New Roman" w:cs="Times New Roman" w:eastAsia="SimSun"/>
                <w:sz w:val="15"/>
                <w:szCs w:val="15"/>
              </w:rPr>
              <w:t xml:space="preserve">TruthfulRAG（已发表）</w:t>
            </w:r>
          </w:p>
        </w:tc>
        <w:tc>
          <w:tcPr>
            <w:tcW w:w="1900" w:type="dxa"/>
            <w:vAlign w:val="center"/>
          </w:tcPr>
          <w:p>
            <w:pPr>
              <w:jc w:val="left"/>
              <w:spacing w:before="0" w:after="0" w:line="200"/>
            </w:pPr>
            <w:r>
              <w:rPr>
                <w:rFonts w:ascii="Times New Roman" w:hAnsi="Times New Roman" w:cs="Times New Roman" w:eastAsia="SimSun"/>
                <w:sz w:val="15"/>
                <w:szCs w:val="15"/>
              </w:rPr>
              <w:t xml:space="preserve">Qwen2.5-7B-Instruct</w:t>
            </w:r>
          </w:p>
        </w:tc>
        <w:tc>
          <w:tcPr>
            <w:tcW w:w="850" w:type="dxa"/>
            <w:vAlign w:val="center"/>
          </w:tcPr>
          <w:p>
            <w:pPr>
              <w:jc w:val="center"/>
              <w:spacing w:before="0" w:after="0" w:line="200"/>
            </w:pPr>
            <w:r>
              <w:rPr>
                <w:rFonts w:ascii="Times New Roman" w:hAnsi="Times New Roman" w:cs="Times New Roman" w:eastAsia="SimSun"/>
                <w:u w:val="single"/>
                <w:sz w:val="15"/>
                <w:szCs w:val="15"/>
              </w:rPr>
              <w:t xml:space="preserve">73.20</w:t>
            </w:r>
          </w:p>
        </w:tc>
        <w:tc>
          <w:tcPr>
            <w:tcW w:w="900" w:type="dxa"/>
            <w:vAlign w:val="center"/>
          </w:tcPr>
          <w:p>
            <w:pPr>
              <w:jc w:val="center"/>
              <w:spacing w:before="0" w:after="0" w:line="200"/>
            </w:pPr>
            <w:r>
              <w:rPr>
                <w:rFonts w:ascii="Times New Roman" w:hAnsi="Times New Roman" w:cs="Times New Roman" w:eastAsia="SimSun"/>
                <w:u w:val="single"/>
                <w:sz w:val="15"/>
                <w:szCs w:val="15"/>
              </w:rPr>
              <w:t xml:space="preserve">79.10</w:t>
            </w:r>
          </w:p>
        </w:tc>
        <w:tc>
          <w:tcPr>
            <w:tcW w:w="900" w:type="dxa"/>
            <w:vAlign w:val="center"/>
          </w:tcPr>
          <w:p>
            <w:pPr>
              <w:jc w:val="center"/>
              <w:spacing w:before="0" w:after="0" w:line="200"/>
            </w:pPr>
            <w:r>
              <w:rPr>
                <w:rFonts w:ascii="Times New Roman" w:hAnsi="Times New Roman" w:cs="Times New Roman" w:eastAsia="SimSun"/>
                <w:u w:val="single"/>
                <w:sz w:val="15"/>
                <w:szCs w:val="15"/>
              </w:rPr>
              <w:t xml:space="preserve">82.30</w:t>
            </w:r>
          </w:p>
        </w:tc>
        <w:tc>
          <w:tcPr>
            <w:tcW w:w="900" w:type="dxa"/>
            <w:vAlign w:val="center"/>
          </w:tcPr>
          <w:p>
            <w:pPr>
              <w:jc w:val="center"/>
              <w:spacing w:before="0" w:after="0" w:line="200"/>
            </w:pPr>
            <w:r>
              <w:rPr>
                <w:rFonts w:ascii="Times New Roman" w:hAnsi="Times New Roman" w:cs="Times New Roman" w:eastAsia="SimSun"/>
                <w:u w:val="single"/>
                <w:sz w:val="15"/>
                <w:szCs w:val="15"/>
              </w:rPr>
              <w:t xml:space="preserve">78.70</w:t>
            </w:r>
          </w:p>
        </w:tc>
        <w:tc>
          <w:tcPr>
            <w:tcW w:w="650" w:type="dxa"/>
            <w:vAlign w:val="center"/>
          </w:tcPr>
          <w:p>
            <w:pPr>
              <w:jc w:val="center"/>
              <w:spacing w:before="0" w:after="0" w:line="200"/>
            </w:pPr>
            <w:r>
              <w:rPr>
                <w:rFonts w:ascii="Times New Roman" w:hAnsi="Times New Roman" w:cs="Times New Roman" w:eastAsia="SimSun"/>
                <w:u w:val="single"/>
                <w:sz w:val="15"/>
                <w:szCs w:val="15"/>
              </w:rPr>
              <w:t xml:space="preserve">78.33</w:t>
            </w:r>
          </w:p>
        </w:tc>
        <w:tc>
          <w:tcPr>
            <w:tcW w:w="650" w:type="dxa"/>
            <w:vAlign w:val="center"/>
          </w:tcPr>
          <w:p>
            <w:pPr>
              <w:jc w:val="center"/>
              <w:spacing w:before="0" w:after="0" w:line="200"/>
            </w:pPr>
            <w:r>
              <w:rPr>
                <w:rFonts w:ascii="Times New Roman" w:hAnsi="Times New Roman" w:cs="Times New Roman" w:eastAsia="SimSun"/>
                <w:sz w:val="15"/>
                <w:szCs w:val="15"/>
              </w:rPr>
              <w:t xml:space="preserve">-</w:t>
            </w:r>
          </w:p>
        </w:tc>
      </w:tr>
      <w:tr>
        <w:tc>
          <w:tcPr>
            <w:tcW w:w="1850" w:type="dxa"/>
            <w:vAlign w:val="center"/>
            <w:tcBorders>
              <w:bottom w:val="single" w:sz="5" w:space="0" w:color="000000"/>
            </w:tcBorders>
          </w:tcPr>
          <w:p>
            <w:pPr>
              <w:jc w:val="left"/>
              <w:spacing w:before="0" w:after="0" w:line="200"/>
            </w:pPr>
            <w:r>
              <w:rPr>
                <w:rFonts w:ascii="Times New Roman" w:hAnsi="Times New Roman" w:cs="Times New Roman" w:eastAsia="SimSun"/>
                <w:b/>
                <w:sz w:val="15"/>
                <w:szCs w:val="15"/>
              </w:rPr>
              <w:t xml:space="preserve">MVCG-RAG（本文）</w:t>
            </w:r>
          </w:p>
        </w:tc>
        <w:tc>
          <w:tcPr>
            <w:tcW w:w="1900" w:type="dxa"/>
            <w:vAlign w:val="center"/>
            <w:tcBorders>
              <w:bottom w:val="single" w:sz="5" w:space="0" w:color="000000"/>
            </w:tcBorders>
          </w:tcPr>
          <w:p>
            <w:pPr>
              <w:jc w:val="left"/>
              <w:spacing w:before="0" w:after="0" w:line="200"/>
            </w:pPr>
            <w:r>
              <w:rPr>
                <w:rFonts w:ascii="Times New Roman" w:hAnsi="Times New Roman" w:cs="Times New Roman" w:eastAsia="SimSun"/>
                <w:b/>
                <w:sz w:val="15"/>
                <w:szCs w:val="15"/>
              </w:rPr>
              <w:t xml:space="preserve">Qwen2.5-7B-Instruct</w:t>
            </w:r>
          </w:p>
        </w:tc>
        <w:tc>
          <w:tcPr>
            <w:tcW w:w="850" w:type="dxa"/>
            <w:vAlign w:val="center"/>
            <w:tcBorders>
              <w:bottom w:val="single" w:sz="5" w:space="0" w:color="000000"/>
            </w:tcBorders>
          </w:tcPr>
          <w:p>
            <w:pPr>
              <w:jc w:val="center"/>
              <w:spacing w:before="0" w:after="0" w:line="200"/>
            </w:pPr>
            <w:r>
              <w:rPr>
                <w:rFonts w:ascii="Times New Roman" w:hAnsi="Times New Roman" w:cs="Times New Roman" w:eastAsia="SimSun"/>
                <w:b/>
                <w:sz w:val="15"/>
                <w:szCs w:val="15"/>
              </w:rPr>
              <w:t xml:space="preserve">76.70</w:t>
            </w:r>
          </w:p>
        </w:tc>
        <w:tc>
          <w:tcPr>
            <w:tcW w:w="900" w:type="dxa"/>
            <w:vAlign w:val="center"/>
            <w:tcBorders>
              <w:bottom w:val="single" w:sz="5" w:space="0" w:color="000000"/>
            </w:tcBorders>
          </w:tcPr>
          <w:p>
            <w:pPr>
              <w:jc w:val="center"/>
              <w:spacing w:before="0" w:after="0" w:line="200"/>
            </w:pPr>
            <w:r>
              <w:rPr>
                <w:rFonts w:ascii="Times New Roman" w:hAnsi="Times New Roman" w:cs="Times New Roman" w:eastAsia="SimSun"/>
                <w:b/>
                <w:sz w:val="15"/>
                <w:szCs w:val="15"/>
              </w:rPr>
              <w:t xml:space="preserve">86.74</w:t>
            </w:r>
          </w:p>
        </w:tc>
        <w:tc>
          <w:tcPr>
            <w:tcW w:w="900" w:type="dxa"/>
            <w:vAlign w:val="center"/>
            <w:tcBorders>
              <w:bottom w:val="single" w:sz="5" w:space="0" w:color="000000"/>
            </w:tcBorders>
          </w:tcPr>
          <w:p>
            <w:pPr>
              <w:jc w:val="center"/>
              <w:spacing w:before="0" w:after="0" w:line="200"/>
            </w:pPr>
            <w:r>
              <w:rPr>
                <w:rFonts w:ascii="Times New Roman" w:hAnsi="Times New Roman" w:cs="Times New Roman" w:eastAsia="SimSun"/>
                <w:b/>
                <w:sz w:val="15"/>
                <w:szCs w:val="15"/>
              </w:rPr>
              <w:t xml:space="preserve">92.92</w:t>
            </w:r>
          </w:p>
        </w:tc>
        <w:tc>
          <w:tcPr>
            <w:tcW w:w="900" w:type="dxa"/>
            <w:vAlign w:val="center"/>
            <w:tcBorders>
              <w:bottom w:val="single" w:sz="5" w:space="0" w:color="000000"/>
            </w:tcBorders>
          </w:tcPr>
          <w:p>
            <w:pPr>
              <w:jc w:val="center"/>
              <w:spacing w:before="0" w:after="0" w:line="200"/>
            </w:pPr>
            <w:r>
              <w:rPr>
                <w:rFonts w:ascii="Times New Roman" w:hAnsi="Times New Roman" w:cs="Times New Roman" w:eastAsia="SimSun"/>
                <w:b/>
                <w:sz w:val="15"/>
                <w:szCs w:val="15"/>
              </w:rPr>
              <w:t xml:space="preserve">84.45</w:t>
            </w:r>
          </w:p>
        </w:tc>
        <w:tc>
          <w:tcPr>
            <w:tcW w:w="650" w:type="dxa"/>
            <w:vAlign w:val="center"/>
            <w:tcBorders>
              <w:bottom w:val="single" w:sz="5" w:space="0" w:color="000000"/>
            </w:tcBorders>
          </w:tcPr>
          <w:p>
            <w:pPr>
              <w:jc w:val="center"/>
              <w:spacing w:before="0" w:after="0" w:line="200"/>
            </w:pPr>
            <w:r>
              <w:rPr>
                <w:rFonts w:ascii="Times New Roman" w:hAnsi="Times New Roman" w:cs="Times New Roman" w:eastAsia="SimSun"/>
                <w:b/>
                <w:sz w:val="15"/>
                <w:szCs w:val="15"/>
              </w:rPr>
              <w:t xml:space="preserve">85.20</w:t>
            </w:r>
          </w:p>
        </w:tc>
        <w:tc>
          <w:tcPr>
            <w:tcW w:w="650" w:type="dxa"/>
            <w:vAlign w:val="center"/>
            <w:tcBorders>
              <w:bottom w:val="single" w:sz="5" w:space="0" w:color="000000"/>
            </w:tcBorders>
          </w:tcPr>
          <w:p>
            <w:pPr>
              <w:jc w:val="center"/>
              <w:spacing w:before="0" w:after="0" w:line="200"/>
            </w:pPr>
            <w:r>
              <w:rPr>
                <w:rFonts w:ascii="Times New Roman" w:hAnsi="Times New Roman" w:cs="Times New Roman" w:eastAsia="SimSun"/>
                <w:b/>
                <w:sz w:val="15"/>
                <w:szCs w:val="15"/>
              </w:rPr>
              <w:t xml:space="preserve">+6.88</w:t>
            </w:r>
          </w:p>
        </w:tc>
      </w:tr>
      <w:tr>
        <w:tc>
          <w:tcPr>
            <w:tcW w:w="1850" w:type="dxa"/>
            <w:vAlign w:val="center"/>
          </w:tcPr>
          <w:p>
            <w:pPr>
              <w:jc w:val="left"/>
              <w:spacing w:before="0" w:after="0" w:line="200"/>
            </w:pPr>
            <w:r>
              <w:rPr>
                <w:rFonts w:ascii="Times New Roman" w:hAnsi="Times New Roman" w:cs="Times New Roman" w:eastAsia="SimSun"/>
                <w:sz w:val="15"/>
                <w:szCs w:val="15"/>
              </w:rPr>
              <w:t xml:space="preserve">TruthfulRAG（已发表）</w:t>
            </w:r>
          </w:p>
        </w:tc>
        <w:tc>
          <w:tcPr>
            <w:tcW w:w="1900" w:type="dxa"/>
            <w:vAlign w:val="center"/>
          </w:tcPr>
          <w:p>
            <w:pPr>
              <w:jc w:val="left"/>
              <w:spacing w:before="0" w:after="0" w:line="200"/>
            </w:pPr>
            <w:r>
              <w:rPr>
                <w:rFonts w:ascii="Times New Roman" w:hAnsi="Times New Roman" w:cs="Times New Roman" w:eastAsia="SimSun"/>
                <w:sz w:val="15"/>
                <w:szCs w:val="15"/>
              </w:rPr>
              <w:t xml:space="preserve">Mistral-7B-Instruct-v0.3</w:t>
            </w:r>
          </w:p>
        </w:tc>
        <w:tc>
          <w:tcPr>
            <w:tcW w:w="850" w:type="dxa"/>
            <w:vAlign w:val="center"/>
          </w:tcPr>
          <w:p>
            <w:pPr>
              <w:jc w:val="center"/>
              <w:spacing w:before="0" w:after="0" w:line="200"/>
            </w:pPr>
            <w:r>
              <w:rPr>
                <w:rFonts w:ascii="Times New Roman" w:hAnsi="Times New Roman" w:cs="Times New Roman" w:eastAsia="SimSun"/>
                <w:u w:val="single"/>
                <w:sz w:val="15"/>
                <w:szCs w:val="15"/>
              </w:rPr>
              <w:t xml:space="preserve">81.90</w:t>
            </w:r>
          </w:p>
        </w:tc>
        <w:tc>
          <w:tcPr>
            <w:tcW w:w="900" w:type="dxa"/>
            <w:vAlign w:val="center"/>
          </w:tcPr>
          <w:p>
            <w:pPr>
              <w:jc w:val="center"/>
              <w:spacing w:before="0" w:after="0" w:line="200"/>
            </w:pPr>
            <w:r>
              <w:rPr>
                <w:rFonts w:ascii="Times New Roman" w:hAnsi="Times New Roman" w:cs="Times New Roman" w:eastAsia="SimSun"/>
                <w:u w:val="single"/>
                <w:sz w:val="15"/>
                <w:szCs w:val="15"/>
              </w:rPr>
              <w:t xml:space="preserve">79.30</w:t>
            </w:r>
          </w:p>
        </w:tc>
        <w:tc>
          <w:tcPr>
            <w:tcW w:w="900" w:type="dxa"/>
            <w:vAlign w:val="center"/>
          </w:tcPr>
          <w:p>
            <w:pPr>
              <w:jc w:val="center"/>
              <w:spacing w:before="0" w:after="0" w:line="200"/>
            </w:pPr>
            <w:r>
              <w:rPr>
                <w:rFonts w:ascii="Times New Roman" w:hAnsi="Times New Roman" w:cs="Times New Roman" w:eastAsia="SimSun"/>
                <w:u w:val="single"/>
                <w:sz w:val="15"/>
                <w:szCs w:val="15"/>
              </w:rPr>
              <w:t xml:space="preserve">81.40</w:t>
            </w:r>
          </w:p>
        </w:tc>
        <w:tc>
          <w:tcPr>
            <w:tcW w:w="900" w:type="dxa"/>
            <w:vAlign w:val="center"/>
          </w:tcPr>
          <w:p>
            <w:pPr>
              <w:jc w:val="center"/>
              <w:spacing w:before="0" w:after="0" w:line="200"/>
            </w:pPr>
            <w:r>
              <w:rPr>
                <w:rFonts w:ascii="Times New Roman" w:hAnsi="Times New Roman" w:cs="Times New Roman" w:eastAsia="SimSun"/>
                <w:u w:val="single"/>
                <w:sz w:val="15"/>
                <w:szCs w:val="15"/>
              </w:rPr>
              <w:t xml:space="preserve">82.70</w:t>
            </w:r>
          </w:p>
        </w:tc>
        <w:tc>
          <w:tcPr>
            <w:tcW w:w="650" w:type="dxa"/>
            <w:vAlign w:val="center"/>
          </w:tcPr>
          <w:p>
            <w:pPr>
              <w:jc w:val="center"/>
              <w:spacing w:before="0" w:after="0" w:line="200"/>
            </w:pPr>
            <w:r>
              <w:rPr>
                <w:rFonts w:ascii="Times New Roman" w:hAnsi="Times New Roman" w:cs="Times New Roman" w:eastAsia="SimSun"/>
                <w:u w:val="single"/>
                <w:sz w:val="15"/>
                <w:szCs w:val="15"/>
              </w:rPr>
              <w:t xml:space="preserve">81.33</w:t>
            </w:r>
          </w:p>
        </w:tc>
        <w:tc>
          <w:tcPr>
            <w:tcW w:w="650" w:type="dxa"/>
            <w:vAlign w:val="center"/>
          </w:tcPr>
          <w:p>
            <w:pPr>
              <w:jc w:val="center"/>
              <w:spacing w:before="0" w:after="0" w:line="200"/>
            </w:pPr>
            <w:r>
              <w:rPr>
                <w:rFonts w:ascii="Times New Roman" w:hAnsi="Times New Roman" w:cs="Times New Roman" w:eastAsia="SimSun"/>
                <w:sz w:val="15"/>
                <w:szCs w:val="15"/>
              </w:rPr>
              <w:t xml:space="preserve">-</w:t>
            </w:r>
          </w:p>
        </w:tc>
      </w:tr>
      <w:tr>
        <w:tc>
          <w:tcPr>
            <w:tcW w:w="1850" w:type="dxa"/>
            <w:vAlign w:val="center"/>
            <w:tcBorders>
              <w:bottom w:val="single" w:sz="5" w:space="0" w:color="000000"/>
            </w:tcBorders>
          </w:tcPr>
          <w:p>
            <w:pPr>
              <w:jc w:val="left"/>
              <w:spacing w:before="0" w:after="0" w:line="200"/>
            </w:pPr>
            <w:r>
              <w:rPr>
                <w:rFonts w:ascii="Times New Roman" w:hAnsi="Times New Roman" w:cs="Times New Roman" w:eastAsia="SimSun"/>
                <w:b/>
                <w:sz w:val="15"/>
                <w:szCs w:val="15"/>
              </w:rPr>
              <w:t xml:space="preserve">MVCG-RAG（本文）</w:t>
            </w:r>
          </w:p>
        </w:tc>
        <w:tc>
          <w:tcPr>
            <w:tcW w:w="1900" w:type="dxa"/>
            <w:vAlign w:val="center"/>
            <w:tcBorders>
              <w:bottom w:val="single" w:sz="5" w:space="0" w:color="000000"/>
            </w:tcBorders>
          </w:tcPr>
          <w:p>
            <w:pPr>
              <w:jc w:val="left"/>
              <w:spacing w:before="0" w:after="0" w:line="200"/>
            </w:pPr>
            <w:r>
              <w:rPr>
                <w:rFonts w:ascii="Times New Roman" w:hAnsi="Times New Roman" w:cs="Times New Roman" w:eastAsia="SimSun"/>
                <w:b/>
                <w:sz w:val="15"/>
                <w:szCs w:val="15"/>
              </w:rPr>
              <w:t xml:space="preserve">Mistral-7B-Instruct-v0.3</w:t>
            </w:r>
          </w:p>
        </w:tc>
        <w:tc>
          <w:tcPr>
            <w:tcW w:w="850" w:type="dxa"/>
            <w:vAlign w:val="center"/>
            <w:tcBorders>
              <w:bottom w:val="single" w:sz="5" w:space="0" w:color="000000"/>
            </w:tcBorders>
          </w:tcPr>
          <w:p>
            <w:pPr>
              <w:jc w:val="center"/>
              <w:spacing w:before="0" w:after="0" w:line="200"/>
            </w:pPr>
            <w:r>
              <w:rPr>
                <w:rFonts w:ascii="Times New Roman" w:hAnsi="Times New Roman" w:cs="Times New Roman" w:eastAsia="SimSun"/>
                <w:b/>
                <w:sz w:val="15"/>
                <w:szCs w:val="15"/>
              </w:rPr>
              <w:t xml:space="preserve">84.30</w:t>
            </w:r>
          </w:p>
        </w:tc>
        <w:tc>
          <w:tcPr>
            <w:tcW w:w="900" w:type="dxa"/>
            <w:vAlign w:val="center"/>
            <w:tcBorders>
              <w:bottom w:val="single" w:sz="5" w:space="0" w:color="000000"/>
            </w:tcBorders>
          </w:tcPr>
          <w:p>
            <w:pPr>
              <w:jc w:val="center"/>
              <w:spacing w:before="0" w:after="0" w:line="200"/>
            </w:pPr>
            <w:r>
              <w:rPr>
                <w:rFonts w:ascii="Times New Roman" w:hAnsi="Times New Roman" w:cs="Times New Roman" w:eastAsia="SimSun"/>
                <w:b/>
                <w:sz w:val="15"/>
                <w:szCs w:val="15"/>
              </w:rPr>
              <w:t xml:space="preserve">86.85</w:t>
            </w:r>
          </w:p>
        </w:tc>
        <w:tc>
          <w:tcPr>
            <w:tcW w:w="900" w:type="dxa"/>
            <w:vAlign w:val="center"/>
            <w:tcBorders>
              <w:bottom w:val="single" w:sz="5" w:space="0" w:color="000000"/>
            </w:tcBorders>
          </w:tcPr>
          <w:p>
            <w:pPr>
              <w:jc w:val="center"/>
              <w:spacing w:before="0" w:after="0" w:line="200"/>
            </w:pPr>
            <w:r>
              <w:rPr>
                <w:rFonts w:ascii="Times New Roman" w:hAnsi="Times New Roman" w:cs="Times New Roman" w:eastAsia="SimSun"/>
                <w:b/>
                <w:sz w:val="15"/>
                <w:szCs w:val="15"/>
              </w:rPr>
              <w:t xml:space="preserve">88.50</w:t>
            </w:r>
          </w:p>
        </w:tc>
        <w:tc>
          <w:tcPr>
            <w:tcW w:w="900" w:type="dxa"/>
            <w:vAlign w:val="center"/>
            <w:tcBorders>
              <w:bottom w:val="single" w:sz="5" w:space="0" w:color="000000"/>
            </w:tcBorders>
          </w:tcPr>
          <w:p>
            <w:pPr>
              <w:jc w:val="center"/>
              <w:spacing w:before="0" w:after="0" w:line="200"/>
            </w:pPr>
            <w:r>
              <w:rPr>
                <w:rFonts w:ascii="Times New Roman" w:hAnsi="Times New Roman" w:cs="Times New Roman" w:eastAsia="SimSun"/>
                <w:b/>
                <w:sz w:val="15"/>
                <w:szCs w:val="15"/>
              </w:rPr>
              <w:t xml:space="preserve">87.17</w:t>
            </w:r>
          </w:p>
        </w:tc>
        <w:tc>
          <w:tcPr>
            <w:tcW w:w="650" w:type="dxa"/>
            <w:vAlign w:val="center"/>
            <w:tcBorders>
              <w:bottom w:val="single" w:sz="5" w:space="0" w:color="000000"/>
            </w:tcBorders>
          </w:tcPr>
          <w:p>
            <w:pPr>
              <w:jc w:val="center"/>
              <w:spacing w:before="0" w:after="0" w:line="200"/>
            </w:pPr>
            <w:r>
              <w:rPr>
                <w:rFonts w:ascii="Times New Roman" w:hAnsi="Times New Roman" w:cs="Times New Roman" w:eastAsia="SimSun"/>
                <w:b/>
                <w:sz w:val="15"/>
                <w:szCs w:val="15"/>
              </w:rPr>
              <w:t xml:space="preserve">86.70</w:t>
            </w:r>
          </w:p>
        </w:tc>
        <w:tc>
          <w:tcPr>
            <w:tcW w:w="650" w:type="dxa"/>
            <w:vAlign w:val="center"/>
            <w:tcBorders>
              <w:bottom w:val="single" w:sz="5" w:space="0" w:color="000000"/>
            </w:tcBorders>
          </w:tcPr>
          <w:p>
            <w:pPr>
              <w:jc w:val="center"/>
              <w:spacing w:before="0" w:after="0" w:line="200"/>
            </w:pPr>
            <w:r>
              <w:rPr>
                <w:rFonts w:ascii="Times New Roman" w:hAnsi="Times New Roman" w:cs="Times New Roman" w:eastAsia="SimSun"/>
                <w:b/>
                <w:sz w:val="15"/>
                <w:szCs w:val="15"/>
              </w:rPr>
              <w:t xml:space="preserve">+5.38</w:t>
            </w:r>
          </w:p>
        </w:tc>
      </w:tr>
    </w:tbl>
    <w:p>
      <w:pPr>
        <w:jc w:val="left"/>
        <w:spacing w:before="40" w:after="140" w:line="200" w:lineRule="auto"/>
      </w:pPr>
      <w:r>
        <w:rPr>
          <w:rFonts w:ascii="Times New Roman" w:hAnsi="Times New Roman" w:cs="Times New Roman" w:eastAsia="SimSun"/>
          <w:sz w:val="16"/>
          <w:szCs w:val="16"/>
        </w:rPr>
        <w:t xml:space="preserve">表 1：MVCG-RAG 与匹配的已发表基线在四个知识冲突数据集上的准确率（ACC）对比，共使用三种代表性基座大模型。每个基座模型在各数据集上的最优结果以粗体标注，已发表对比结果以下划线标注。“平均”表示四个数据集的算术平均，“提升”表示相对于匹配已发表方法的平均提升。MuSiQue 和 SQuAD 对应其 Negative 冲突文件。</w:t>
      </w:r>
    </w:p>
    <w:p>
      <w:pPr>
        <w:spacing w:before="100" w:after="60" w:line="240" w:lineRule="auto"/>
        <w:keepNext/>
      </w:pPr>
      <w:r>
        <w:rPr>
          <w:rFonts w:ascii="Times New Roman" w:hAnsi="Times New Roman" w:cs="Times New Roman" w:eastAsia="SimSun"/>
          <w:b/>
          <w:sz w:val="21"/>
          <w:szCs w:val="21"/>
        </w:rPr>
        <w:t xml:space="preserve">无冲突上下文上的性能</w:t>
      </w:r>
    </w:p>
    <w:p>
      <w:pPr>
        <w:jc w:val="both"/>
        <w:spacing w:before="0" w:after="100" w:line="240" w:lineRule="auto"/>
        <w:ind w:firstLine="360"/>
      </w:pPr>
      <w:r>
        <w:rPr>
          <w:rFonts w:ascii="Times New Roman" w:hAnsi="Times New Roman" w:cs="Times New Roman" w:eastAsia="SimSun"/>
          <w:sz w:val="20"/>
          <w:szCs w:val="20"/>
        </w:rPr>
        <w:t xml:space="preserve">我们进一步检验当检索上下文不存在知识冲突时，所提冲突消解机制能否保持原有回答能力。遵循 FaithfulRAG 和 TruthfulRAG 的报告方式，Golden 数据集的结果单独列于表 2。MVCG-RAG 在 MuSiQue-Golden 和 SQuAD-Golden 上分别达到 92.72 和 98.42，较已发表的 FaithfulRAG 分别提升 7.42 和 1.82 个百分点。与本项目保留的同配置纯上下文 RAG 结果相比，分别提升 1.58 和 0.57 个百分点。</w:t>
      </w:r>
    </w:p>
    <w:tbl>
      <w:tblPr>
        <w:tblW w:w="0" w:type="auto"/>
        <w:tblLayout w:type="fixed"/>
        <w:jc w:val="center"/>
        <w:tblBorders>
          <w:top w:val="single" w:sz="10" w:color="000000"/>
          <w:left w:val="nil" w:sz="0" w:color="000000"/>
          <w:bottom w:val="single" w:sz="10" w:color="000000"/>
          <w:right w:val="nil" w:sz="0" w:color="000000"/>
          <w:insideH w:val="nil" w:sz="0" w:color="000000"/>
          <w:insideV w:val="nil" w:sz="0" w:color="000000"/>
        </w:tblBorders>
      </w:tblPr>
      <w:tblGrid>
        <w:gridCol w:w="1900"/>
        <w:gridCol w:w="1900"/>
        <w:gridCol w:w="1900"/>
        <w:gridCol w:w="2200"/>
      </w:tblGrid>
      <w:tr>
        <w:tc>
          <w:tcPr>
            <w:tcW w:w="1900" w:type="dxa"/>
            <w:vMerge w:val="restart"/>
            <w:vAlign w:val="center"/>
          </w:tcPr>
          <w:p>
            <w:pPr>
              <w:jc w:val="center"/>
              <w:spacing w:before="0" w:after="0" w:line="200"/>
            </w:pPr>
            <w:r>
              <w:rPr>
                <w:rFonts w:ascii="Times New Roman" w:hAnsi="Times New Roman" w:cs="Times New Roman" w:eastAsia="SimSun"/>
                <w:b/>
                <w:sz w:val="16"/>
                <w:szCs w:val="16"/>
              </w:rPr>
              <w:t xml:space="preserve">数据集</w:t>
            </w:r>
          </w:p>
        </w:tc>
        <w:tc>
          <w:tcPr>
            <w:tcW w:w="6000" w:type="dxa"/>
            <w:gridSpan w:val="3"/>
            <w:vAlign w:val="center"/>
          </w:tcPr>
          <w:p>
            <w:pPr>
              <w:jc w:val="center"/>
              <w:spacing w:before="0" w:after="0" w:line="200"/>
            </w:pPr>
            <w:r>
              <w:rPr>
                <w:rFonts w:ascii="Times New Roman" w:hAnsi="Times New Roman" w:cs="Times New Roman" w:eastAsia="SimSun"/>
                <w:b/>
                <w:sz w:val="16"/>
                <w:szCs w:val="16"/>
              </w:rPr>
              <w:t xml:space="preserve">方法</w:t>
            </w:r>
          </w:p>
        </w:tc>
      </w:tr>
      <w:tr>
        <w:tc>
          <w:tcPr>
            <w:tcW w:w="1900" w:type="dxa"/>
            <w:vMerge/>
            <w:vAlign w:val="center"/>
            <w:tcBorders>
              <w:bottom w:val="single" w:sz="8" w:space="0" w:color="000000"/>
            </w:tcBorders>
          </w:tcPr>
          <w:p>
            <w:pPr>
              <w:jc w:val="center"/>
              <w:spacing w:before="0" w:after="0" w:line="200"/>
            </w:pPr>
            <w:r>
              <w:rPr>
                <w:rFonts w:ascii="Times New Roman" w:hAnsi="Times New Roman" w:cs="Times New Roman" w:eastAsia="SimSun"/>
                <w:sz w:val="16"/>
                <w:szCs w:val="16"/>
              </w:rPr>
              <w:t xml:space="preserve"/>
            </w:r>
          </w:p>
        </w:tc>
        <w:tc>
          <w:tcPr>
            <w:tcW w:w="1900" w:type="dxa"/>
            <w:vAlign w:val="center"/>
            <w:tcBorders>
              <w:bottom w:val="single" w:sz="8" w:space="0" w:color="000000"/>
            </w:tcBorders>
          </w:tcPr>
          <w:p>
            <w:pPr>
              <w:jc w:val="center"/>
              <w:spacing w:before="0" w:after="0" w:line="200"/>
            </w:pPr>
            <w:r>
              <w:rPr>
                <w:rFonts w:ascii="Times New Roman" w:hAnsi="Times New Roman" w:cs="Times New Roman" w:eastAsia="SimSun"/>
                <w:b/>
                <w:sz w:val="15"/>
                <w:szCs w:val="15"/>
              </w:rPr>
              <w:t xml:space="preserve">同配置纯上下文 RAG</w:t>
            </w:r>
          </w:p>
        </w:tc>
        <w:tc>
          <w:tcPr>
            <w:tcW w:w="1900" w:type="dxa"/>
            <w:vAlign w:val="center"/>
            <w:tcBorders>
              <w:bottom w:val="single" w:sz="8" w:space="0" w:color="000000"/>
            </w:tcBorders>
          </w:tcPr>
          <w:p>
            <w:pPr>
              <w:jc w:val="center"/>
              <w:spacing w:before="0" w:after="0" w:line="200"/>
            </w:pPr>
            <w:r>
              <w:rPr>
                <w:rFonts w:ascii="Times New Roman" w:hAnsi="Times New Roman" w:cs="Times New Roman" w:eastAsia="SimSun"/>
                <w:b/>
                <w:sz w:val="15"/>
                <w:szCs w:val="15"/>
              </w:rPr>
              <w:t xml:space="preserve">FaithfulRAG（已发表）</w:t>
            </w:r>
          </w:p>
        </w:tc>
        <w:tc>
          <w:tcPr>
            <w:tcW w:w="2200" w:type="dxa"/>
            <w:vAlign w:val="center"/>
            <w:tcBorders>
              <w:bottom w:val="single" w:sz="8" w:space="0" w:color="000000"/>
            </w:tcBorders>
          </w:tcPr>
          <w:p>
            <w:pPr>
              <w:jc w:val="center"/>
              <w:spacing w:before="0" w:after="0" w:line="200"/>
            </w:pPr>
            <w:r>
              <w:rPr>
                <w:rFonts w:ascii="Times New Roman" w:hAnsi="Times New Roman" w:cs="Times New Roman" w:eastAsia="SimSun"/>
                <w:b/>
                <w:sz w:val="15"/>
                <w:szCs w:val="15"/>
              </w:rPr>
              <w:t xml:space="preserve">MVCG-RAG（本文）</w:t>
            </w:r>
          </w:p>
        </w:tc>
      </w:tr>
      <w:tr>
        <w:tc>
          <w:tcPr>
            <w:tcW w:w="1900" w:type="dxa"/>
            <w:vAlign w:val="center"/>
          </w:tcPr>
          <w:p>
            <w:pPr>
              <w:jc w:val="left"/>
              <w:spacing w:before="0" w:after="0" w:line="200"/>
            </w:pPr>
            <w:r>
              <w:rPr>
                <w:rFonts w:ascii="Times New Roman" w:hAnsi="Times New Roman" w:cs="Times New Roman" w:eastAsia="SimSun"/>
                <w:sz w:val="16"/>
                <w:szCs w:val="16"/>
              </w:rPr>
              <w:t xml:space="preserve">MuSiQue-Golden</w:t>
            </w:r>
          </w:p>
        </w:tc>
        <w:tc>
          <w:tcPr>
            <w:tcW w:w="1900" w:type="dxa"/>
            <w:vAlign w:val="center"/>
          </w:tcPr>
          <w:p>
            <w:pPr>
              <w:jc w:val="center"/>
              <w:spacing w:before="0" w:after="0" w:line="200"/>
            </w:pPr>
            <w:r>
              <w:rPr>
                <w:rFonts w:ascii="Times New Roman" w:hAnsi="Times New Roman" w:cs="Times New Roman" w:eastAsia="SimSun"/>
                <w:u w:val="single"/>
                <w:sz w:val="16"/>
                <w:szCs w:val="16"/>
              </w:rPr>
              <w:t xml:space="preserve">91.14</w:t>
            </w:r>
          </w:p>
        </w:tc>
        <w:tc>
          <w:tcPr>
            <w:tcW w:w="1900" w:type="dxa"/>
            <w:vAlign w:val="center"/>
          </w:tcPr>
          <w:p>
            <w:pPr>
              <w:jc w:val="center"/>
              <w:spacing w:before="0" w:after="0" w:line="200"/>
            </w:pPr>
            <w:r>
              <w:rPr>
                <w:rFonts w:ascii="Times New Roman" w:hAnsi="Times New Roman" w:cs="Times New Roman" w:eastAsia="SimSun"/>
                <w:sz w:val="16"/>
                <w:szCs w:val="16"/>
              </w:rPr>
              <w:t xml:space="preserve">85.30</w:t>
            </w:r>
          </w:p>
        </w:tc>
        <w:tc>
          <w:tcPr>
            <w:tcW w:w="2200" w:type="dxa"/>
            <w:vAlign w:val="center"/>
          </w:tcPr>
          <w:p>
            <w:pPr>
              <w:jc w:val="center"/>
              <w:spacing w:before="0" w:after="0" w:line="200"/>
            </w:pPr>
            <w:r>
              <w:rPr>
                <w:rFonts w:ascii="Times New Roman" w:hAnsi="Times New Roman" w:cs="Times New Roman" w:eastAsia="SimSun"/>
                <w:b/>
                <w:sz w:val="16"/>
                <w:szCs w:val="16"/>
              </w:rPr>
              <w:t xml:space="preserve">92.72 (+1.58 / +7.42)</w:t>
            </w:r>
          </w:p>
        </w:tc>
      </w:tr>
      <w:tr>
        <w:tc>
          <w:tcPr>
            <w:tcW w:w="1900" w:type="dxa"/>
            <w:vAlign w:val="center"/>
          </w:tcPr>
          <w:p>
            <w:pPr>
              <w:jc w:val="left"/>
              <w:spacing w:before="0" w:after="0" w:line="200"/>
            </w:pPr>
            <w:r>
              <w:rPr>
                <w:rFonts w:ascii="Times New Roman" w:hAnsi="Times New Roman" w:cs="Times New Roman" w:eastAsia="SimSun"/>
                <w:sz w:val="16"/>
                <w:szCs w:val="16"/>
              </w:rPr>
              <w:t xml:space="preserve">SQuAD-Golden</w:t>
            </w:r>
          </w:p>
        </w:tc>
        <w:tc>
          <w:tcPr>
            <w:tcW w:w="1900" w:type="dxa"/>
            <w:vAlign w:val="center"/>
          </w:tcPr>
          <w:p>
            <w:pPr>
              <w:jc w:val="center"/>
              <w:spacing w:before="0" w:after="0" w:line="200"/>
            </w:pPr>
            <w:r>
              <w:rPr>
                <w:rFonts w:ascii="Times New Roman" w:hAnsi="Times New Roman" w:cs="Times New Roman" w:eastAsia="SimSun"/>
                <w:u w:val="single"/>
                <w:sz w:val="16"/>
                <w:szCs w:val="16"/>
              </w:rPr>
              <w:t xml:space="preserve">97.85</w:t>
            </w:r>
          </w:p>
        </w:tc>
        <w:tc>
          <w:tcPr>
            <w:tcW w:w="1900" w:type="dxa"/>
            <w:vAlign w:val="center"/>
          </w:tcPr>
          <w:p>
            <w:pPr>
              <w:jc w:val="center"/>
              <w:spacing w:before="0" w:after="0" w:line="200"/>
            </w:pPr>
            <w:r>
              <w:rPr>
                <w:rFonts w:ascii="Times New Roman" w:hAnsi="Times New Roman" w:cs="Times New Roman" w:eastAsia="SimSun"/>
                <w:sz w:val="16"/>
                <w:szCs w:val="16"/>
              </w:rPr>
              <w:t xml:space="preserve">96.60</w:t>
            </w:r>
          </w:p>
        </w:tc>
        <w:tc>
          <w:tcPr>
            <w:tcW w:w="2200" w:type="dxa"/>
            <w:vAlign w:val="center"/>
          </w:tcPr>
          <w:p>
            <w:pPr>
              <w:jc w:val="center"/>
              <w:spacing w:before="0" w:after="0" w:line="200"/>
            </w:pPr>
            <w:r>
              <w:rPr>
                <w:rFonts w:ascii="Times New Roman" w:hAnsi="Times New Roman" w:cs="Times New Roman" w:eastAsia="SimSun"/>
                <w:b/>
                <w:sz w:val="16"/>
                <w:szCs w:val="16"/>
              </w:rPr>
              <w:t xml:space="preserve">98.42 (+0.57 / +1.82)</w:t>
            </w:r>
          </w:p>
        </w:tc>
      </w:tr>
    </w:tbl>
    <w:p>
      <w:pPr>
        <w:jc w:val="left"/>
        <w:spacing w:before="40" w:after="140" w:line="200" w:lineRule="auto"/>
      </w:pPr>
      <w:r>
        <w:rPr>
          <w:rFonts w:ascii="Times New Roman" w:hAnsi="Times New Roman" w:cs="Times New Roman" w:eastAsia="SimSun"/>
          <w:sz w:val="16"/>
          <w:szCs w:val="16"/>
        </w:rPr>
        <w:t xml:space="preserve">表 2：以 Llama-3.1-8B-Instruct 为基座模型时，各方法在无冲突 Golden 上下文上的性能对比。每个数据集的最优结果以粗体标注，同配置纯上下文 RAG 结果以下划线标注。括号中的两个数字依次表示相对于同配置纯上下文 RAG 和已发表 FaithfulRAG 结果的变化。</w:t>
      </w:r>
    </w:p>
    <w:p>
      <w:pPr>
        <w:spacing w:before="100" w:after="60" w:line="240" w:lineRule="auto"/>
        <w:keepNext/>
      </w:pPr>
      <w:r>
        <w:rPr>
          <w:rFonts w:ascii="Times New Roman" w:hAnsi="Times New Roman" w:cs="Times New Roman" w:eastAsia="SimSun"/>
          <w:b/>
          <w:sz w:val="21"/>
          <w:szCs w:val="21"/>
        </w:rPr>
        <w:t xml:space="preserve">消融实验</w:t>
      </w:r>
    </w:p>
    <w:p>
      <w:pPr>
        <w:jc w:val="both"/>
        <w:spacing w:before="0" w:after="100" w:line="240" w:lineRule="auto"/>
        <w:ind w:firstLine="360"/>
      </w:pPr>
      <w:r>
        <w:rPr>
          <w:rFonts w:ascii="Times New Roman" w:hAnsi="Times New Roman" w:cs="Times New Roman" w:eastAsia="SimSun"/>
          <w:sz w:val="20"/>
          <w:szCs w:val="20"/>
        </w:rPr>
        <w:t xml:space="preserve">表 3 报告了基于 Llama 的全部冻结回放变体，包括组件消融、容量粒度敏感性和等调用预算投票对照。所有变体均复用完全相同且已冻结的大模型观测与语义观测，因此对比隔离的是决策机制，而非模型调用预算。移除查询语义锚点、局部语义锚点和双层语义锚定后，平均准确率分别下降 0.95、0.62 和 1.42 个百分点；移除查询确认路径封锁后平均下降 0.52 个百分点，其中 FaithEval 下降 1.90 个百分点。移除保守决策的影响最大，平均下降 3.33 个百分点；仅保留图决策前结果时平均下降 2.09 个百分点。证据充分性保护使 RealtimeQA 提升 3.54 个百分点。此外，共享基座模型容量在四个冲突数据集上的平均值高出完整方法 0.19 个百分点，但会使 MuSiQue-Golden 下降 0.96 个百分点，表明过度合并大模型来源存在冲突收益与无冲突保真之间的权衡。</w:t>
      </w:r>
    </w:p>
    <w:tbl>
      <w:tblPr>
        <w:tblW w:w="0" w:type="auto"/>
        <w:tblLayout w:type="fixed"/>
        <w:jc w:val="center"/>
        <w:tblBorders>
          <w:top w:val="single" w:sz="10" w:color="000000"/>
          <w:left w:val="nil" w:sz="0" w:color="000000"/>
          <w:bottom w:val="single" w:sz="10" w:color="000000"/>
          <w:right w:val="nil" w:sz="0" w:color="000000"/>
          <w:insideH w:val="nil" w:sz="0" w:color="000000"/>
          <w:insideV w:val="nil" w:sz="0" w:color="000000"/>
        </w:tblBorders>
      </w:tblPr>
      <w:tblGrid>
        <w:gridCol w:w="2400"/>
        <w:gridCol w:w="1100"/>
        <w:gridCol w:w="1200"/>
        <w:gridCol w:w="1200"/>
        <w:gridCol w:w="1200"/>
        <w:gridCol w:w="850"/>
      </w:tblGrid>
      <w:tr>
        <w:tc>
          <w:tcPr>
            <w:tcW w:w="2400" w:type="dxa"/>
            <w:vAlign w:val="center"/>
            <w:tcBorders>
              <w:bottom w:val="single" w:sz="8" w:space="0" w:color="000000"/>
            </w:tcBorders>
          </w:tcPr>
          <w:p>
            <w:pPr>
              <w:jc w:val="center"/>
              <w:spacing w:before="0" w:after="0" w:line="200"/>
            </w:pPr>
            <w:r>
              <w:rPr>
                <w:rFonts w:ascii="Times New Roman" w:hAnsi="Times New Roman" w:cs="Times New Roman" w:eastAsia="SimSun"/>
                <w:b/>
                <w:sz w:val="15"/>
                <w:szCs w:val="15"/>
              </w:rPr>
              <w:t xml:space="preserve">方法</w:t>
            </w:r>
          </w:p>
        </w:tc>
        <w:tc>
          <w:tcPr>
            <w:tcW w:w="1100" w:type="dxa"/>
            <w:vAlign w:val="center"/>
            <w:tcBorders>
              <w:bottom w:val="single" w:sz="8" w:space="0" w:color="000000"/>
            </w:tcBorders>
          </w:tcPr>
          <w:p>
            <w:pPr>
              <w:jc w:val="center"/>
              <w:spacing w:before="0" w:after="0" w:line="200"/>
            </w:pPr>
            <w:r>
              <w:rPr>
                <w:rFonts w:ascii="Times New Roman" w:hAnsi="Times New Roman" w:cs="Times New Roman" w:eastAsia="SimSun"/>
                <w:b/>
                <w:sz w:val="15"/>
                <w:szCs w:val="15"/>
              </w:rPr>
              <w:t xml:space="preserve">FaithEval</w:t>
            </w:r>
          </w:p>
        </w:tc>
        <w:tc>
          <w:tcPr>
            <w:tcW w:w="1200" w:type="dxa"/>
            <w:vAlign w:val="center"/>
            <w:tcBorders>
              <w:bottom w:val="single" w:sz="8" w:space="0" w:color="000000"/>
            </w:tcBorders>
          </w:tcPr>
          <w:p>
            <w:pPr>
              <w:jc w:val="center"/>
              <w:spacing w:before="0" w:after="0" w:line="200"/>
            </w:pPr>
            <w:r>
              <w:rPr>
                <w:rFonts w:ascii="Times New Roman" w:hAnsi="Times New Roman" w:cs="Times New Roman" w:eastAsia="SimSun"/>
                <w:b/>
                <w:sz w:val="15"/>
                <w:szCs w:val="15"/>
              </w:rPr>
              <w:t xml:space="preserve">MuSiQue</w:t>
            </w:r>
          </w:p>
        </w:tc>
        <w:tc>
          <w:tcPr>
            <w:tcW w:w="1200" w:type="dxa"/>
            <w:vAlign w:val="center"/>
            <w:tcBorders>
              <w:bottom w:val="single" w:sz="8" w:space="0" w:color="000000"/>
            </w:tcBorders>
          </w:tcPr>
          <w:p>
            <w:pPr>
              <w:jc w:val="center"/>
              <w:spacing w:before="0" w:after="0" w:line="200"/>
            </w:pPr>
            <w:r>
              <w:rPr>
                <w:rFonts w:ascii="Times New Roman" w:hAnsi="Times New Roman" w:cs="Times New Roman" w:eastAsia="SimSun"/>
                <w:b/>
                <w:sz w:val="15"/>
                <w:szCs w:val="15"/>
              </w:rPr>
              <w:t xml:space="preserve">RealtimeQA</w:t>
            </w:r>
          </w:p>
        </w:tc>
        <w:tc>
          <w:tcPr>
            <w:tcW w:w="1200" w:type="dxa"/>
            <w:vAlign w:val="center"/>
            <w:tcBorders>
              <w:bottom w:val="single" w:sz="8" w:space="0" w:color="000000"/>
            </w:tcBorders>
          </w:tcPr>
          <w:p>
            <w:pPr>
              <w:jc w:val="center"/>
              <w:spacing w:before="0" w:after="0" w:line="200"/>
            </w:pPr>
            <w:r>
              <w:rPr>
                <w:rFonts w:ascii="Times New Roman" w:hAnsi="Times New Roman" w:cs="Times New Roman" w:eastAsia="SimSun"/>
                <w:b/>
                <w:sz w:val="15"/>
                <w:szCs w:val="15"/>
              </w:rPr>
              <w:t xml:space="preserve">SQuAD</w:t>
            </w:r>
          </w:p>
        </w:tc>
        <w:tc>
          <w:tcPr>
            <w:tcW w:w="850" w:type="dxa"/>
            <w:vAlign w:val="center"/>
            <w:tcBorders>
              <w:bottom w:val="single" w:sz="8" w:space="0" w:color="000000"/>
            </w:tcBorders>
          </w:tcPr>
          <w:p>
            <w:pPr>
              <w:jc w:val="center"/>
              <w:spacing w:before="0" w:after="0" w:line="200"/>
            </w:pPr>
            <w:r>
              <w:rPr>
                <w:rFonts w:ascii="Times New Roman" w:hAnsi="Times New Roman" w:cs="Times New Roman" w:eastAsia="SimSun"/>
                <w:b/>
                <w:sz w:val="15"/>
                <w:szCs w:val="15"/>
              </w:rPr>
              <w:t xml:space="preserve">平均</w:t>
            </w:r>
          </w:p>
        </w:tc>
      </w:tr>
      <w:tr>
        <w:tc>
          <w:tcPr>
            <w:tcW w:w="2400" w:type="dxa"/>
            <w:vAlign w:val="center"/>
          </w:tcPr>
          <w:p>
            <w:pPr>
              <w:jc w:val="left"/>
              <w:spacing w:before="0" w:after="0" w:line="200"/>
            </w:pPr>
            <w:r>
              <w:rPr>
                <w:rFonts w:ascii="Times New Roman" w:hAnsi="Times New Roman" w:cs="Times New Roman" w:eastAsia="SimSun"/>
                <w:sz w:val="15"/>
                <w:szCs w:val="15"/>
              </w:rPr>
              <w:t xml:space="preserve">标准 RAG</w:t>
            </w:r>
          </w:p>
        </w:tc>
        <w:tc>
          <w:tcPr>
            <w:tcW w:w="1100" w:type="dxa"/>
            <w:vAlign w:val="center"/>
          </w:tcPr>
          <w:p>
            <w:pPr>
              <w:jc w:val="center"/>
              <w:spacing w:before="0" w:after="0" w:line="200"/>
            </w:pPr>
            <w:r>
              <w:rPr>
                <w:rFonts w:ascii="Times New Roman" w:hAnsi="Times New Roman" w:cs="Times New Roman" w:eastAsia="SimSun"/>
                <w:sz w:val="15"/>
                <w:szCs w:val="15"/>
              </w:rPr>
              <w:t xml:space="preserve">70.50</w:t>
            </w:r>
          </w:p>
        </w:tc>
        <w:tc>
          <w:tcPr>
            <w:tcW w:w="1200" w:type="dxa"/>
            <w:vAlign w:val="center"/>
          </w:tcPr>
          <w:p>
            <w:pPr>
              <w:jc w:val="center"/>
              <w:spacing w:before="0" w:after="0" w:line="200"/>
            </w:pPr>
            <w:r>
              <w:rPr>
                <w:rFonts w:ascii="Times New Roman" w:hAnsi="Times New Roman" w:cs="Times New Roman" w:eastAsia="SimSun"/>
                <w:sz w:val="15"/>
                <w:szCs w:val="15"/>
              </w:rPr>
              <w:t xml:space="preserve">77.14</w:t>
            </w:r>
          </w:p>
        </w:tc>
        <w:tc>
          <w:tcPr>
            <w:tcW w:w="1200" w:type="dxa"/>
            <w:vAlign w:val="center"/>
          </w:tcPr>
          <w:p>
            <w:pPr>
              <w:jc w:val="center"/>
              <w:spacing w:before="0" w:after="0" w:line="200"/>
            </w:pPr>
            <w:r>
              <w:rPr>
                <w:rFonts w:ascii="Times New Roman" w:hAnsi="Times New Roman" w:cs="Times New Roman" w:eastAsia="SimSun"/>
                <w:sz w:val="15"/>
                <w:szCs w:val="15"/>
              </w:rPr>
              <w:t xml:space="preserve">81.42</w:t>
            </w:r>
          </w:p>
        </w:tc>
        <w:tc>
          <w:tcPr>
            <w:tcW w:w="1200" w:type="dxa"/>
            <w:vAlign w:val="center"/>
          </w:tcPr>
          <w:p>
            <w:pPr>
              <w:jc w:val="center"/>
              <w:spacing w:before="0" w:after="0" w:line="200"/>
            </w:pPr>
            <w:r>
              <w:rPr>
                <w:rFonts w:ascii="Times New Roman" w:hAnsi="Times New Roman" w:cs="Times New Roman" w:eastAsia="SimSun"/>
                <w:sz w:val="15"/>
                <w:szCs w:val="15"/>
              </w:rPr>
              <w:t xml:space="preserve">75.52</w:t>
            </w:r>
          </w:p>
        </w:tc>
        <w:tc>
          <w:tcPr>
            <w:tcW w:w="850" w:type="dxa"/>
            <w:vAlign w:val="center"/>
          </w:tcPr>
          <w:p>
            <w:pPr>
              <w:jc w:val="center"/>
              <w:spacing w:before="0" w:after="0" w:line="200"/>
            </w:pPr>
            <w:r>
              <w:rPr>
                <w:rFonts w:ascii="Times New Roman" w:hAnsi="Times New Roman" w:cs="Times New Roman" w:eastAsia="SimSun"/>
                <w:sz w:val="15"/>
                <w:szCs w:val="15"/>
              </w:rPr>
              <w:t xml:space="preserve">76.15</w:t>
            </w:r>
          </w:p>
        </w:tc>
      </w:tr>
      <w:tr>
        <w:tc>
          <w:tcPr>
            <w:tcW w:w="2400" w:type="dxa"/>
            <w:vAlign w:val="center"/>
          </w:tcPr>
          <w:p>
            <w:pPr>
              <w:jc w:val="left"/>
              <w:spacing w:before="0" w:after="0" w:line="200"/>
            </w:pPr>
            <w:r>
              <w:rPr>
                <w:rFonts w:ascii="Times New Roman" w:hAnsi="Times New Roman" w:cs="Times New Roman" w:eastAsia="SimSun"/>
                <w:sz w:val="15"/>
                <w:szCs w:val="15"/>
              </w:rPr>
              <w:t xml:space="preserve">等预算多数投票</w:t>
            </w:r>
          </w:p>
        </w:tc>
        <w:tc>
          <w:tcPr>
            <w:tcW w:w="1100" w:type="dxa"/>
            <w:vAlign w:val="center"/>
          </w:tcPr>
          <w:p>
            <w:pPr>
              <w:jc w:val="center"/>
              <w:spacing w:before="0" w:after="0" w:line="200"/>
            </w:pPr>
            <w:r>
              <w:rPr>
                <w:rFonts w:ascii="Times New Roman" w:hAnsi="Times New Roman" w:cs="Times New Roman" w:eastAsia="SimSun"/>
                <w:sz w:val="15"/>
                <w:szCs w:val="15"/>
              </w:rPr>
              <w:t xml:space="preserve">77.10</w:t>
            </w:r>
          </w:p>
        </w:tc>
        <w:tc>
          <w:tcPr>
            <w:tcW w:w="1200" w:type="dxa"/>
            <w:vAlign w:val="center"/>
          </w:tcPr>
          <w:p>
            <w:pPr>
              <w:jc w:val="center"/>
              <w:spacing w:before="0" w:after="0" w:line="200"/>
            </w:pPr>
            <w:r>
              <w:rPr>
                <w:rFonts w:ascii="Times New Roman" w:hAnsi="Times New Roman" w:cs="Times New Roman" w:eastAsia="SimSun"/>
                <w:sz w:val="15"/>
                <w:szCs w:val="15"/>
              </w:rPr>
              <w:t xml:space="preserve">87.58</w:t>
            </w:r>
          </w:p>
        </w:tc>
        <w:tc>
          <w:tcPr>
            <w:tcW w:w="1200" w:type="dxa"/>
            <w:vAlign w:val="center"/>
          </w:tcPr>
          <w:p>
            <w:pPr>
              <w:jc w:val="center"/>
              <w:spacing w:before="0" w:after="0" w:line="200"/>
            </w:pPr>
            <w:r>
              <w:rPr>
                <w:rFonts w:ascii="Times New Roman" w:hAnsi="Times New Roman" w:cs="Times New Roman" w:eastAsia="SimSun"/>
                <w:sz w:val="15"/>
                <w:szCs w:val="15"/>
              </w:rPr>
              <w:t xml:space="preserve">76.99</w:t>
            </w:r>
          </w:p>
        </w:tc>
        <w:tc>
          <w:tcPr>
            <w:tcW w:w="1200" w:type="dxa"/>
            <w:vAlign w:val="center"/>
          </w:tcPr>
          <w:p>
            <w:pPr>
              <w:jc w:val="center"/>
              <w:spacing w:before="0" w:after="0" w:line="200"/>
            </w:pPr>
            <w:r>
              <w:rPr>
                <w:rFonts w:ascii="Times New Roman" w:hAnsi="Times New Roman" w:cs="Times New Roman" w:eastAsia="SimSun"/>
                <w:sz w:val="15"/>
                <w:szCs w:val="15"/>
              </w:rPr>
              <w:t xml:space="preserve">88.13</w:t>
            </w:r>
          </w:p>
        </w:tc>
        <w:tc>
          <w:tcPr>
            <w:tcW w:w="850" w:type="dxa"/>
            <w:vAlign w:val="center"/>
          </w:tcPr>
          <w:p>
            <w:pPr>
              <w:jc w:val="center"/>
              <w:spacing w:before="0" w:after="0" w:line="200"/>
            </w:pPr>
            <w:r>
              <w:rPr>
                <w:rFonts w:ascii="Times New Roman" w:hAnsi="Times New Roman" w:cs="Times New Roman" w:eastAsia="SimSun"/>
                <w:sz w:val="15"/>
                <w:szCs w:val="15"/>
              </w:rPr>
              <w:t xml:space="preserve">82.45</w:t>
            </w:r>
          </w:p>
        </w:tc>
      </w:tr>
      <w:tr>
        <w:tc>
          <w:tcPr>
            <w:tcW w:w="2400" w:type="dxa"/>
            <w:vAlign w:val="center"/>
          </w:tcPr>
          <w:p>
            <w:pPr>
              <w:jc w:val="left"/>
              <w:spacing w:before="0" w:after="0" w:line="200"/>
            </w:pPr>
            <w:r>
              <w:rPr>
                <w:rFonts w:ascii="Times New Roman" w:hAnsi="Times New Roman" w:cs="Times New Roman" w:eastAsia="SimSun"/>
                <w:sz w:val="15"/>
                <w:szCs w:val="15"/>
              </w:rPr>
              <w:t xml:space="preserve">按来源分组投票</w:t>
            </w:r>
          </w:p>
        </w:tc>
        <w:tc>
          <w:tcPr>
            <w:tcW w:w="1100" w:type="dxa"/>
            <w:vAlign w:val="center"/>
          </w:tcPr>
          <w:p>
            <w:pPr>
              <w:jc w:val="center"/>
              <w:spacing w:before="0" w:after="0" w:line="200"/>
            </w:pPr>
            <w:r>
              <w:rPr>
                <w:rFonts w:ascii="Times New Roman" w:hAnsi="Times New Roman" w:cs="Times New Roman" w:eastAsia="SimSun"/>
                <w:sz w:val="15"/>
                <w:szCs w:val="15"/>
              </w:rPr>
              <w:t xml:space="preserve">76.10</w:t>
            </w:r>
          </w:p>
        </w:tc>
        <w:tc>
          <w:tcPr>
            <w:tcW w:w="1200" w:type="dxa"/>
            <w:vAlign w:val="center"/>
          </w:tcPr>
          <w:p>
            <w:pPr>
              <w:jc w:val="center"/>
              <w:spacing w:before="0" w:after="0" w:line="200"/>
            </w:pPr>
            <w:r>
              <w:rPr>
                <w:rFonts w:ascii="Times New Roman" w:hAnsi="Times New Roman" w:cs="Times New Roman" w:eastAsia="SimSun"/>
                <w:sz w:val="15"/>
                <w:szCs w:val="15"/>
              </w:rPr>
              <w:t xml:space="preserve">86.79</w:t>
            </w:r>
          </w:p>
        </w:tc>
        <w:tc>
          <w:tcPr>
            <w:tcW w:w="1200" w:type="dxa"/>
            <w:vAlign w:val="center"/>
          </w:tcPr>
          <w:p>
            <w:pPr>
              <w:jc w:val="center"/>
              <w:spacing w:before="0" w:after="0" w:line="200"/>
            </w:pPr>
            <w:r>
              <w:rPr>
                <w:rFonts w:ascii="Times New Roman" w:hAnsi="Times New Roman" w:cs="Times New Roman" w:eastAsia="SimSun"/>
                <w:sz w:val="15"/>
                <w:szCs w:val="15"/>
              </w:rPr>
              <w:t xml:space="preserve">77.88</w:t>
            </w:r>
          </w:p>
        </w:tc>
        <w:tc>
          <w:tcPr>
            <w:tcW w:w="1200" w:type="dxa"/>
            <w:vAlign w:val="center"/>
          </w:tcPr>
          <w:p>
            <w:pPr>
              <w:jc w:val="center"/>
              <w:spacing w:before="0" w:after="0" w:line="200"/>
            </w:pPr>
            <w:r>
              <w:rPr>
                <w:rFonts w:ascii="Times New Roman" w:hAnsi="Times New Roman" w:cs="Times New Roman" w:eastAsia="SimSun"/>
                <w:sz w:val="15"/>
                <w:szCs w:val="15"/>
              </w:rPr>
              <w:t xml:space="preserve">86.66</w:t>
            </w:r>
          </w:p>
        </w:tc>
        <w:tc>
          <w:tcPr>
            <w:tcW w:w="850" w:type="dxa"/>
            <w:vAlign w:val="center"/>
          </w:tcPr>
          <w:p>
            <w:pPr>
              <w:jc w:val="center"/>
              <w:spacing w:before="0" w:after="0" w:line="200"/>
            </w:pPr>
            <w:r>
              <w:rPr>
                <w:rFonts w:ascii="Times New Roman" w:hAnsi="Times New Roman" w:cs="Times New Roman" w:eastAsia="SimSun"/>
                <w:sz w:val="15"/>
                <w:szCs w:val="15"/>
              </w:rPr>
              <w:t xml:space="preserve">81.86</w:t>
            </w:r>
          </w:p>
        </w:tc>
      </w:tr>
      <w:tr>
        <w:tc>
          <w:tcPr>
            <w:tcW w:w="2400" w:type="dxa"/>
            <w:vAlign w:val="center"/>
          </w:tcPr>
          <w:p>
            <w:pPr>
              <w:jc w:val="left"/>
              <w:spacing w:before="0" w:after="0" w:line="200"/>
            </w:pPr>
            <w:r>
              <w:rPr>
                <w:rFonts w:ascii="Times New Roman" w:hAnsi="Times New Roman" w:cs="Times New Roman" w:eastAsia="SimSun"/>
                <w:sz w:val="15"/>
                <w:szCs w:val="15"/>
              </w:rPr>
              <w:t xml:space="preserve">仅冲突验证（无图决策）</w:t>
            </w:r>
          </w:p>
        </w:tc>
        <w:tc>
          <w:tcPr>
            <w:tcW w:w="1100" w:type="dxa"/>
            <w:vAlign w:val="center"/>
          </w:tcPr>
          <w:p>
            <w:pPr>
              <w:jc w:val="center"/>
              <w:spacing w:before="0" w:after="0" w:line="200"/>
            </w:pPr>
            <w:r>
              <w:rPr>
                <w:rFonts w:ascii="Times New Roman" w:hAnsi="Times New Roman" w:cs="Times New Roman" w:eastAsia="SimSun"/>
                <w:sz w:val="15"/>
                <w:szCs w:val="15"/>
              </w:rPr>
              <w:t xml:space="preserve">80.50</w:t>
            </w:r>
          </w:p>
        </w:tc>
        <w:tc>
          <w:tcPr>
            <w:tcW w:w="1200" w:type="dxa"/>
            <w:vAlign w:val="center"/>
          </w:tcPr>
          <w:p>
            <w:pPr>
              <w:jc w:val="center"/>
              <w:spacing w:before="0" w:after="0" w:line="200"/>
            </w:pPr>
            <w:r>
              <w:rPr>
                <w:rFonts w:ascii="Times New Roman" w:hAnsi="Times New Roman" w:cs="Times New Roman" w:eastAsia="SimSun"/>
                <w:sz w:val="15"/>
                <w:szCs w:val="15"/>
              </w:rPr>
              <w:t xml:space="preserve">87.70</w:t>
            </w:r>
          </w:p>
        </w:tc>
        <w:tc>
          <w:tcPr>
            <w:tcW w:w="1200" w:type="dxa"/>
            <w:vAlign w:val="center"/>
          </w:tcPr>
          <w:p>
            <w:pPr>
              <w:jc w:val="center"/>
              <w:spacing w:before="0" w:after="0" w:line="200"/>
            </w:pPr>
            <w:r>
              <w:rPr>
                <w:rFonts w:ascii="Times New Roman" w:hAnsi="Times New Roman" w:cs="Times New Roman" w:eastAsia="SimSun"/>
                <w:sz w:val="15"/>
                <w:szCs w:val="15"/>
              </w:rPr>
              <w:t xml:space="preserve">84.07</w:t>
            </w:r>
          </w:p>
        </w:tc>
        <w:tc>
          <w:tcPr>
            <w:tcW w:w="1200" w:type="dxa"/>
            <w:vAlign w:val="center"/>
          </w:tcPr>
          <w:p>
            <w:pPr>
              <w:jc w:val="center"/>
              <w:spacing w:before="0" w:after="0" w:line="200"/>
            </w:pPr>
            <w:r>
              <w:rPr>
                <w:rFonts w:ascii="Times New Roman" w:hAnsi="Times New Roman" w:cs="Times New Roman" w:eastAsia="SimSun"/>
                <w:sz w:val="15"/>
                <w:szCs w:val="15"/>
              </w:rPr>
              <w:t xml:space="preserve">88.07</w:t>
            </w:r>
          </w:p>
        </w:tc>
        <w:tc>
          <w:tcPr>
            <w:tcW w:w="850" w:type="dxa"/>
            <w:vAlign w:val="center"/>
          </w:tcPr>
          <w:p>
            <w:pPr>
              <w:jc w:val="center"/>
              <w:spacing w:before="0" w:after="0" w:line="200"/>
            </w:pPr>
            <w:r>
              <w:rPr>
                <w:rFonts w:ascii="Times New Roman" w:hAnsi="Times New Roman" w:cs="Times New Roman" w:eastAsia="SimSun"/>
                <w:sz w:val="15"/>
                <w:szCs w:val="15"/>
              </w:rPr>
              <w:t xml:space="preserve">85.09</w:t>
            </w:r>
          </w:p>
        </w:tc>
      </w:tr>
      <w:tr>
        <w:tc>
          <w:tcPr>
            <w:tcW w:w="2400" w:type="dxa"/>
            <w:vAlign w:val="center"/>
          </w:tcPr>
          <w:p>
            <w:pPr>
              <w:jc w:val="left"/>
              <w:spacing w:before="0" w:after="0" w:line="200"/>
            </w:pPr>
            <w:r>
              <w:rPr>
                <w:rFonts w:ascii="Times New Roman" w:hAnsi="Times New Roman" w:cs="Times New Roman" w:eastAsia="SimSun"/>
                <w:sz w:val="15"/>
                <w:szCs w:val="15"/>
              </w:rPr>
              <w:t xml:space="preserve">移除查询语义锚点</w:t>
            </w:r>
          </w:p>
        </w:tc>
        <w:tc>
          <w:tcPr>
            <w:tcW w:w="1100" w:type="dxa"/>
            <w:vAlign w:val="center"/>
          </w:tcPr>
          <w:p>
            <w:pPr>
              <w:jc w:val="center"/>
              <w:spacing w:before="0" w:after="0" w:line="200"/>
            </w:pPr>
            <w:r>
              <w:rPr>
                <w:rFonts w:ascii="Times New Roman" w:hAnsi="Times New Roman" w:cs="Times New Roman" w:eastAsia="SimSun"/>
                <w:sz w:val="15"/>
                <w:szCs w:val="15"/>
              </w:rPr>
              <w:t xml:space="preserve">81.40</w:t>
            </w:r>
          </w:p>
        </w:tc>
        <w:tc>
          <w:tcPr>
            <w:tcW w:w="1200" w:type="dxa"/>
            <w:vAlign w:val="center"/>
          </w:tcPr>
          <w:p>
            <w:pPr>
              <w:jc w:val="center"/>
              <w:spacing w:before="0" w:after="0" w:line="200"/>
            </w:pPr>
            <w:r>
              <w:rPr>
                <w:rFonts w:ascii="Times New Roman" w:hAnsi="Times New Roman" w:cs="Times New Roman" w:eastAsia="SimSun"/>
                <w:sz w:val="15"/>
                <w:szCs w:val="15"/>
              </w:rPr>
              <w:t xml:space="preserve">87.30</w:t>
            </w:r>
          </w:p>
        </w:tc>
        <w:tc>
          <w:tcPr>
            <w:tcW w:w="1200" w:type="dxa"/>
            <w:vAlign w:val="center"/>
          </w:tcPr>
          <w:p>
            <w:pPr>
              <w:jc w:val="center"/>
              <w:spacing w:before="0" w:after="0" w:line="200"/>
            </w:pPr>
            <w:r>
              <w:rPr>
                <w:rFonts w:ascii="Times New Roman" w:hAnsi="Times New Roman" w:cs="Times New Roman" w:eastAsia="SimSun"/>
                <w:sz w:val="15"/>
                <w:szCs w:val="15"/>
              </w:rPr>
              <w:t xml:space="preserve">87.61</w:t>
            </w:r>
          </w:p>
        </w:tc>
        <w:tc>
          <w:tcPr>
            <w:tcW w:w="1200" w:type="dxa"/>
            <w:vAlign w:val="center"/>
          </w:tcPr>
          <w:p>
            <w:pPr>
              <w:jc w:val="center"/>
              <w:spacing w:before="0" w:after="0" w:line="200"/>
            </w:pPr>
            <w:r>
              <w:rPr>
                <w:rFonts w:ascii="Times New Roman" w:hAnsi="Times New Roman" w:cs="Times New Roman" w:eastAsia="SimSun"/>
                <w:sz w:val="15"/>
                <w:szCs w:val="15"/>
              </w:rPr>
              <w:t xml:space="preserve">88.58</w:t>
            </w:r>
          </w:p>
        </w:tc>
        <w:tc>
          <w:tcPr>
            <w:tcW w:w="850" w:type="dxa"/>
            <w:vAlign w:val="center"/>
          </w:tcPr>
          <w:p>
            <w:pPr>
              <w:jc w:val="center"/>
              <w:spacing w:before="0" w:after="0" w:line="200"/>
            </w:pPr>
            <w:r>
              <w:rPr>
                <w:rFonts w:ascii="Times New Roman" w:hAnsi="Times New Roman" w:cs="Times New Roman" w:eastAsia="SimSun"/>
                <w:sz w:val="15"/>
                <w:szCs w:val="15"/>
              </w:rPr>
              <w:t xml:space="preserve">86.22</w:t>
            </w:r>
          </w:p>
        </w:tc>
      </w:tr>
      <w:tr>
        <w:tc>
          <w:tcPr>
            <w:tcW w:w="2400" w:type="dxa"/>
            <w:vAlign w:val="center"/>
          </w:tcPr>
          <w:p>
            <w:pPr>
              <w:jc w:val="left"/>
              <w:spacing w:before="0" w:after="0" w:line="200"/>
            </w:pPr>
            <w:r>
              <w:rPr>
                <w:rFonts w:ascii="Times New Roman" w:hAnsi="Times New Roman" w:cs="Times New Roman" w:eastAsia="SimSun"/>
                <w:sz w:val="15"/>
                <w:szCs w:val="15"/>
              </w:rPr>
              <w:t xml:space="preserve">移除局部语义锚点</w:t>
            </w:r>
          </w:p>
        </w:tc>
        <w:tc>
          <w:tcPr>
            <w:tcW w:w="1100" w:type="dxa"/>
            <w:vAlign w:val="center"/>
          </w:tcPr>
          <w:p>
            <w:pPr>
              <w:jc w:val="center"/>
              <w:spacing w:before="0" w:after="0" w:line="200"/>
            </w:pPr>
            <w:r>
              <w:rPr>
                <w:rFonts w:ascii="Times New Roman" w:hAnsi="Times New Roman" w:cs="Times New Roman" w:eastAsia="SimSun"/>
                <w:sz w:val="15"/>
                <w:szCs w:val="15"/>
              </w:rPr>
              <w:t xml:space="preserve">82.20</w:t>
            </w:r>
          </w:p>
        </w:tc>
        <w:tc>
          <w:tcPr>
            <w:tcW w:w="1200" w:type="dxa"/>
            <w:vAlign w:val="center"/>
          </w:tcPr>
          <w:p>
            <w:pPr>
              <w:jc w:val="center"/>
              <w:spacing w:before="0" w:after="0" w:line="200"/>
            </w:pPr>
            <w:r>
              <w:rPr>
                <w:rFonts w:ascii="Times New Roman" w:hAnsi="Times New Roman" w:cs="Times New Roman" w:eastAsia="SimSun"/>
                <w:sz w:val="15"/>
                <w:szCs w:val="15"/>
              </w:rPr>
              <w:t xml:space="preserve">87.70</w:t>
            </w:r>
          </w:p>
        </w:tc>
        <w:tc>
          <w:tcPr>
            <w:tcW w:w="1200" w:type="dxa"/>
            <w:vAlign w:val="center"/>
          </w:tcPr>
          <w:p>
            <w:pPr>
              <w:jc w:val="center"/>
              <w:spacing w:before="0" w:after="0" w:line="200"/>
            </w:pPr>
            <w:r>
              <w:rPr>
                <w:rFonts w:ascii="Times New Roman" w:hAnsi="Times New Roman" w:cs="Times New Roman" w:eastAsia="SimSun"/>
                <w:sz w:val="15"/>
                <w:szCs w:val="15"/>
              </w:rPr>
              <w:t xml:space="preserve">87.61</w:t>
            </w:r>
          </w:p>
        </w:tc>
        <w:tc>
          <w:tcPr>
            <w:tcW w:w="1200" w:type="dxa"/>
            <w:vAlign w:val="center"/>
          </w:tcPr>
          <w:p>
            <w:pPr>
              <w:jc w:val="center"/>
              <w:spacing w:before="0" w:after="0" w:line="200"/>
            </w:pPr>
            <w:r>
              <w:rPr>
                <w:rFonts w:ascii="Times New Roman" w:hAnsi="Times New Roman" w:cs="Times New Roman" w:eastAsia="SimSun"/>
                <w:sz w:val="15"/>
                <w:szCs w:val="15"/>
              </w:rPr>
              <w:t xml:space="preserve">88.75</w:t>
            </w:r>
          </w:p>
        </w:tc>
        <w:tc>
          <w:tcPr>
            <w:tcW w:w="850" w:type="dxa"/>
            <w:vAlign w:val="center"/>
          </w:tcPr>
          <w:p>
            <w:pPr>
              <w:jc w:val="center"/>
              <w:spacing w:before="0" w:after="0" w:line="200"/>
            </w:pPr>
            <w:r>
              <w:rPr>
                <w:rFonts w:ascii="Times New Roman" w:hAnsi="Times New Roman" w:cs="Times New Roman" w:eastAsia="SimSun"/>
                <w:sz w:val="15"/>
                <w:szCs w:val="15"/>
              </w:rPr>
              <w:t xml:space="preserve">86.56</w:t>
            </w:r>
          </w:p>
        </w:tc>
      </w:tr>
      <w:tr>
        <w:tc>
          <w:tcPr>
            <w:tcW w:w="2400" w:type="dxa"/>
            <w:vAlign w:val="center"/>
          </w:tcPr>
          <w:p>
            <w:pPr>
              <w:jc w:val="left"/>
              <w:spacing w:before="0" w:after="0" w:line="200"/>
            </w:pPr>
            <w:r>
              <w:rPr>
                <w:rFonts w:ascii="Times New Roman" w:hAnsi="Times New Roman" w:cs="Times New Roman" w:eastAsia="SimSun"/>
                <w:sz w:val="15"/>
                <w:szCs w:val="15"/>
              </w:rPr>
              <w:t xml:space="preserve">移除双层语义锚定</w:t>
            </w:r>
          </w:p>
        </w:tc>
        <w:tc>
          <w:tcPr>
            <w:tcW w:w="1100" w:type="dxa"/>
            <w:vAlign w:val="center"/>
          </w:tcPr>
          <w:p>
            <w:pPr>
              <w:jc w:val="center"/>
              <w:spacing w:before="0" w:after="0" w:line="200"/>
            </w:pPr>
            <w:r>
              <w:rPr>
                <w:rFonts w:ascii="Times New Roman" w:hAnsi="Times New Roman" w:cs="Times New Roman" w:eastAsia="SimSun"/>
                <w:sz w:val="15"/>
                <w:szCs w:val="15"/>
              </w:rPr>
              <w:t xml:space="preserve">80.60</w:t>
            </w:r>
          </w:p>
        </w:tc>
        <w:tc>
          <w:tcPr>
            <w:tcW w:w="1200" w:type="dxa"/>
            <w:vAlign w:val="center"/>
          </w:tcPr>
          <w:p>
            <w:pPr>
              <w:jc w:val="center"/>
              <w:spacing w:before="0" w:after="0" w:line="200"/>
            </w:pPr>
            <w:r>
              <w:rPr>
                <w:rFonts w:ascii="Times New Roman" w:hAnsi="Times New Roman" w:cs="Times New Roman" w:eastAsia="SimSun"/>
                <w:sz w:val="15"/>
                <w:szCs w:val="15"/>
              </w:rPr>
              <w:t xml:space="preserve">86.85</w:t>
            </w:r>
          </w:p>
        </w:tc>
        <w:tc>
          <w:tcPr>
            <w:tcW w:w="1200" w:type="dxa"/>
            <w:vAlign w:val="center"/>
          </w:tcPr>
          <w:p>
            <w:pPr>
              <w:jc w:val="center"/>
              <w:spacing w:before="0" w:after="0" w:line="200"/>
            </w:pPr>
            <w:r>
              <w:rPr>
                <w:rFonts w:ascii="Times New Roman" w:hAnsi="Times New Roman" w:cs="Times New Roman" w:eastAsia="SimSun"/>
                <w:sz w:val="15"/>
                <w:szCs w:val="15"/>
              </w:rPr>
              <w:t xml:space="preserve">87.61</w:t>
            </w:r>
          </w:p>
        </w:tc>
        <w:tc>
          <w:tcPr>
            <w:tcW w:w="1200" w:type="dxa"/>
            <w:vAlign w:val="center"/>
          </w:tcPr>
          <w:p>
            <w:pPr>
              <w:jc w:val="center"/>
              <w:spacing w:before="0" w:after="0" w:line="200"/>
            </w:pPr>
            <w:r>
              <w:rPr>
                <w:rFonts w:ascii="Times New Roman" w:hAnsi="Times New Roman" w:cs="Times New Roman" w:eastAsia="SimSun"/>
                <w:sz w:val="15"/>
                <w:szCs w:val="15"/>
              </w:rPr>
              <w:t xml:space="preserve">87.96</w:t>
            </w:r>
          </w:p>
        </w:tc>
        <w:tc>
          <w:tcPr>
            <w:tcW w:w="850" w:type="dxa"/>
            <w:vAlign w:val="center"/>
          </w:tcPr>
          <w:p>
            <w:pPr>
              <w:jc w:val="center"/>
              <w:spacing w:before="0" w:after="0" w:line="200"/>
            </w:pPr>
            <w:r>
              <w:rPr>
                <w:rFonts w:ascii="Times New Roman" w:hAnsi="Times New Roman" w:cs="Times New Roman" w:eastAsia="SimSun"/>
                <w:sz w:val="15"/>
                <w:szCs w:val="15"/>
              </w:rPr>
              <w:t xml:space="preserve">85.76</w:t>
            </w:r>
          </w:p>
        </w:tc>
      </w:tr>
      <w:tr>
        <w:tc>
          <w:tcPr>
            <w:tcW w:w="2400" w:type="dxa"/>
            <w:vAlign w:val="center"/>
          </w:tcPr>
          <w:p>
            <w:pPr>
              <w:jc w:val="left"/>
              <w:spacing w:before="0" w:after="0" w:line="200"/>
            </w:pPr>
            <w:r>
              <w:rPr>
                <w:rFonts w:ascii="Times New Roman" w:hAnsi="Times New Roman" w:cs="Times New Roman" w:eastAsia="SimSun"/>
                <w:sz w:val="15"/>
                <w:szCs w:val="15"/>
              </w:rPr>
              <w:t xml:space="preserve">移除来源容量约束</w:t>
            </w:r>
          </w:p>
        </w:tc>
        <w:tc>
          <w:tcPr>
            <w:tcW w:w="1100" w:type="dxa"/>
            <w:vAlign w:val="center"/>
          </w:tcPr>
          <w:p>
            <w:pPr>
              <w:jc w:val="center"/>
              <w:spacing w:before="0" w:after="0" w:line="200"/>
            </w:pPr>
            <w:r>
              <w:rPr>
                <w:rFonts w:ascii="Times New Roman" w:hAnsi="Times New Roman" w:cs="Times New Roman" w:eastAsia="SimSun"/>
                <w:sz w:val="15"/>
                <w:szCs w:val="15"/>
              </w:rPr>
              <w:t xml:space="preserve">83.80</w:t>
            </w:r>
          </w:p>
        </w:tc>
        <w:tc>
          <w:tcPr>
            <w:tcW w:w="1200" w:type="dxa"/>
            <w:vAlign w:val="center"/>
          </w:tcPr>
          <w:p>
            <w:pPr>
              <w:jc w:val="center"/>
              <w:spacing w:before="0" w:after="0" w:line="200"/>
            </w:pPr>
            <w:r>
              <w:rPr>
                <w:rFonts w:ascii="Times New Roman" w:hAnsi="Times New Roman" w:cs="Times New Roman" w:eastAsia="SimSun"/>
                <w:sz w:val="15"/>
                <w:szCs w:val="15"/>
              </w:rPr>
              <w:t xml:space="preserve">88.32</w:t>
            </w:r>
          </w:p>
        </w:tc>
        <w:tc>
          <w:tcPr>
            <w:tcW w:w="1200" w:type="dxa"/>
            <w:vAlign w:val="center"/>
          </w:tcPr>
          <w:p>
            <w:pPr>
              <w:jc w:val="center"/>
              <w:spacing w:before="0" w:after="0" w:line="200"/>
            </w:pPr>
            <w:r>
              <w:rPr>
                <w:rFonts w:ascii="Times New Roman" w:hAnsi="Times New Roman" w:cs="Times New Roman" w:eastAsia="SimSun"/>
                <w:sz w:val="15"/>
                <w:szCs w:val="15"/>
              </w:rPr>
              <w:t xml:space="preserve">87.61</w:t>
            </w:r>
          </w:p>
        </w:tc>
        <w:tc>
          <w:tcPr>
            <w:tcW w:w="1200" w:type="dxa"/>
            <w:vAlign w:val="center"/>
          </w:tcPr>
          <w:p>
            <w:pPr>
              <w:jc w:val="center"/>
              <w:spacing w:before="0" w:after="0" w:line="200"/>
            </w:pPr>
            <w:r>
              <w:rPr>
                <w:rFonts w:ascii="Times New Roman" w:hAnsi="Times New Roman" w:cs="Times New Roman" w:eastAsia="SimSun"/>
                <w:sz w:val="15"/>
                <w:szCs w:val="15"/>
              </w:rPr>
              <w:t xml:space="preserve">88.86</w:t>
            </w:r>
          </w:p>
        </w:tc>
        <w:tc>
          <w:tcPr>
            <w:tcW w:w="850" w:type="dxa"/>
            <w:vAlign w:val="center"/>
          </w:tcPr>
          <w:p>
            <w:pPr>
              <w:jc w:val="center"/>
              <w:spacing w:before="0" w:after="0" w:line="200"/>
            </w:pPr>
            <w:r>
              <w:rPr>
                <w:rFonts w:ascii="Times New Roman" w:hAnsi="Times New Roman" w:cs="Times New Roman" w:eastAsia="SimSun"/>
                <w:sz w:val="15"/>
                <w:szCs w:val="15"/>
              </w:rPr>
              <w:t xml:space="preserve">87.15</w:t>
            </w:r>
          </w:p>
        </w:tc>
      </w:tr>
      <w:tr>
        <w:tc>
          <w:tcPr>
            <w:tcW w:w="2400" w:type="dxa"/>
            <w:vAlign w:val="center"/>
          </w:tcPr>
          <w:p>
            <w:pPr>
              <w:jc w:val="left"/>
              <w:spacing w:before="0" w:after="0" w:line="200"/>
            </w:pPr>
            <w:r>
              <w:rPr>
                <w:rFonts w:ascii="Times New Roman" w:hAnsi="Times New Roman" w:cs="Times New Roman" w:eastAsia="SimSun"/>
                <w:sz w:val="15"/>
                <w:szCs w:val="15"/>
              </w:rPr>
              <w:t xml:space="preserve">共享基座模型容量</w:t>
            </w:r>
          </w:p>
        </w:tc>
        <w:tc>
          <w:tcPr>
            <w:tcW w:w="1100" w:type="dxa"/>
            <w:vAlign w:val="center"/>
          </w:tcPr>
          <w:p>
            <w:pPr>
              <w:jc w:val="center"/>
              <w:spacing w:before="0" w:after="0" w:line="200"/>
            </w:pPr>
            <w:r>
              <w:rPr>
                <w:rFonts w:ascii="Times New Roman" w:hAnsi="Times New Roman" w:cs="Times New Roman" w:eastAsia="SimSun"/>
                <w:sz w:val="15"/>
                <w:szCs w:val="15"/>
              </w:rPr>
              <w:t xml:space="preserve">83.90</w:t>
            </w:r>
          </w:p>
        </w:tc>
        <w:tc>
          <w:tcPr>
            <w:tcW w:w="1200" w:type="dxa"/>
            <w:vAlign w:val="center"/>
          </w:tcPr>
          <w:p>
            <w:pPr>
              <w:jc w:val="center"/>
              <w:spacing w:before="0" w:after="0" w:line="200"/>
            </w:pPr>
            <w:r>
              <w:rPr>
                <w:rFonts w:ascii="Times New Roman" w:hAnsi="Times New Roman" w:cs="Times New Roman" w:eastAsia="SimSun"/>
                <w:sz w:val="15"/>
                <w:szCs w:val="15"/>
              </w:rPr>
              <w:t xml:space="preserve">88.66</w:t>
            </w:r>
          </w:p>
        </w:tc>
        <w:tc>
          <w:tcPr>
            <w:tcW w:w="1200" w:type="dxa"/>
            <w:vAlign w:val="center"/>
          </w:tcPr>
          <w:p>
            <w:pPr>
              <w:jc w:val="center"/>
              <w:spacing w:before="0" w:after="0" w:line="200"/>
            </w:pPr>
            <w:r>
              <w:rPr>
                <w:rFonts w:ascii="Times New Roman" w:hAnsi="Times New Roman" w:cs="Times New Roman" w:eastAsia="SimSun"/>
                <w:sz w:val="15"/>
                <w:szCs w:val="15"/>
              </w:rPr>
              <w:t xml:space="preserve">87.61</w:t>
            </w:r>
          </w:p>
        </w:tc>
        <w:tc>
          <w:tcPr>
            <w:tcW w:w="1200" w:type="dxa"/>
            <w:vAlign w:val="center"/>
          </w:tcPr>
          <w:p>
            <w:pPr>
              <w:jc w:val="center"/>
              <w:spacing w:before="0" w:after="0" w:line="200"/>
            </w:pPr>
            <w:r>
              <w:rPr>
                <w:rFonts w:ascii="Times New Roman" w:hAnsi="Times New Roman" w:cs="Times New Roman" w:eastAsia="SimSun"/>
                <w:sz w:val="15"/>
                <w:szCs w:val="15"/>
              </w:rPr>
              <w:t xml:space="preserve">89.32</w:t>
            </w:r>
          </w:p>
        </w:tc>
        <w:tc>
          <w:tcPr>
            <w:tcW w:w="850" w:type="dxa"/>
            <w:vAlign w:val="center"/>
          </w:tcPr>
          <w:p>
            <w:pPr>
              <w:jc w:val="center"/>
              <w:spacing w:before="0" w:after="0" w:line="200"/>
            </w:pPr>
            <w:r>
              <w:rPr>
                <w:rFonts w:ascii="Times New Roman" w:hAnsi="Times New Roman" w:cs="Times New Roman" w:eastAsia="SimSun"/>
                <w:sz w:val="15"/>
                <w:szCs w:val="15"/>
              </w:rPr>
              <w:t xml:space="preserve">87.37</w:t>
            </w:r>
          </w:p>
        </w:tc>
      </w:tr>
      <w:tr>
        <w:tc>
          <w:tcPr>
            <w:tcW w:w="2400" w:type="dxa"/>
            <w:vAlign w:val="center"/>
          </w:tcPr>
          <w:p>
            <w:pPr>
              <w:jc w:val="left"/>
              <w:spacing w:before="0" w:after="0" w:line="200"/>
            </w:pPr>
            <w:r>
              <w:rPr>
                <w:rFonts w:ascii="Times New Roman" w:hAnsi="Times New Roman" w:cs="Times New Roman" w:eastAsia="SimSun"/>
                <w:sz w:val="15"/>
                <w:szCs w:val="15"/>
              </w:rPr>
              <w:t xml:space="preserve">扁平化图拓扑</w:t>
            </w:r>
          </w:p>
        </w:tc>
        <w:tc>
          <w:tcPr>
            <w:tcW w:w="1100" w:type="dxa"/>
            <w:vAlign w:val="center"/>
          </w:tcPr>
          <w:p>
            <w:pPr>
              <w:jc w:val="center"/>
              <w:spacing w:before="0" w:after="0" w:line="200"/>
            </w:pPr>
            <w:r>
              <w:rPr>
                <w:rFonts w:ascii="Times New Roman" w:hAnsi="Times New Roman" w:cs="Times New Roman" w:eastAsia="SimSun"/>
                <w:sz w:val="15"/>
                <w:szCs w:val="15"/>
              </w:rPr>
              <w:t xml:space="preserve">82.40</w:t>
            </w:r>
          </w:p>
        </w:tc>
        <w:tc>
          <w:tcPr>
            <w:tcW w:w="1200" w:type="dxa"/>
            <w:vAlign w:val="center"/>
          </w:tcPr>
          <w:p>
            <w:pPr>
              <w:jc w:val="center"/>
              <w:spacing w:before="0" w:after="0" w:line="200"/>
            </w:pPr>
            <w:r>
              <w:rPr>
                <w:rFonts w:ascii="Times New Roman" w:hAnsi="Times New Roman" w:cs="Times New Roman" w:eastAsia="SimSun"/>
                <w:sz w:val="15"/>
                <w:szCs w:val="15"/>
              </w:rPr>
              <w:t xml:space="preserve">88.26</w:t>
            </w:r>
          </w:p>
        </w:tc>
        <w:tc>
          <w:tcPr>
            <w:tcW w:w="1200" w:type="dxa"/>
            <w:vAlign w:val="center"/>
          </w:tcPr>
          <w:p>
            <w:pPr>
              <w:jc w:val="center"/>
              <w:spacing w:before="0" w:after="0" w:line="200"/>
            </w:pPr>
            <w:r>
              <w:rPr>
                <w:rFonts w:ascii="Times New Roman" w:hAnsi="Times New Roman" w:cs="Times New Roman" w:eastAsia="SimSun"/>
                <w:sz w:val="15"/>
                <w:szCs w:val="15"/>
              </w:rPr>
              <w:t xml:space="preserve">87.61</w:t>
            </w:r>
          </w:p>
        </w:tc>
        <w:tc>
          <w:tcPr>
            <w:tcW w:w="1200" w:type="dxa"/>
            <w:vAlign w:val="center"/>
          </w:tcPr>
          <w:p>
            <w:pPr>
              <w:jc w:val="center"/>
              <w:spacing w:before="0" w:after="0" w:line="200"/>
            </w:pPr>
            <w:r>
              <w:rPr>
                <w:rFonts w:ascii="Times New Roman" w:hAnsi="Times New Roman" w:cs="Times New Roman" w:eastAsia="SimSun"/>
                <w:sz w:val="15"/>
                <w:szCs w:val="15"/>
              </w:rPr>
              <w:t xml:space="preserve">88.92</w:t>
            </w:r>
          </w:p>
        </w:tc>
        <w:tc>
          <w:tcPr>
            <w:tcW w:w="850" w:type="dxa"/>
            <w:vAlign w:val="center"/>
          </w:tcPr>
          <w:p>
            <w:pPr>
              <w:jc w:val="center"/>
              <w:spacing w:before="0" w:after="0" w:line="200"/>
            </w:pPr>
            <w:r>
              <w:rPr>
                <w:rFonts w:ascii="Times New Roman" w:hAnsi="Times New Roman" w:cs="Times New Roman" w:eastAsia="SimSun"/>
                <w:sz w:val="15"/>
                <w:szCs w:val="15"/>
              </w:rPr>
              <w:t xml:space="preserve">86.80</w:t>
            </w:r>
          </w:p>
        </w:tc>
      </w:tr>
      <w:tr>
        <w:tc>
          <w:tcPr>
            <w:tcW w:w="2400" w:type="dxa"/>
            <w:vAlign w:val="center"/>
          </w:tcPr>
          <w:p>
            <w:pPr>
              <w:jc w:val="left"/>
              <w:spacing w:before="0" w:after="0" w:line="200"/>
            </w:pPr>
            <w:r>
              <w:rPr>
                <w:rFonts w:ascii="Times New Roman" w:hAnsi="Times New Roman" w:cs="Times New Roman" w:eastAsia="SimSun"/>
                <w:sz w:val="15"/>
                <w:szCs w:val="15"/>
              </w:rPr>
              <w:t xml:space="preserve">移除查询确认路径封锁</w:t>
            </w:r>
          </w:p>
        </w:tc>
        <w:tc>
          <w:tcPr>
            <w:tcW w:w="1100" w:type="dxa"/>
            <w:vAlign w:val="center"/>
          </w:tcPr>
          <w:p>
            <w:pPr>
              <w:jc w:val="center"/>
              <w:spacing w:before="0" w:after="0" w:line="200"/>
            </w:pPr>
            <w:r>
              <w:rPr>
                <w:rFonts w:ascii="Times New Roman" w:hAnsi="Times New Roman" w:cs="Times New Roman" w:eastAsia="SimSun"/>
                <w:sz w:val="15"/>
                <w:szCs w:val="15"/>
              </w:rPr>
              <w:t xml:space="preserve">81.90</w:t>
            </w:r>
          </w:p>
        </w:tc>
        <w:tc>
          <w:tcPr>
            <w:tcW w:w="1200" w:type="dxa"/>
            <w:vAlign w:val="center"/>
          </w:tcPr>
          <w:p>
            <w:pPr>
              <w:jc w:val="center"/>
              <w:spacing w:before="0" w:after="0" w:line="200"/>
            </w:pPr>
            <w:r>
              <w:rPr>
                <w:rFonts w:ascii="Times New Roman" w:hAnsi="Times New Roman" w:cs="Times New Roman" w:eastAsia="SimSun"/>
                <w:sz w:val="15"/>
                <w:szCs w:val="15"/>
              </w:rPr>
              <w:t xml:space="preserve">88.32</w:t>
            </w:r>
          </w:p>
        </w:tc>
        <w:tc>
          <w:tcPr>
            <w:tcW w:w="1200" w:type="dxa"/>
            <w:vAlign w:val="center"/>
          </w:tcPr>
          <w:p>
            <w:pPr>
              <w:jc w:val="center"/>
              <w:spacing w:before="0" w:after="0" w:line="200"/>
            </w:pPr>
            <w:r>
              <w:rPr>
                <w:rFonts w:ascii="Times New Roman" w:hAnsi="Times New Roman" w:cs="Times New Roman" w:eastAsia="SimSun"/>
                <w:sz w:val="15"/>
                <w:szCs w:val="15"/>
              </w:rPr>
              <w:t xml:space="preserve">87.61</w:t>
            </w:r>
          </w:p>
        </w:tc>
        <w:tc>
          <w:tcPr>
            <w:tcW w:w="1200" w:type="dxa"/>
            <w:vAlign w:val="center"/>
          </w:tcPr>
          <w:p>
            <w:pPr>
              <w:jc w:val="center"/>
              <w:spacing w:before="0" w:after="0" w:line="200"/>
            </w:pPr>
            <w:r>
              <w:rPr>
                <w:rFonts w:ascii="Times New Roman" w:hAnsi="Times New Roman" w:cs="Times New Roman" w:eastAsia="SimSun"/>
                <w:sz w:val="15"/>
                <w:szCs w:val="15"/>
              </w:rPr>
              <w:t xml:space="preserve">88.81</w:t>
            </w:r>
          </w:p>
        </w:tc>
        <w:tc>
          <w:tcPr>
            <w:tcW w:w="850" w:type="dxa"/>
            <w:vAlign w:val="center"/>
          </w:tcPr>
          <w:p>
            <w:pPr>
              <w:jc w:val="center"/>
              <w:spacing w:before="0" w:after="0" w:line="200"/>
            </w:pPr>
            <w:r>
              <w:rPr>
                <w:rFonts w:ascii="Times New Roman" w:hAnsi="Times New Roman" w:cs="Times New Roman" w:eastAsia="SimSun"/>
                <w:sz w:val="15"/>
                <w:szCs w:val="15"/>
              </w:rPr>
              <w:t xml:space="preserve">86.66</w:t>
            </w:r>
          </w:p>
        </w:tc>
      </w:tr>
      <w:tr>
        <w:tc>
          <w:tcPr>
            <w:tcW w:w="2400" w:type="dxa"/>
            <w:vAlign w:val="center"/>
          </w:tcPr>
          <w:p>
            <w:pPr>
              <w:jc w:val="left"/>
              <w:spacing w:before="0" w:after="0" w:line="200"/>
            </w:pPr>
            <w:r>
              <w:rPr>
                <w:rFonts w:ascii="Times New Roman" w:hAnsi="Times New Roman" w:cs="Times New Roman" w:eastAsia="SimSun"/>
                <w:sz w:val="15"/>
                <w:szCs w:val="15"/>
              </w:rPr>
              <w:t xml:space="preserve">移除保守决策</w:t>
            </w:r>
          </w:p>
        </w:tc>
        <w:tc>
          <w:tcPr>
            <w:tcW w:w="1100" w:type="dxa"/>
            <w:vAlign w:val="center"/>
          </w:tcPr>
          <w:p>
            <w:pPr>
              <w:jc w:val="center"/>
              <w:spacing w:before="0" w:after="0" w:line="200"/>
            </w:pPr>
            <w:r>
              <w:rPr>
                <w:rFonts w:ascii="Times New Roman" w:hAnsi="Times New Roman" w:cs="Times New Roman" w:eastAsia="SimSun"/>
                <w:sz w:val="15"/>
                <w:szCs w:val="15"/>
              </w:rPr>
              <w:t xml:space="preserve">80.70</w:t>
            </w:r>
          </w:p>
        </w:tc>
        <w:tc>
          <w:tcPr>
            <w:tcW w:w="1200" w:type="dxa"/>
            <w:vAlign w:val="center"/>
          </w:tcPr>
          <w:p>
            <w:pPr>
              <w:jc w:val="center"/>
              <w:spacing w:before="0" w:after="0" w:line="200"/>
            </w:pPr>
            <w:r>
              <w:rPr>
                <w:rFonts w:ascii="Times New Roman" w:hAnsi="Times New Roman" w:cs="Times New Roman" w:eastAsia="SimSun"/>
                <w:sz w:val="15"/>
                <w:szCs w:val="15"/>
              </w:rPr>
              <w:t xml:space="preserve">87.19</w:t>
            </w:r>
          </w:p>
        </w:tc>
        <w:tc>
          <w:tcPr>
            <w:tcW w:w="1200" w:type="dxa"/>
            <w:vAlign w:val="center"/>
          </w:tcPr>
          <w:p>
            <w:pPr>
              <w:jc w:val="center"/>
              <w:spacing w:before="0" w:after="0" w:line="200"/>
            </w:pPr>
            <w:r>
              <w:rPr>
                <w:rFonts w:ascii="Times New Roman" w:hAnsi="Times New Roman" w:cs="Times New Roman" w:eastAsia="SimSun"/>
                <w:sz w:val="15"/>
                <w:szCs w:val="15"/>
              </w:rPr>
              <w:t xml:space="preserve">80.53</w:t>
            </w:r>
          </w:p>
        </w:tc>
        <w:tc>
          <w:tcPr>
            <w:tcW w:w="1200" w:type="dxa"/>
            <w:vAlign w:val="center"/>
          </w:tcPr>
          <w:p>
            <w:pPr>
              <w:jc w:val="center"/>
              <w:spacing w:before="0" w:after="0" w:line="200"/>
            </w:pPr>
            <w:r>
              <w:rPr>
                <w:rFonts w:ascii="Times New Roman" w:hAnsi="Times New Roman" w:cs="Times New Roman" w:eastAsia="SimSun"/>
                <w:sz w:val="15"/>
                <w:szCs w:val="15"/>
              </w:rPr>
              <w:t xml:space="preserve">87.00</w:t>
            </w:r>
          </w:p>
        </w:tc>
        <w:tc>
          <w:tcPr>
            <w:tcW w:w="850" w:type="dxa"/>
            <w:vAlign w:val="center"/>
          </w:tcPr>
          <w:p>
            <w:pPr>
              <w:jc w:val="center"/>
              <w:spacing w:before="0" w:after="0" w:line="200"/>
            </w:pPr>
            <w:r>
              <w:rPr>
                <w:rFonts w:ascii="Times New Roman" w:hAnsi="Times New Roman" w:cs="Times New Roman" w:eastAsia="SimSun"/>
                <w:sz w:val="15"/>
                <w:szCs w:val="15"/>
              </w:rPr>
              <w:t xml:space="preserve">83.85</w:t>
            </w:r>
          </w:p>
        </w:tc>
      </w:tr>
      <w:tr>
        <w:tc>
          <w:tcPr>
            <w:tcW w:w="2400" w:type="dxa"/>
            <w:vAlign w:val="center"/>
          </w:tcPr>
          <w:p>
            <w:pPr>
              <w:jc w:val="left"/>
              <w:spacing w:before="0" w:after="0" w:line="200"/>
            </w:pPr>
            <w:r>
              <w:rPr>
                <w:rFonts w:ascii="Times New Roman" w:hAnsi="Times New Roman" w:cs="Times New Roman" w:eastAsia="SimSun"/>
                <w:sz w:val="15"/>
                <w:szCs w:val="15"/>
              </w:rPr>
              <w:t xml:space="preserve">移除证据充分性保护</w:t>
            </w:r>
          </w:p>
        </w:tc>
        <w:tc>
          <w:tcPr>
            <w:tcW w:w="1100" w:type="dxa"/>
            <w:vAlign w:val="center"/>
          </w:tcPr>
          <w:p>
            <w:pPr>
              <w:jc w:val="center"/>
              <w:spacing w:before="0" w:after="0" w:line="200"/>
            </w:pPr>
            <w:r>
              <w:rPr>
                <w:rFonts w:ascii="Times New Roman" w:hAnsi="Times New Roman" w:cs="Times New Roman" w:eastAsia="SimSun"/>
                <w:sz w:val="15"/>
                <w:szCs w:val="15"/>
              </w:rPr>
              <w:t xml:space="preserve">83.80</w:t>
            </w:r>
          </w:p>
        </w:tc>
        <w:tc>
          <w:tcPr>
            <w:tcW w:w="1200" w:type="dxa"/>
            <w:vAlign w:val="center"/>
          </w:tcPr>
          <w:p>
            <w:pPr>
              <w:jc w:val="center"/>
              <w:spacing w:before="0" w:after="0" w:line="200"/>
            </w:pPr>
            <w:r>
              <w:rPr>
                <w:rFonts w:ascii="Times New Roman" w:hAnsi="Times New Roman" w:cs="Times New Roman" w:eastAsia="SimSun"/>
                <w:sz w:val="15"/>
                <w:szCs w:val="15"/>
              </w:rPr>
              <w:t xml:space="preserve">88.43</w:t>
            </w:r>
          </w:p>
        </w:tc>
        <w:tc>
          <w:tcPr>
            <w:tcW w:w="1200" w:type="dxa"/>
            <w:vAlign w:val="center"/>
          </w:tcPr>
          <w:p>
            <w:pPr>
              <w:jc w:val="center"/>
              <w:spacing w:before="0" w:after="0" w:line="200"/>
            </w:pPr>
            <w:r>
              <w:rPr>
                <w:rFonts w:ascii="Times New Roman" w:hAnsi="Times New Roman" w:cs="Times New Roman" w:eastAsia="SimSun"/>
                <w:sz w:val="15"/>
                <w:szCs w:val="15"/>
              </w:rPr>
              <w:t xml:space="preserve">84.07</w:t>
            </w:r>
          </w:p>
        </w:tc>
        <w:tc>
          <w:tcPr>
            <w:tcW w:w="1200" w:type="dxa"/>
            <w:vAlign w:val="center"/>
          </w:tcPr>
          <w:p>
            <w:pPr>
              <w:jc w:val="center"/>
              <w:spacing w:before="0" w:after="0" w:line="200"/>
            </w:pPr>
            <w:r>
              <w:rPr>
                <w:rFonts w:ascii="Times New Roman" w:hAnsi="Times New Roman" w:cs="Times New Roman" w:eastAsia="SimSun"/>
                <w:sz w:val="15"/>
                <w:szCs w:val="15"/>
              </w:rPr>
              <w:t xml:space="preserve">88.86</w:t>
            </w:r>
          </w:p>
        </w:tc>
        <w:tc>
          <w:tcPr>
            <w:tcW w:w="850" w:type="dxa"/>
            <w:vAlign w:val="center"/>
          </w:tcPr>
          <w:p>
            <w:pPr>
              <w:jc w:val="center"/>
              <w:spacing w:before="0" w:after="0" w:line="200"/>
            </w:pPr>
            <w:r>
              <w:rPr>
                <w:rFonts w:ascii="Times New Roman" w:hAnsi="Times New Roman" w:cs="Times New Roman" w:eastAsia="SimSun"/>
                <w:sz w:val="15"/>
                <w:szCs w:val="15"/>
              </w:rPr>
              <w:t xml:space="preserve">86.29</w:t>
            </w:r>
          </w:p>
        </w:tc>
      </w:tr>
      <w:tr>
        <w:tc>
          <w:tcPr>
            <w:tcW w:w="2400" w:type="dxa"/>
            <w:vAlign w:val="center"/>
          </w:tcPr>
          <w:p>
            <w:pPr>
              <w:jc w:val="left"/>
              <w:spacing w:before="0" w:after="0" w:line="200"/>
            </w:pPr>
            <w:r>
              <w:rPr>
                <w:rFonts w:ascii="Times New Roman" w:hAnsi="Times New Roman" w:cs="Times New Roman" w:eastAsia="SimSun"/>
                <w:b/>
                <w:sz w:val="15"/>
                <w:szCs w:val="15"/>
              </w:rPr>
              <w:t xml:space="preserve">完整方法</w:t>
            </w:r>
          </w:p>
        </w:tc>
        <w:tc>
          <w:tcPr>
            <w:tcW w:w="1100" w:type="dxa"/>
            <w:vAlign w:val="center"/>
          </w:tcPr>
          <w:p>
            <w:pPr>
              <w:jc w:val="center"/>
              <w:spacing w:before="0" w:after="0" w:line="200"/>
            </w:pPr>
            <w:r>
              <w:rPr>
                <w:rFonts w:ascii="Times New Roman" w:hAnsi="Times New Roman" w:cs="Times New Roman" w:eastAsia="SimSun"/>
                <w:b/>
                <w:sz w:val="15"/>
                <w:szCs w:val="15"/>
              </w:rPr>
              <w:t xml:space="preserve">83.80</w:t>
            </w:r>
          </w:p>
        </w:tc>
        <w:tc>
          <w:tcPr>
            <w:tcW w:w="1200" w:type="dxa"/>
            <w:vAlign w:val="center"/>
          </w:tcPr>
          <w:p>
            <w:pPr>
              <w:jc w:val="center"/>
              <w:spacing w:before="0" w:after="0" w:line="200"/>
            </w:pPr>
            <w:r>
              <w:rPr>
                <w:rFonts w:ascii="Times New Roman" w:hAnsi="Times New Roman" w:cs="Times New Roman" w:eastAsia="SimSun"/>
                <w:b/>
                <w:sz w:val="15"/>
                <w:szCs w:val="15"/>
              </w:rPr>
              <w:t xml:space="preserve">88.43</w:t>
            </w:r>
          </w:p>
        </w:tc>
        <w:tc>
          <w:tcPr>
            <w:tcW w:w="1200" w:type="dxa"/>
            <w:vAlign w:val="center"/>
          </w:tcPr>
          <w:p>
            <w:pPr>
              <w:jc w:val="center"/>
              <w:spacing w:before="0" w:after="0" w:line="200"/>
            </w:pPr>
            <w:r>
              <w:rPr>
                <w:rFonts w:ascii="Times New Roman" w:hAnsi="Times New Roman" w:cs="Times New Roman" w:eastAsia="SimSun"/>
                <w:b/>
                <w:sz w:val="15"/>
                <w:szCs w:val="15"/>
              </w:rPr>
              <w:t xml:space="preserve">87.61</w:t>
            </w:r>
          </w:p>
        </w:tc>
        <w:tc>
          <w:tcPr>
            <w:tcW w:w="1200" w:type="dxa"/>
            <w:vAlign w:val="center"/>
          </w:tcPr>
          <w:p>
            <w:pPr>
              <w:jc w:val="center"/>
              <w:spacing w:before="0" w:after="0" w:line="200"/>
            </w:pPr>
            <w:r>
              <w:rPr>
                <w:rFonts w:ascii="Times New Roman" w:hAnsi="Times New Roman" w:cs="Times New Roman" w:eastAsia="SimSun"/>
                <w:b/>
                <w:sz w:val="15"/>
                <w:szCs w:val="15"/>
              </w:rPr>
              <w:t xml:space="preserve">88.86</w:t>
            </w:r>
          </w:p>
        </w:tc>
        <w:tc>
          <w:tcPr>
            <w:tcW w:w="850" w:type="dxa"/>
            <w:vAlign w:val="center"/>
          </w:tcPr>
          <w:p>
            <w:pPr>
              <w:jc w:val="center"/>
              <w:spacing w:before="0" w:after="0" w:line="200"/>
            </w:pPr>
            <w:r>
              <w:rPr>
                <w:rFonts w:ascii="Times New Roman" w:hAnsi="Times New Roman" w:cs="Times New Roman" w:eastAsia="SimSun"/>
                <w:b/>
                <w:sz w:val="15"/>
                <w:szCs w:val="15"/>
              </w:rPr>
              <w:t xml:space="preserve">87.18</w:t>
            </w:r>
          </w:p>
        </w:tc>
      </w:tr>
    </w:tbl>
    <w:p>
      <w:pPr>
        <w:jc w:val="left"/>
        <w:spacing w:before="40" w:after="140" w:line="200" w:lineRule="auto"/>
      </w:pPr>
      <w:r>
        <w:rPr>
          <w:rFonts w:ascii="Times New Roman" w:hAnsi="Times New Roman" w:cs="Times New Roman" w:eastAsia="SimSun"/>
          <w:sz w:val="16"/>
          <w:szCs w:val="16"/>
        </w:rPr>
        <w:t xml:space="preserve">表 3：以 Llama-3.1-8B-Instruct 为基座模型的 MVCG-RAG 完整消融、容量敏感性与等预算投票对照。所有结果均以准确率（ACC）表示，并复用相同且已冻结的大模型与语义观测，不改变模型调用预算。MuSiQue 和 SQuAD 表示其 Negative 冲突文件。</w:t>
      </w:r>
    </w:p>
    <w:p>
      <w:pPr>
        <w:spacing w:before="100" w:after="60" w:line="240" w:lineRule="auto"/>
        <w:keepNext/>
      </w:pPr>
      <w:r>
        <w:rPr>
          <w:rFonts w:ascii="Times New Roman" w:hAnsi="Times New Roman" w:cs="Times New Roman" w:eastAsia="SimSun"/>
          <w:b/>
          <w:sz w:val="21"/>
          <w:szCs w:val="21"/>
        </w:rPr>
        <w:t xml:space="preserve">证据充分性分析</w:t>
      </w:r>
    </w:p>
    <w:p>
      <w:pPr>
        <w:jc w:val="both"/>
        <w:spacing w:before="0" w:after="100" w:line="240" w:lineRule="auto"/>
        <w:ind w:firstLine="360"/>
      </w:pPr>
      <w:r>
        <w:rPr>
          <w:rFonts w:ascii="Times New Roman" w:hAnsi="Times New Roman" w:cs="Times New Roman" w:eastAsia="SimSun"/>
          <w:sz w:val="20"/>
          <w:szCs w:val="20"/>
        </w:rPr>
        <w:t xml:space="preserve">RealtimeQA 包含 63 个可回答样本和 50 个证据不充分样本。如表 4 所示，固定的三来源证据充分性规则在三种基座模型上均带来提升。该机制对 Mistral v0.3 的改善尤为显著：移除保护机制后，模型容易在证据不充分时生成缺少支持的确定性答案。完整方法在 Mistral 的可回答子集和证据不充分子集上分别达到 93.65 和 82.00 的准确率，而移除该机制时整体准确率仅为 64.60。</w:t>
      </w:r>
    </w:p>
    <w:tbl>
      <w:tblPr>
        <w:tblW w:w="0" w:type="auto"/>
        <w:tblLayout w:type="fixed"/>
        <w:jc w:val="center"/>
        <w:tblBorders>
          <w:top w:val="single" w:sz="10" w:color="000000"/>
          <w:left w:val="nil" w:sz="0" w:color="000000"/>
          <w:bottom w:val="single" w:sz="10" w:color="000000"/>
          <w:right w:val="nil" w:sz="0" w:color="000000"/>
          <w:insideH w:val="nil" w:sz="0" w:color="000000"/>
          <w:insideV w:val="nil" w:sz="0" w:color="000000"/>
        </w:tblBorders>
      </w:tblPr>
      <w:tblGrid>
        <w:gridCol w:w="1600"/>
        <w:gridCol w:w="1450"/>
        <w:gridCol w:w="1150"/>
        <w:gridCol w:w="950"/>
        <w:gridCol w:w="1450"/>
        <w:gridCol w:w="1450"/>
      </w:tblGrid>
      <w:tr>
        <w:tc>
          <w:tcPr>
            <w:tcW w:w="1600" w:type="dxa"/>
            <w:vAlign w:val="center"/>
            <w:tcBorders>
              <w:bottom w:val="single" w:sz="8" w:space="0" w:color="000000"/>
            </w:tcBorders>
          </w:tcPr>
          <w:p>
            <w:pPr>
              <w:jc w:val="center"/>
              <w:spacing w:before="0" w:after="0" w:line="200"/>
            </w:pPr>
            <w:r>
              <w:rPr>
                <w:rFonts w:ascii="Times New Roman" w:hAnsi="Times New Roman" w:cs="Times New Roman" w:eastAsia="SimSun"/>
                <w:b/>
                <w:sz w:val="15"/>
                <w:szCs w:val="15"/>
              </w:rPr>
              <w:t xml:space="preserve">基座模型</w:t>
            </w:r>
          </w:p>
        </w:tc>
        <w:tc>
          <w:tcPr>
            <w:tcW w:w="1450" w:type="dxa"/>
            <w:vAlign w:val="center"/>
            <w:tcBorders>
              <w:bottom w:val="single" w:sz="8" w:space="0" w:color="000000"/>
            </w:tcBorders>
          </w:tcPr>
          <w:p>
            <w:pPr>
              <w:jc w:val="center"/>
              <w:spacing w:before="0" w:after="0" w:line="200"/>
            </w:pPr>
            <w:r>
              <w:rPr>
                <w:rFonts w:ascii="Times New Roman" w:hAnsi="Times New Roman" w:cs="Times New Roman" w:eastAsia="SimSun"/>
                <w:b/>
                <w:sz w:val="15"/>
                <w:szCs w:val="15"/>
              </w:rPr>
              <w:t xml:space="preserve">移除保护</w:t>
            </w:r>
          </w:p>
        </w:tc>
        <w:tc>
          <w:tcPr>
            <w:tcW w:w="1150" w:type="dxa"/>
            <w:vAlign w:val="center"/>
            <w:tcBorders>
              <w:bottom w:val="single" w:sz="8" w:space="0" w:color="000000"/>
            </w:tcBorders>
          </w:tcPr>
          <w:p>
            <w:pPr>
              <w:jc w:val="center"/>
              <w:spacing w:before="0" w:after="0" w:line="200"/>
            </w:pPr>
            <w:r>
              <w:rPr>
                <w:rFonts w:ascii="Times New Roman" w:hAnsi="Times New Roman" w:cs="Times New Roman" w:eastAsia="SimSun"/>
                <w:b/>
                <w:sz w:val="15"/>
                <w:szCs w:val="15"/>
              </w:rPr>
              <w:t xml:space="preserve">完整方法</w:t>
            </w:r>
          </w:p>
        </w:tc>
        <w:tc>
          <w:tcPr>
            <w:tcW w:w="950" w:type="dxa"/>
            <w:vAlign w:val="center"/>
            <w:tcBorders>
              <w:bottom w:val="single" w:sz="8" w:space="0" w:color="000000"/>
            </w:tcBorders>
          </w:tcPr>
          <w:p>
            <w:pPr>
              <w:jc w:val="center"/>
              <w:spacing w:before="0" w:after="0" w:line="200"/>
            </w:pPr>
            <w:r>
              <w:rPr>
                <w:rFonts w:ascii="Times New Roman" w:hAnsi="Times New Roman" w:cs="Times New Roman" w:eastAsia="SimSun"/>
                <w:b/>
                <w:sz w:val="15"/>
                <w:szCs w:val="15"/>
              </w:rPr>
              <w:t xml:space="preserve">提升</w:t>
            </w:r>
          </w:p>
        </w:tc>
        <w:tc>
          <w:tcPr>
            <w:tcW w:w="1450" w:type="dxa"/>
            <w:vAlign w:val="center"/>
            <w:tcBorders>
              <w:bottom w:val="single" w:sz="8" w:space="0" w:color="000000"/>
            </w:tcBorders>
          </w:tcPr>
          <w:p>
            <w:pPr>
              <w:jc w:val="center"/>
              <w:spacing w:before="0" w:after="0" w:line="200"/>
            </w:pPr>
            <w:r>
              <w:rPr>
                <w:rFonts w:ascii="Times New Roman" w:hAnsi="Times New Roman" w:cs="Times New Roman" w:eastAsia="SimSun"/>
                <w:b/>
                <w:sz w:val="15"/>
                <w:szCs w:val="15"/>
              </w:rPr>
              <w:t xml:space="preserve">可回答子集</w:t>
            </w:r>
          </w:p>
        </w:tc>
        <w:tc>
          <w:tcPr>
            <w:tcW w:w="1450" w:type="dxa"/>
            <w:vAlign w:val="center"/>
            <w:tcBorders>
              <w:bottom w:val="single" w:sz="8" w:space="0" w:color="000000"/>
            </w:tcBorders>
          </w:tcPr>
          <w:p>
            <w:pPr>
              <w:jc w:val="center"/>
              <w:spacing w:before="0" w:after="0" w:line="200"/>
            </w:pPr>
            <w:r>
              <w:rPr>
                <w:rFonts w:ascii="Times New Roman" w:hAnsi="Times New Roman" w:cs="Times New Roman" w:eastAsia="SimSun"/>
                <w:b/>
                <w:sz w:val="15"/>
                <w:szCs w:val="15"/>
              </w:rPr>
              <w:t xml:space="preserve">证据不充分子集</w:t>
            </w:r>
          </w:p>
        </w:tc>
      </w:tr>
      <w:tr>
        <w:tc>
          <w:tcPr>
            <w:tcW w:w="1600" w:type="dxa"/>
            <w:vAlign w:val="center"/>
          </w:tcPr>
          <w:p>
            <w:pPr>
              <w:jc w:val="left"/>
              <w:spacing w:before="0" w:after="0" w:line="200"/>
            </w:pPr>
            <w:r>
              <w:rPr>
                <w:rFonts w:ascii="Times New Roman" w:hAnsi="Times New Roman" w:cs="Times New Roman" w:eastAsia="SimSun"/>
                <w:sz w:val="15"/>
                <w:szCs w:val="15"/>
              </w:rPr>
              <w:t xml:space="preserve">Llama-3.1-8B</w:t>
            </w:r>
          </w:p>
        </w:tc>
        <w:tc>
          <w:tcPr>
            <w:tcW w:w="1450" w:type="dxa"/>
            <w:vAlign w:val="center"/>
          </w:tcPr>
          <w:p>
            <w:pPr>
              <w:jc w:val="center"/>
              <w:spacing w:before="0" w:after="0" w:line="200"/>
            </w:pPr>
            <w:r>
              <w:rPr>
                <w:rFonts w:ascii="Times New Roman" w:hAnsi="Times New Roman" w:cs="Times New Roman" w:eastAsia="SimSun"/>
                <w:u w:val="single"/>
                <w:sz w:val="15"/>
                <w:szCs w:val="15"/>
              </w:rPr>
              <w:t xml:space="preserve">84.07</w:t>
            </w:r>
          </w:p>
        </w:tc>
        <w:tc>
          <w:tcPr>
            <w:tcW w:w="1150" w:type="dxa"/>
            <w:vAlign w:val="center"/>
          </w:tcPr>
          <w:p>
            <w:pPr>
              <w:jc w:val="center"/>
              <w:spacing w:before="0" w:after="0" w:line="200"/>
            </w:pPr>
            <w:r>
              <w:rPr>
                <w:rFonts w:ascii="Times New Roman" w:hAnsi="Times New Roman" w:cs="Times New Roman" w:eastAsia="SimSun"/>
                <w:b/>
                <w:sz w:val="15"/>
                <w:szCs w:val="15"/>
              </w:rPr>
              <w:t xml:space="preserve">87.61</w:t>
            </w:r>
          </w:p>
        </w:tc>
        <w:tc>
          <w:tcPr>
            <w:tcW w:w="950" w:type="dxa"/>
            <w:vAlign w:val="center"/>
          </w:tcPr>
          <w:p>
            <w:pPr>
              <w:jc w:val="center"/>
              <w:spacing w:before="0" w:after="0" w:line="200"/>
            </w:pPr>
            <w:r>
              <w:rPr>
                <w:rFonts w:ascii="Times New Roman" w:hAnsi="Times New Roman" w:cs="Times New Roman" w:eastAsia="SimSun"/>
                <w:b/>
                <w:sz w:val="15"/>
                <w:szCs w:val="15"/>
              </w:rPr>
              <w:t xml:space="preserve">+3.54</w:t>
            </w:r>
          </w:p>
        </w:tc>
        <w:tc>
          <w:tcPr>
            <w:tcW w:w="1450" w:type="dxa"/>
            <w:vAlign w:val="center"/>
          </w:tcPr>
          <w:p>
            <w:pPr>
              <w:jc w:val="center"/>
              <w:spacing w:before="0" w:after="0" w:line="200"/>
            </w:pPr>
            <w:r>
              <w:rPr>
                <w:rFonts w:ascii="Times New Roman" w:hAnsi="Times New Roman" w:cs="Times New Roman" w:eastAsia="SimSun"/>
                <w:sz w:val="15"/>
                <w:szCs w:val="15"/>
              </w:rPr>
              <w:t xml:space="preserve">59/63 (93.65)</w:t>
            </w:r>
          </w:p>
        </w:tc>
        <w:tc>
          <w:tcPr>
            <w:tcW w:w="1450" w:type="dxa"/>
            <w:vAlign w:val="center"/>
          </w:tcPr>
          <w:p>
            <w:pPr>
              <w:jc w:val="center"/>
              <w:spacing w:before="0" w:after="0" w:line="200"/>
            </w:pPr>
            <w:r>
              <w:rPr>
                <w:rFonts w:ascii="Times New Roman" w:hAnsi="Times New Roman" w:cs="Times New Roman" w:eastAsia="SimSun"/>
                <w:sz w:val="15"/>
                <w:szCs w:val="15"/>
              </w:rPr>
              <w:t xml:space="preserve">40/50 (80.00)</w:t>
            </w:r>
          </w:p>
        </w:tc>
      </w:tr>
      <w:tr>
        <w:tc>
          <w:tcPr>
            <w:tcW w:w="1600" w:type="dxa"/>
            <w:vAlign w:val="center"/>
          </w:tcPr>
          <w:p>
            <w:pPr>
              <w:jc w:val="left"/>
              <w:spacing w:before="0" w:after="0" w:line="200"/>
            </w:pPr>
            <w:r>
              <w:rPr>
                <w:rFonts w:ascii="Times New Roman" w:hAnsi="Times New Roman" w:cs="Times New Roman" w:eastAsia="SimSun"/>
                <w:sz w:val="15"/>
                <w:szCs w:val="15"/>
              </w:rPr>
              <w:t xml:space="preserve">Qwen2.5-7B</w:t>
            </w:r>
          </w:p>
        </w:tc>
        <w:tc>
          <w:tcPr>
            <w:tcW w:w="1450" w:type="dxa"/>
            <w:vAlign w:val="center"/>
          </w:tcPr>
          <w:p>
            <w:pPr>
              <w:jc w:val="center"/>
              <w:spacing w:before="0" w:after="0" w:line="200"/>
            </w:pPr>
            <w:r>
              <w:rPr>
                <w:rFonts w:ascii="Times New Roman" w:hAnsi="Times New Roman" w:cs="Times New Roman" w:eastAsia="SimSun"/>
                <w:u w:val="single"/>
                <w:sz w:val="15"/>
                <w:szCs w:val="15"/>
              </w:rPr>
              <w:t xml:space="preserve">90.27</w:t>
            </w:r>
          </w:p>
        </w:tc>
        <w:tc>
          <w:tcPr>
            <w:tcW w:w="1150" w:type="dxa"/>
            <w:vAlign w:val="center"/>
          </w:tcPr>
          <w:p>
            <w:pPr>
              <w:jc w:val="center"/>
              <w:spacing w:before="0" w:after="0" w:line="200"/>
            </w:pPr>
            <w:r>
              <w:rPr>
                <w:rFonts w:ascii="Times New Roman" w:hAnsi="Times New Roman" w:cs="Times New Roman" w:eastAsia="SimSun"/>
                <w:b/>
                <w:sz w:val="15"/>
                <w:szCs w:val="15"/>
              </w:rPr>
              <w:t xml:space="preserve">92.92</w:t>
            </w:r>
          </w:p>
        </w:tc>
        <w:tc>
          <w:tcPr>
            <w:tcW w:w="950" w:type="dxa"/>
            <w:vAlign w:val="center"/>
          </w:tcPr>
          <w:p>
            <w:pPr>
              <w:jc w:val="center"/>
              <w:spacing w:before="0" w:after="0" w:line="200"/>
            </w:pPr>
            <w:r>
              <w:rPr>
                <w:rFonts w:ascii="Times New Roman" w:hAnsi="Times New Roman" w:cs="Times New Roman" w:eastAsia="SimSun"/>
                <w:b/>
                <w:sz w:val="15"/>
                <w:szCs w:val="15"/>
              </w:rPr>
              <w:t xml:space="preserve">+2.65</w:t>
            </w:r>
          </w:p>
        </w:tc>
        <w:tc>
          <w:tcPr>
            <w:tcW w:w="1450" w:type="dxa"/>
            <w:vAlign w:val="center"/>
          </w:tcPr>
          <w:p>
            <w:pPr>
              <w:jc w:val="center"/>
              <w:spacing w:before="0" w:after="0" w:line="200"/>
            </w:pPr>
            <w:r>
              <w:rPr>
                <w:rFonts w:ascii="Times New Roman" w:hAnsi="Times New Roman" w:cs="Times New Roman" w:eastAsia="SimSun"/>
                <w:sz w:val="15"/>
                <w:szCs w:val="15"/>
              </w:rPr>
              <w:t xml:space="preserve">60/63 (95.24)</w:t>
            </w:r>
          </w:p>
        </w:tc>
        <w:tc>
          <w:tcPr>
            <w:tcW w:w="1450" w:type="dxa"/>
            <w:vAlign w:val="center"/>
          </w:tcPr>
          <w:p>
            <w:pPr>
              <w:jc w:val="center"/>
              <w:spacing w:before="0" w:after="0" w:line="200"/>
            </w:pPr>
            <w:r>
              <w:rPr>
                <w:rFonts w:ascii="Times New Roman" w:hAnsi="Times New Roman" w:cs="Times New Roman" w:eastAsia="SimSun"/>
                <w:sz w:val="15"/>
                <w:szCs w:val="15"/>
              </w:rPr>
              <w:t xml:space="preserve">45/50 (90.00)</w:t>
            </w:r>
          </w:p>
        </w:tc>
      </w:tr>
      <w:tr>
        <w:tc>
          <w:tcPr>
            <w:tcW w:w="1600" w:type="dxa"/>
            <w:vAlign w:val="center"/>
          </w:tcPr>
          <w:p>
            <w:pPr>
              <w:jc w:val="left"/>
              <w:spacing w:before="0" w:after="0" w:line="200"/>
            </w:pPr>
            <w:r>
              <w:rPr>
                <w:rFonts w:ascii="Times New Roman" w:hAnsi="Times New Roman" w:cs="Times New Roman" w:eastAsia="SimSun"/>
                <w:sz w:val="15"/>
                <w:szCs w:val="15"/>
              </w:rPr>
              <w:t xml:space="preserve">Mistral-7B-v0.3</w:t>
            </w:r>
          </w:p>
        </w:tc>
        <w:tc>
          <w:tcPr>
            <w:tcW w:w="1450" w:type="dxa"/>
            <w:vAlign w:val="center"/>
          </w:tcPr>
          <w:p>
            <w:pPr>
              <w:jc w:val="center"/>
              <w:spacing w:before="0" w:after="0" w:line="200"/>
            </w:pPr>
            <w:r>
              <w:rPr>
                <w:rFonts w:ascii="Times New Roman" w:hAnsi="Times New Roman" w:cs="Times New Roman" w:eastAsia="SimSun"/>
                <w:u w:val="single"/>
                <w:sz w:val="15"/>
                <w:szCs w:val="15"/>
              </w:rPr>
              <w:t xml:space="preserve">64.60</w:t>
            </w:r>
          </w:p>
        </w:tc>
        <w:tc>
          <w:tcPr>
            <w:tcW w:w="1150" w:type="dxa"/>
            <w:vAlign w:val="center"/>
          </w:tcPr>
          <w:p>
            <w:pPr>
              <w:jc w:val="center"/>
              <w:spacing w:before="0" w:after="0" w:line="200"/>
            </w:pPr>
            <w:r>
              <w:rPr>
                <w:rFonts w:ascii="Times New Roman" w:hAnsi="Times New Roman" w:cs="Times New Roman" w:eastAsia="SimSun"/>
                <w:b/>
                <w:sz w:val="15"/>
                <w:szCs w:val="15"/>
              </w:rPr>
              <w:t xml:space="preserve">88.50</w:t>
            </w:r>
          </w:p>
        </w:tc>
        <w:tc>
          <w:tcPr>
            <w:tcW w:w="950" w:type="dxa"/>
            <w:vAlign w:val="center"/>
          </w:tcPr>
          <w:p>
            <w:pPr>
              <w:jc w:val="center"/>
              <w:spacing w:before="0" w:after="0" w:line="200"/>
            </w:pPr>
            <w:r>
              <w:rPr>
                <w:rFonts w:ascii="Times New Roman" w:hAnsi="Times New Roman" w:cs="Times New Roman" w:eastAsia="SimSun"/>
                <w:b/>
                <w:sz w:val="15"/>
                <w:szCs w:val="15"/>
              </w:rPr>
              <w:t xml:space="preserve">+23.89</w:t>
            </w:r>
          </w:p>
        </w:tc>
        <w:tc>
          <w:tcPr>
            <w:tcW w:w="1450" w:type="dxa"/>
            <w:vAlign w:val="center"/>
          </w:tcPr>
          <w:p>
            <w:pPr>
              <w:jc w:val="center"/>
              <w:spacing w:before="0" w:after="0" w:line="200"/>
            </w:pPr>
            <w:r>
              <w:rPr>
                <w:rFonts w:ascii="Times New Roman" w:hAnsi="Times New Roman" w:cs="Times New Roman" w:eastAsia="SimSun"/>
                <w:sz w:val="15"/>
                <w:szCs w:val="15"/>
              </w:rPr>
              <w:t xml:space="preserve">59/63 (93.65)</w:t>
            </w:r>
          </w:p>
        </w:tc>
        <w:tc>
          <w:tcPr>
            <w:tcW w:w="1450" w:type="dxa"/>
            <w:vAlign w:val="center"/>
          </w:tcPr>
          <w:p>
            <w:pPr>
              <w:jc w:val="center"/>
              <w:spacing w:before="0" w:after="0" w:line="200"/>
            </w:pPr>
            <w:r>
              <w:rPr>
                <w:rFonts w:ascii="Times New Roman" w:hAnsi="Times New Roman" w:cs="Times New Roman" w:eastAsia="SimSun"/>
                <w:sz w:val="15"/>
                <w:szCs w:val="15"/>
              </w:rPr>
              <w:t xml:space="preserve">41/50 (82.00)</w:t>
            </w:r>
          </w:p>
        </w:tc>
      </w:tr>
    </w:tbl>
    <w:p>
      <w:pPr>
        <w:jc w:val="left"/>
        <w:spacing w:before="40" w:after="140" w:line="200" w:lineRule="auto"/>
      </w:pPr>
      <w:r>
        <w:rPr>
          <w:rFonts w:ascii="Times New Roman" w:hAnsi="Times New Roman" w:cs="Times New Roman" w:eastAsia="SimSun"/>
          <w:sz w:val="16"/>
          <w:szCs w:val="16"/>
        </w:rPr>
        <w:t xml:space="preserve">表 4：证据充分性保护机制在 RealtimeQA 上的效果。完整方法以粗体标注，相应消融结果以下划线标注。“可回答子集”和“证据不充分子集”均报告正确数/总数，括号内为子集准确率。</w:t>
      </w:r>
    </w:p>
    <w:p>
      <w:pPr>
        <w:jc w:val="both"/>
        <w:spacing w:before="80" w:after="100" w:line="240" w:lineRule="auto"/>
        <w:ind w:firstLine="360"/>
      </w:pPr>
      <w:r>
        <w:rPr>
          <w:rFonts w:ascii="Times New Roman" w:hAnsi="Times New Roman" w:cs="Times New Roman" w:eastAsia="SimSun"/>
          <w:sz w:val="20"/>
          <w:szCs w:val="20"/>
        </w:rPr>
        <w:t xml:space="preserve">综上，实验结果表明，本方法的性能提升并非以牺牲无冲突 Golden 数据集上的性能为代价。完整系统在所有已配置对比项上均超过匹配的已发表点估计，并在 14 组模型—数据集配置中有 12 组超过使用相同模型观测的多数投票对比方法。显著性结论仅限于文档内包含的同样本内部对比；由于 FaithfulRAG 和 TruthfulRAG 未提供逐样本预测，本文不宣称与它们之间存在配对统计显著性。</w:t>
      </w:r>
    </w:p>
    <w:sectPr>
      <w:pgSz w:w="12240" w:h="15840"/>
      <w:pgMar w:top="900" w:right="900" w:bottom="900" w:left="900" w:header="360" w:footer="360" w:gutter="0"/>
      <w:cols w:num="1"/>
    </w:sectPr>
  </w:body>
</w:document>
</file>

<file path=word/settings.xml><?xml version="1.0" encoding="utf-8"?>
<w:settings xmlns:w="http://schemas.openxmlformats.org/wordprocessingml/2006/main">
  <w:compat/>
</w:settings>
</file>

<file path=word/styles.xml><?xml version="1.0" encoding="utf-8"?>
<w:styles xmlns:w="http://schemas.openxmlformats.org/wordprocessingml/2006/main">
  <w:docDefaults>
    <w:rPrDefault>
      <w:rPr>
        <w:rFonts w:ascii="Times New Roman" w:hAnsi="Times New Roman" w:eastAsia="SimSun"/>
        <w:sz w:val="20"/>
        <w:szCs w:val="20"/>
      </w:rPr>
    </w:rPrDefault>
    <w:pPrDefault>
      <w:pPr>
        <w:spacing w:after="100" w:line="24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MVCG-RAG 摘要与实验结果</dc:title>
  <dc:creator>UGCP Research Project</dc:creator>
  <cp:lastModifiedBy>UGCP Research Project</cp:lastModifiedBy>
  <dcterms:created xsi:type="dcterms:W3CDTF">2026-07-16T16:43:51Z</dcterms:created>
  <dcterms:modified xsi:type="dcterms:W3CDTF">2026-07-16T16:43:51Z</dcterms:modified>
</cp:coreProperties>
</file>