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NR1 AI - Base de Conhecimento v1.0</w:t>
      </w:r>
    </w:p>
    <w:p>
      <w:r>
        <w:t>Este documento define o modelo oficial da base de conhecimento que alimentará o Motor de Decisão e os geradores de documentos.</w:t>
      </w:r>
    </w:p>
    <w:p>
      <w:pPr>
        <w:pStyle w:val="Heading2"/>
      </w:pPr>
      <w:r>
        <w:t>Estrutura do Registro</w:t>
      </w:r>
    </w:p>
    <w:p>
      <w:pPr>
        <w:pStyle w:val="ListBullet"/>
      </w:pPr>
      <w:r>
        <w:t>ID</w:t>
      </w:r>
    </w:p>
    <w:p>
      <w:pPr>
        <w:pStyle w:val="ListBullet"/>
      </w:pPr>
      <w:r>
        <w:t>Categoria</w:t>
      </w:r>
    </w:p>
    <w:p>
      <w:pPr>
        <w:pStyle w:val="ListBullet"/>
      </w:pPr>
      <w:r>
        <w:t>Perigo</w:t>
      </w:r>
    </w:p>
    <w:p>
      <w:pPr>
        <w:pStyle w:val="ListBullet"/>
      </w:pPr>
      <w:r>
        <w:t>Agente</w:t>
      </w:r>
    </w:p>
    <w:p>
      <w:pPr>
        <w:pStyle w:val="ListBullet"/>
      </w:pPr>
      <w:r>
        <w:t>Descrição</w:t>
      </w:r>
    </w:p>
    <w:p>
      <w:pPr>
        <w:pStyle w:val="ListBullet"/>
      </w:pPr>
      <w:r>
        <w:t>CNAEs relacionados</w:t>
      </w:r>
    </w:p>
    <w:p>
      <w:pPr>
        <w:pStyle w:val="ListBullet"/>
      </w:pPr>
      <w:r>
        <w:t>Setores</w:t>
      </w:r>
    </w:p>
    <w:p>
      <w:pPr>
        <w:pStyle w:val="ListBullet"/>
      </w:pPr>
      <w:r>
        <w:t>Funções</w:t>
      </w:r>
    </w:p>
    <w:p>
      <w:pPr>
        <w:pStyle w:val="ListBullet"/>
      </w:pPr>
      <w:r>
        <w:t>Atividades</w:t>
      </w:r>
    </w:p>
    <w:p>
      <w:pPr>
        <w:pStyle w:val="ListBullet"/>
      </w:pPr>
      <w:r>
        <w:t>Máquinas</w:t>
      </w:r>
    </w:p>
    <w:p>
      <w:pPr>
        <w:pStyle w:val="ListBullet"/>
      </w:pPr>
      <w:r>
        <w:t>Produtos Químicos</w:t>
      </w:r>
    </w:p>
    <w:p>
      <w:pPr>
        <w:pStyle w:val="ListBullet"/>
      </w:pPr>
      <w:r>
        <w:t>Consequências</w:t>
      </w:r>
    </w:p>
    <w:p>
      <w:pPr>
        <w:pStyle w:val="ListBullet"/>
      </w:pPr>
      <w:r>
        <w:t>Critério de Identificação</w:t>
      </w:r>
    </w:p>
    <w:p>
      <w:pPr>
        <w:pStyle w:val="ListBullet"/>
      </w:pPr>
      <w:r>
        <w:t>Probabilidade</w:t>
      </w:r>
    </w:p>
    <w:p>
      <w:pPr>
        <w:pStyle w:val="ListBullet"/>
      </w:pPr>
      <w:r>
        <w:t>Severidade</w:t>
      </w:r>
    </w:p>
    <w:p>
      <w:pPr>
        <w:pStyle w:val="ListBullet"/>
      </w:pPr>
      <w:r>
        <w:t>Nível do Risco</w:t>
      </w:r>
    </w:p>
    <w:p>
      <w:pPr>
        <w:pStyle w:val="ListBullet"/>
      </w:pPr>
      <w:r>
        <w:t>Medidas de Eliminação</w:t>
      </w:r>
    </w:p>
    <w:p>
      <w:pPr>
        <w:pStyle w:val="ListBullet"/>
      </w:pPr>
      <w:r>
        <w:t>Substituição</w:t>
      </w:r>
    </w:p>
    <w:p>
      <w:pPr>
        <w:pStyle w:val="ListBullet"/>
      </w:pPr>
      <w:r>
        <w:t>Controles de Engenharia</w:t>
      </w:r>
    </w:p>
    <w:p>
      <w:pPr>
        <w:pStyle w:val="ListBullet"/>
      </w:pPr>
      <w:r>
        <w:t>Medidas Administrativas</w:t>
      </w:r>
    </w:p>
    <w:p>
      <w:pPr>
        <w:pStyle w:val="ListBullet"/>
      </w:pPr>
      <w:r>
        <w:t>EPIs</w:t>
      </w:r>
    </w:p>
    <w:p>
      <w:pPr>
        <w:pStyle w:val="ListBullet"/>
      </w:pPr>
      <w:r>
        <w:t>EPCs</w:t>
      </w:r>
    </w:p>
    <w:p>
      <w:pPr>
        <w:pStyle w:val="ListBullet"/>
      </w:pPr>
      <w:r>
        <w:t>Treinamentos</w:t>
      </w:r>
    </w:p>
    <w:p>
      <w:pPr>
        <w:pStyle w:val="ListBullet"/>
      </w:pPr>
      <w:r>
        <w:t>Perguntas Condicionais</w:t>
      </w:r>
    </w:p>
    <w:p>
      <w:pPr>
        <w:pStyle w:val="ListBullet"/>
      </w:pPr>
      <w:r>
        <w:t>Documentos Gerados</w:t>
      </w:r>
    </w:p>
    <w:p>
      <w:pPr>
        <w:pStyle w:val="ListBullet"/>
      </w:pPr>
      <w:r>
        <w:t>Referências</w:t>
      </w:r>
    </w:p>
    <w:p>
      <w:pPr>
        <w:pStyle w:val="ListBullet"/>
      </w:pPr>
      <w:r>
        <w:t>Versão</w:t>
      </w:r>
    </w:p>
    <w:p>
      <w:pPr>
        <w:pStyle w:val="Heading2"/>
      </w:pPr>
      <w:r>
        <w:t>Registros Iniciais</w:t>
      </w:r>
    </w:p>
    <w:p>
      <w:pPr>
        <w:pStyle w:val="Heading3"/>
      </w:pPr>
      <w:r>
        <w:t>R0001</w:t>
      </w:r>
    </w:p>
    <w:p>
      <w:r>
        <w:t>categoria: Físico</w:t>
      </w:r>
    </w:p>
    <w:p>
      <w:r>
        <w:t>perigo: Ruído contínuo</w:t>
      </w:r>
    </w:p>
    <w:p>
      <w:r>
        <w:t>agente: Ruído</w:t>
      </w:r>
    </w:p>
    <w:p>
      <w:r>
        <w:t>atividade: Operação de serra, compressor, prensa</w:t>
      </w:r>
    </w:p>
    <w:p>
      <w:r>
        <w:t>consequencia: PAIR</w:t>
      </w:r>
    </w:p>
    <w:p>
      <w:r>
        <w:t>epi: Protetor auricular</w:t>
      </w:r>
    </w:p>
    <w:p>
      <w:r>
        <w:t>epc: Barreira acústica</w:t>
      </w:r>
    </w:p>
    <w:p>
      <w:r>
        <w:t>docs: ['Inventário', 'Plano de Ação', 'PGR']</w:t>
      </w:r>
    </w:p>
    <w:p>
      <w:pPr>
        <w:pStyle w:val="Heading3"/>
      </w:pPr>
      <w:r>
        <w:t>R0002</w:t>
      </w:r>
    </w:p>
    <w:p>
      <w:r>
        <w:t>categoria: Químico</w:t>
      </w:r>
    </w:p>
    <w:p>
      <w:r>
        <w:t>perigo: Fumos metálicos</w:t>
      </w:r>
    </w:p>
    <w:p>
      <w:r>
        <w:t>agente: Fumos</w:t>
      </w:r>
    </w:p>
    <w:p>
      <w:r>
        <w:t>atividade: Soldagem</w:t>
      </w:r>
    </w:p>
    <w:p>
      <w:r>
        <w:t>consequencia: Doença respiratória</w:t>
      </w:r>
    </w:p>
    <w:p>
      <w:r>
        <w:t>epi: Respirador PFF2</w:t>
      </w:r>
    </w:p>
    <w:p>
      <w:r>
        <w:t>epc: Exaustão localizada</w:t>
      </w:r>
    </w:p>
    <w:p>
      <w:r>
        <w:t>docs: ['Inventário', 'APR', 'PGR']</w:t>
      </w:r>
    </w:p>
    <w:p>
      <w:pPr>
        <w:pStyle w:val="Heading3"/>
      </w:pPr>
      <w:r>
        <w:t>R0003</w:t>
      </w:r>
    </w:p>
    <w:p>
      <w:r>
        <w:t>categoria: Ergonômico</w:t>
      </w:r>
    </w:p>
    <w:p>
      <w:r>
        <w:t>perigo: Movimentação manual de cargas</w:t>
      </w:r>
    </w:p>
    <w:p>
      <w:r>
        <w:t>agente: Esforço físico</w:t>
      </w:r>
    </w:p>
    <w:p>
      <w:r>
        <w:t>atividade: Estoque</w:t>
      </w:r>
    </w:p>
    <w:p>
      <w:r>
        <w:t>consequencia: Lombalgias</w:t>
      </w:r>
    </w:p>
    <w:p>
      <w:r>
        <w:t>epi: Conforme análise</w:t>
      </w:r>
    </w:p>
    <w:p>
      <w:r>
        <w:t>epc: Auxílio mecânico</w:t>
      </w:r>
    </w:p>
    <w:p>
      <w:r>
        <w:t>docs: ['Inventário', 'Plano de Ação', 'PGR']</w:t>
      </w:r>
    </w:p>
    <w:p>
      <w:pPr>
        <w:pStyle w:val="Heading2"/>
      </w:pPr>
      <w:r>
        <w:t>Diretrizes</w:t>
      </w:r>
    </w:p>
    <w:p>
      <w:r>
        <w:t>Todos os registros futuros deverão seguir exatamente esta estrutura. A meta da versão completa é possuir 500 a 800 registros de perigos, relacionados a CNAEs, funções, máquinas, produtos químicos e regras condicionais.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