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Volume 25 - Especificação da Base Oficial de Conhecimento</w:t>
      </w:r>
    </w:p>
    <w:p>
      <w:r>
        <w:t>Este volume define como a Base Oficial de Conhecimento do NR1 AI será construída a partir de fontes técnicas verificadas, evitando informações não rastreáveis.</w:t>
      </w:r>
    </w:p>
    <w:p>
      <w:pPr>
        <w:pStyle w:val="Heading2"/>
      </w:pPr>
      <w:r>
        <w:t>1. Fontes Oficiais</w:t>
      </w:r>
    </w:p>
    <w:p>
      <w:r>
        <w:t>- Texto vigente da NR-1</w:t>
        <w:br/>
        <w:t>- Demais NRs aplicáveis conforme atividade</w:t>
        <w:br/>
        <w:t>- Classificação CNAE</w:t>
        <w:br/>
        <w:t>- Catálogo CBO</w:t>
        <w:br/>
        <w:t>- FISPQ/SDS dos fabricantes</w:t>
        <w:br/>
        <w:t>- Manuais de fabricantes</w:t>
        <w:br/>
        <w:t>- Normas técnicas aplicáveis</w:t>
      </w:r>
    </w:p>
    <w:p>
      <w:pPr>
        <w:pStyle w:val="Heading2"/>
      </w:pPr>
      <w:r>
        <w:t>2. Entidades</w:t>
      </w:r>
    </w:p>
    <w:p>
      <w:r>
        <w:t>Perigos</w:t>
        <w:br/>
        <w:t>Riscos</w:t>
        <w:br/>
        <w:t>Agentes</w:t>
        <w:br/>
        <w:t>Máquinas</w:t>
        <w:br/>
        <w:t>Produtos Químicos</w:t>
        <w:br/>
        <w:t>EPIs</w:t>
        <w:br/>
        <w:t>EPCs</w:t>
        <w:br/>
        <w:t>Treinamentos</w:t>
        <w:br/>
        <w:t>Funções</w:t>
        <w:br/>
        <w:t>Atividades</w:t>
        <w:br/>
        <w:t>Perguntas</w:t>
        <w:br/>
        <w:t>Regras de decisão</w:t>
        <w:br/>
        <w:t>Documentos</w:t>
      </w:r>
    </w:p>
    <w:p>
      <w:pPr>
        <w:pStyle w:val="Heading2"/>
      </w:pPr>
      <w:r>
        <w:t>3. Modelo de Registro</w:t>
      </w:r>
    </w:p>
    <w:p>
      <w:r>
        <w:t>Cada registro deverá possuir:</w:t>
        <w:br/>
        <w:t>ID</w:t>
        <w:br/>
        <w:t>Versão</w:t>
        <w:br/>
        <w:t>Fonte técnica</w:t>
        <w:br/>
        <w:t>Data da revisão</w:t>
        <w:br/>
        <w:t>Descrição</w:t>
        <w:br/>
        <w:t>Relacionamentos</w:t>
        <w:br/>
        <w:t>Observações</w:t>
        <w:br/>
        <w:t>Histórico</w:t>
      </w:r>
    </w:p>
    <w:p>
      <w:pPr>
        <w:pStyle w:val="Heading2"/>
      </w:pPr>
      <w:r>
        <w:t>4. Regras de Governança</w:t>
      </w:r>
    </w:p>
    <w:p>
      <w:r>
        <w:t>Nenhum registro poderá ser incluído sem identificação da fonte.</w:t>
        <w:br/>
        <w:t>Toda alteração deverá criar nova versão.</w:t>
        <w:br/>
        <w:t>O banco deverá ser passível de auditoria.</w:t>
      </w:r>
    </w:p>
    <w:p>
      <w:pPr>
        <w:pStyle w:val="Heading2"/>
      </w:pPr>
      <w:r>
        <w:t>5. Meta</w:t>
      </w:r>
    </w:p>
    <w:p>
      <w:r>
        <w:t>Transformar a base em um repositório estruturado contendo milhares de registros</w:t>
        <w:br/>
        <w:t>relacionados entre si, prontos para alimentar o motor de decisão.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