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Noto Sans CJK SC" w:hAnsi="Noto Sans CJK SC" w:eastAsia="Noto Sans CJK SC"/>
          <w:b/>
          <w:color w:val="1F4E79"/>
          <w:sz w:val="36"/>
        </w:rPr>
        <w:t>子问题一模型交接单</w:t>
      </w:r>
    </w:p>
    <w:p>
      <w:pPr>
        <w:spacing w:after="200"/>
        <w:jc w:val="center"/>
      </w:pPr>
      <w:r>
        <w:rPr>
          <w:rFonts w:ascii="Noto Sans CJK SC" w:hAnsi="Noto Sans CJK SC" w:eastAsia="Noto Sans CJK SC"/>
          <w:color w:val="5A5A5A"/>
          <w:sz w:val="21"/>
        </w:rPr>
        <w:t>乙醇偶合制备 C4 烯烃｜问题 1 已完成版</w:t>
      </w:r>
    </w:p>
    <w:tbl>
      <w:tblPr>
        <w:tblStyle w:val="TableGrid"/>
        <w:tblW w:type="auto" w:w="0"/>
        <w:tblLook w:firstColumn="1" w:firstRow="1" w:lastColumn="0" w:lastRow="0" w:noHBand="0" w:noVBand="1" w:val="04A0"/>
      </w:tblPr>
      <w:tblGrid>
        <w:gridCol w:w="9412"/>
      </w:tblGrid>
      <w:tr>
        <w:tc>
          <w:tcPr>
            <w:tcW w:type="dxa" w:w="9412"/>
            <w:shd w:fill="EAF4F6"/>
            <w:tcMar>
              <w:top w:w="120" w:type="dxa"/>
              <w:start w:w="150" w:type="dxa"/>
              <w:bottom w:w="120" w:type="dxa"/>
              <w:end w:w="150" w:type="dxa"/>
            </w:tcMar>
          </w:tcPr>
          <w:p>
            <w:pPr>
              <w:spacing w:line="276" w:lineRule="auto"/>
            </w:pPr>
            <w:r>
              <w:rPr>
                <w:rFonts w:ascii="Noto Serif CJK SC" w:hAnsi="Noto Serif CJK SC" w:eastAsia="Noto Serif CJK SC"/>
                <w:color w:val="244A54"/>
                <w:sz w:val="19"/>
              </w:rPr>
              <w:t>交付依据：建模交付.doc（结构模板）、team_symbols_standalone_v2.pdf（统一符号）、CUMCM2021-B.pdf（题目）、附件1.xlsx 与附件2.xlsx（原始数据）。本交接单只回答问题1，不进行催化剂因素归因、跨组优劣排名或工艺最优搜索。</w:t>
            </w:r>
          </w:p>
        </w:tc>
      </w:tr>
    </w:tbl>
    <w:p>
      <w:pPr>
        <w:keepNext/>
        <w:spacing w:before="200" w:after="100"/>
      </w:pPr>
      <w:r>
        <w:rPr>
          <w:rFonts w:ascii="Noto Sans CJK SC" w:hAnsi="Noto Sans CJK SC" w:eastAsia="Noto Sans CJK SC"/>
          <w:b/>
          <w:color w:val="1F4E79"/>
          <w:sz w:val="26"/>
        </w:rPr>
        <w:t>1. 题目目标</w:t>
      </w:r>
    </w:p>
    <w:p>
      <w:pPr>
        <w:spacing w:after="80" w:before="0" w:line="300" w:lineRule="auto"/>
        <w:ind w:firstLine="420"/>
      </w:pPr>
      <w:r>
        <w:rPr>
          <w:rFonts w:ascii="Noto Serif CJK SC" w:hAnsi="Noto Serif CJK SC" w:eastAsia="Noto Serif CJK SC"/>
          <w:sz w:val="21"/>
        </w:rPr>
        <w:t>对附件1中21种催化剂组合分别研究乙醇转化率 XEtOH、C4 烯烃选择性 SC4 与反应温度 T 的关系；并对附件2中350°C下某种未知编号催化剂组合在一次实验不同反应时间 t 的测试结果进行趋势与稳定性分析。</w:t>
      </w:r>
    </w:p>
    <w:p>
      <w:pPr>
        <w:keepNext/>
        <w:spacing w:before="200" w:after="100"/>
      </w:pPr>
      <w:r>
        <w:rPr>
          <w:rFonts w:ascii="Noto Sans CJK SC" w:hAnsi="Noto Sans CJK SC" w:eastAsia="Noto Sans CJK SC"/>
          <w:b/>
          <w:color w:val="1F4E79"/>
          <w:sz w:val="26"/>
        </w:rPr>
        <w:t>2. 输入数据</w:t>
      </w:r>
    </w:p>
    <w:tbl>
      <w:tblPr>
        <w:tblStyle w:val="TableGrid"/>
        <w:tblW w:type="auto" w:w="0"/>
        <w:jc w:val="center"/>
        <w:tblLayout w:type="fixed"/>
        <w:tblLook w:firstColumn="1" w:firstRow="1" w:lastColumn="0" w:lastRow="0" w:noHBand="0" w:noVBand="1" w:val="04A0"/>
      </w:tblPr>
      <w:tblGrid>
        <w:gridCol w:w="4706"/>
        <w:gridCol w:w="4706"/>
      </w:tblGrid>
      <w:tr>
        <w:trPr>
          <w:cantSplit/>
        </w:trPr>
        <w:tc>
          <w:tcPr>
            <w:tcW w:type="dxa" w:w="1928"/>
            <w:vAlign w:val="center"/>
            <w:tcMar>
              <w:top w:w="90" w:type="dxa"/>
              <w:start w:w="100" w:type="dxa"/>
              <w:bottom w:w="90" w:type="dxa"/>
              <w:end w:w="100" w:type="dxa"/>
            </w:tcMar>
            <w:shd w:fill="EDF3F8"/>
          </w:tcPr>
          <w:p>
            <w:pPr>
              <w:spacing w:after="0" w:before="0" w:line="252" w:lineRule="auto"/>
              <w:jc w:val="left"/>
            </w:pPr>
            <w:r>
              <w:rPr>
                <w:rFonts w:ascii="Noto Sans CJK SC" w:hAnsi="Noto Sans CJK SC" w:eastAsia="Noto Sans CJK SC"/>
                <w:b/>
                <w:sz w:val="19"/>
              </w:rPr>
              <w:t>文件名</w:t>
            </w:r>
          </w:p>
        </w:tc>
        <w:tc>
          <w:tcPr>
            <w:tcW w:type="dxa" w:w="7143"/>
            <w:vAlign w:val="center"/>
            <w:tcMar>
              <w:top w:w="90" w:type="dxa"/>
              <w:start w:w="100" w:type="dxa"/>
              <w:bottom w:w="90" w:type="dxa"/>
              <w:end w:w="100" w:type="dxa"/>
            </w:tcMar>
          </w:tcPr>
          <w:p>
            <w:pPr>
              <w:spacing w:after="0" w:before="0" w:line="252" w:lineRule="auto"/>
              <w:jc w:val="left"/>
            </w:pPr>
            <w:r>
              <w:rPr>
                <w:rFonts w:ascii="Noto Sans CJK SC" w:hAnsi="Noto Sans CJK SC" w:eastAsia="Noto Sans CJK SC"/>
                <w:b/>
                <w:sz w:val="19"/>
              </w:rPr>
              <w:t>附件1.xlsx（性能数据表）；附件2.xlsx（稳定性测试）。</w:t>
            </w:r>
          </w:p>
        </w:tc>
      </w:tr>
      <w:tr>
        <w:trPr>
          <w:cantSplit/>
        </w:trPr>
        <w:tc>
          <w:tcPr>
            <w:tcW w:type="dxa" w:w="1928"/>
            <w:vAlign w:val="center"/>
            <w:tcMar>
              <w:top w:w="90" w:type="dxa"/>
              <w:start w:w="100" w:type="dxa"/>
              <w:bottom w:w="90" w:type="dxa"/>
              <w:end w:w="100" w:type="dxa"/>
            </w:tcMar>
            <w:shd w:fill="EDF3F8"/>
          </w:tcPr>
          <w:p>
            <w:pPr>
              <w:spacing w:after="0" w:before="0" w:line="252" w:lineRule="auto"/>
              <w:jc w:val="left"/>
            </w:pPr>
            <w:r>
              <w:rPr>
                <w:rFonts w:ascii="Noto Serif CJK SC" w:hAnsi="Noto Serif CJK SC" w:eastAsia="Noto Serif CJK SC"/>
                <w:b w:val="0"/>
                <w:sz w:val="19"/>
              </w:rPr>
              <w:t>附件1每一行代表</w:t>
            </w:r>
          </w:p>
        </w:tc>
        <w:tc>
          <w:tcPr>
            <w:tcW w:type="dxa" w:w="7143"/>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9"/>
              </w:rPr>
              <w:t>某一催化剂组合 i 在一个实测温度 Tij 下的一次性能记录。首行给出组合编号与组合描述，后续同组空白编号需向下继承；共有 G=21 个组合、N1=114 条温度记录。</w:t>
            </w:r>
          </w:p>
        </w:tc>
      </w:tr>
      <w:tr>
        <w:trPr>
          <w:cantSplit/>
        </w:trPr>
        <w:tc>
          <w:tcPr>
            <w:tcW w:type="dxa" w:w="1928"/>
            <w:vAlign w:val="center"/>
            <w:tcMar>
              <w:top w:w="90" w:type="dxa"/>
              <w:start w:w="100" w:type="dxa"/>
              <w:bottom w:w="90" w:type="dxa"/>
              <w:end w:w="100" w:type="dxa"/>
            </w:tcMar>
            <w:shd w:fill="EDF3F8"/>
          </w:tcPr>
          <w:p>
            <w:pPr>
              <w:spacing w:after="0" w:before="0" w:line="252" w:lineRule="auto"/>
              <w:jc w:val="left"/>
            </w:pPr>
            <w:r>
              <w:rPr>
                <w:rFonts w:ascii="Noto Serif CJK SC" w:hAnsi="Noto Serif CJK SC" w:eastAsia="Noto Serif CJK SC"/>
                <w:b w:val="0"/>
                <w:sz w:val="19"/>
              </w:rPr>
              <w:t>附件1主要列</w:t>
            </w:r>
          </w:p>
        </w:tc>
        <w:tc>
          <w:tcPr>
            <w:tcW w:type="dxa" w:w="7143"/>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9"/>
              </w:rPr>
              <w:t>催化剂组合编号、催化剂组合描述、温度 T、乙醇转化率 XEtOH、乙烯选择性、C4烯烃选择性 SC4、乙醛选择性、C4-12脂肪醇选择性、甲基苯甲醛和甲基苯甲醇选择性、其他生成物选择性。</w:t>
            </w:r>
          </w:p>
        </w:tc>
      </w:tr>
      <w:tr>
        <w:trPr>
          <w:cantSplit/>
        </w:trPr>
        <w:tc>
          <w:tcPr>
            <w:tcW w:type="dxa" w:w="1928"/>
            <w:vAlign w:val="center"/>
            <w:tcMar>
              <w:top w:w="90" w:type="dxa"/>
              <w:start w:w="100" w:type="dxa"/>
              <w:bottom w:w="90" w:type="dxa"/>
              <w:end w:w="100" w:type="dxa"/>
            </w:tcMar>
            <w:shd w:fill="EDF3F8"/>
          </w:tcPr>
          <w:p>
            <w:pPr>
              <w:spacing w:after="0" w:before="0" w:line="252" w:lineRule="auto"/>
              <w:jc w:val="left"/>
            </w:pPr>
            <w:r>
              <w:rPr>
                <w:rFonts w:ascii="Noto Serif CJK SC" w:hAnsi="Noto Serif CJK SC" w:eastAsia="Noto Serif CJK SC"/>
                <w:b w:val="0"/>
                <w:sz w:val="19"/>
              </w:rPr>
              <w:t>附件2每一行代表</w:t>
            </w:r>
          </w:p>
        </w:tc>
        <w:tc>
          <w:tcPr>
            <w:tcW w:type="dxa" w:w="7143"/>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9"/>
              </w:rPr>
              <w:t>350°C下同一次实验的第 k 个实测反应时间点，共 N2=7 个；题目未给出其 A/B 催化剂编号，不与附件1任何组合强行对应。</w:t>
            </w:r>
          </w:p>
        </w:tc>
      </w:tr>
      <w:tr>
        <w:trPr>
          <w:cantSplit/>
        </w:trPr>
        <w:tc>
          <w:tcPr>
            <w:tcW w:type="dxa" w:w="1928"/>
            <w:vAlign w:val="center"/>
            <w:tcMar>
              <w:top w:w="90" w:type="dxa"/>
              <w:start w:w="100" w:type="dxa"/>
              <w:bottom w:w="90" w:type="dxa"/>
              <w:end w:w="100" w:type="dxa"/>
            </w:tcMar>
            <w:shd w:fill="EDF3F8"/>
          </w:tcPr>
          <w:p>
            <w:pPr>
              <w:spacing w:after="0" w:before="0" w:line="252" w:lineRule="auto"/>
              <w:jc w:val="left"/>
            </w:pPr>
            <w:r>
              <w:rPr>
                <w:rFonts w:ascii="Noto Serif CJK SC" w:hAnsi="Noto Serif CJK SC" w:eastAsia="Noto Serif CJK SC"/>
                <w:b w:val="0"/>
                <w:sz w:val="19"/>
              </w:rPr>
              <w:t>附件2主要列</w:t>
            </w:r>
          </w:p>
        </w:tc>
        <w:tc>
          <w:tcPr>
            <w:tcW w:type="dxa" w:w="7143"/>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9"/>
              </w:rPr>
              <w:t>反应时间 t、乙醇转化率 XEtOH，以及乙烯、C4烯烃、乙醛、C4-12脂肪醇、甲基苯甲醛和甲基苯甲醇、其他产物选择性。</w:t>
            </w:r>
          </w:p>
        </w:tc>
      </w:tr>
      <w:tr>
        <w:trPr>
          <w:cantSplit/>
        </w:trPr>
        <w:tc>
          <w:tcPr>
            <w:tcW w:type="dxa" w:w="1928"/>
            <w:vAlign w:val="center"/>
            <w:tcMar>
              <w:top w:w="90" w:type="dxa"/>
              <w:start w:w="100" w:type="dxa"/>
              <w:bottom w:w="90" w:type="dxa"/>
              <w:end w:w="100" w:type="dxa"/>
            </w:tcMar>
            <w:shd w:fill="EDF3F8"/>
          </w:tcPr>
          <w:p>
            <w:pPr>
              <w:spacing w:after="0" w:before="0" w:line="252" w:lineRule="auto"/>
              <w:jc w:val="left"/>
            </w:pPr>
            <w:r>
              <w:rPr>
                <w:rFonts w:ascii="Noto Serif CJK SC" w:hAnsi="Noto Serif CJK SC" w:eastAsia="Noto Serif CJK SC"/>
                <w:b w:val="0"/>
                <w:sz w:val="19"/>
              </w:rPr>
              <w:t>缺失值处理</w:t>
            </w:r>
          </w:p>
        </w:tc>
        <w:tc>
          <w:tcPr>
            <w:tcW w:type="dxa" w:w="7143"/>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9"/>
              </w:rPr>
              <w:t>未记录的温度表示“未实验”，不补0、不插补；附件1组合编号的空白仅是同组续行，按上一非空编号向下继承。</w:t>
            </w:r>
          </w:p>
        </w:tc>
      </w:tr>
      <w:tr>
        <w:trPr>
          <w:cantSplit/>
        </w:trPr>
        <w:tc>
          <w:tcPr>
            <w:tcW w:type="dxa" w:w="1928"/>
            <w:vAlign w:val="center"/>
            <w:tcMar>
              <w:top w:w="90" w:type="dxa"/>
              <w:start w:w="100" w:type="dxa"/>
              <w:bottom w:w="90" w:type="dxa"/>
              <w:end w:w="100" w:type="dxa"/>
            </w:tcMar>
            <w:shd w:fill="EDF3F8"/>
          </w:tcPr>
          <w:p>
            <w:pPr>
              <w:spacing w:after="0" w:before="0" w:line="252" w:lineRule="auto"/>
              <w:jc w:val="left"/>
            </w:pPr>
            <w:r>
              <w:rPr>
                <w:rFonts w:ascii="Noto Serif CJK SC" w:hAnsi="Noto Serif CJK SC" w:eastAsia="Noto Serif CJK SC"/>
                <w:b w:val="0"/>
                <w:sz w:val="19"/>
              </w:rPr>
              <w:t>异常值处理</w:t>
            </w:r>
          </w:p>
        </w:tc>
        <w:tc>
          <w:tcPr>
            <w:tcW w:type="dxa" w:w="7143"/>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9"/>
              </w:rPr>
              <w:t>数值0是实验结果而非缺失值。无外部证据时不因局部非单调而删点；对可能的高杠杆点通过留一预测与删点敏感性检查，而不是直接删除。</w:t>
            </w:r>
          </w:p>
        </w:tc>
      </w:tr>
    </w:tbl>
    <w:p>
      <w:pPr>
        <w:keepNext/>
        <w:spacing w:before="200" w:after="100"/>
      </w:pPr>
      <w:r>
        <w:rPr>
          <w:rFonts w:ascii="Noto Sans CJK SC" w:hAnsi="Noto Sans CJK SC" w:eastAsia="Noto Sans CJK SC"/>
          <w:b/>
          <w:color w:val="1F4E79"/>
          <w:sz w:val="26"/>
        </w:rPr>
        <w:t>3. 输出结果</w:t>
      </w:r>
    </w:p>
    <w:p>
      <w:pPr>
        <w:pStyle w:val="ListBullet"/>
        <w:spacing w:after="50" w:line="283" w:lineRule="auto"/>
      </w:pPr>
      <w:r>
        <w:rPr>
          <w:rFonts w:ascii="Noto Serif CJK SC" w:hAnsi="Noto Serif CJK SC" w:eastAsia="Noto Serif CJK SC"/>
          <w:sz w:val="20"/>
        </w:rPr>
        <w:t>最终需要得到的数值：42条“催化剂组合 × 响应”关系的一次/二次回归系数、R²（样本内拟合展示）、RMSE_LOO（留一预测误差）、推荐经验描述及必要的物理边界警示。</w:t>
      </w:r>
    </w:p>
    <w:p>
      <w:pPr>
        <w:pStyle w:val="ListBullet"/>
        <w:spacing w:after="50" w:line="283" w:lineRule="auto"/>
      </w:pPr>
      <w:r>
        <w:rPr>
          <w:rFonts w:ascii="Noto Serif CJK SC" w:hAnsi="Noto Serif CJK SC" w:eastAsia="Noto Serif CJK SC"/>
          <w:sz w:val="20"/>
        </w:rPr>
        <w:t>附件2需要得到：7个时间点的 X^(2)_k、S^(2)_k、Y^(2)_k；相邻时间区间的乙醇转化率变化率；必要时给出 XEtOH 关于 t 的简单线性经验趋势。</w:t>
      </w:r>
    </w:p>
    <w:p>
      <w:pPr>
        <w:pStyle w:val="ListBullet"/>
        <w:spacing w:after="50" w:line="283" w:lineRule="auto"/>
      </w:pPr>
      <w:r>
        <w:rPr>
          <w:rFonts w:ascii="Noto Serif CJK SC" w:hAnsi="Noto Serif CJK SC" w:eastAsia="Noto Serif CJK SC"/>
          <w:sz w:val="20"/>
        </w:rPr>
        <w:t>排名：问题1不做催化剂优劣排名、不做温度敏感度排名；这些属于问题2或问题3的任务边界。</w:t>
      </w:r>
    </w:p>
    <w:p>
      <w:pPr>
        <w:pStyle w:val="ListBullet"/>
        <w:spacing w:after="50" w:line="283" w:lineRule="auto"/>
      </w:pPr>
      <w:r>
        <w:rPr>
          <w:rFonts w:ascii="Noto Serif CJK SC" w:hAnsi="Noto Serif CJK SC" w:eastAsia="Noto Serif CJK SC"/>
          <w:sz w:val="20"/>
        </w:rPr>
        <w:t>需要生成的图：附件1乙醇转化率-温度一次/二次拟合对照图、C4烯烃选择性-温度一次/二次拟合对照图；附件2的 X(t)、SC4(t)、YC4(t) 与区间变化率图。</w:t>
      </w:r>
    </w:p>
    <w:p>
      <w:pPr>
        <w:pStyle w:val="ListBullet"/>
        <w:spacing w:after="50" w:line="283" w:lineRule="auto"/>
      </w:pPr>
      <w:r>
        <w:rPr>
          <w:rFonts w:ascii="Noto Serif CJK SC" w:hAnsi="Noto Serif CJK SC" w:eastAsia="Noto Serif CJK SC"/>
          <w:sz w:val="20"/>
        </w:rPr>
        <w:t>需要生成的表：附件1模型比较汇总表、推荐模型系数表；附件2时间-转化率-选择性-收率-区间变化率表。</w:t>
      </w:r>
    </w:p>
    <w:p>
      <w:pPr>
        <w:keepNext/>
        <w:spacing w:before="200" w:after="100"/>
      </w:pPr>
      <w:r>
        <w:rPr>
          <w:rFonts w:ascii="Noto Sans CJK SC" w:hAnsi="Noto Sans CJK SC" w:eastAsia="Noto Sans CJK SC"/>
          <w:b/>
          <w:color w:val="1F4E79"/>
          <w:sz w:val="26"/>
        </w:rPr>
        <w:t>4. 符号与变量</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blHeader w:val="true"/>
        </w:trPr>
        <w:tc>
          <w:tcPr>
            <w:tcW w:type="dxa" w:w="1701"/>
            <w:vAlign w:val="center"/>
            <w:tcMar>
              <w:top w:w="90" w:type="dxa"/>
              <w:start w:w="100" w:type="dxa"/>
              <w:bottom w:w="90" w:type="dxa"/>
              <w:end w:w="100" w:type="dxa"/>
            </w:tcMar>
            <w:shd w:fill="D9EAF7"/>
          </w:tcPr>
          <w:p>
            <w:pPr>
              <w:spacing w:after="0" w:before="0" w:line="252" w:lineRule="auto"/>
              <w:jc w:val="center"/>
            </w:pPr>
            <w:r>
              <w:rPr>
                <w:rFonts w:ascii="Noto Sans CJK SC" w:hAnsi="Noto Sans CJK SC" w:eastAsia="Noto Sans CJK SC"/>
                <w:b/>
                <w:sz w:val="17"/>
              </w:rPr>
              <w:t>符号</w:t>
            </w:r>
          </w:p>
        </w:tc>
        <w:tc>
          <w:tcPr>
            <w:tcW w:type="dxa" w:w="6123"/>
            <w:vAlign w:val="center"/>
            <w:tcMar>
              <w:top w:w="90" w:type="dxa"/>
              <w:start w:w="100" w:type="dxa"/>
              <w:bottom w:w="90" w:type="dxa"/>
              <w:end w:w="100" w:type="dxa"/>
            </w:tcMar>
            <w:shd w:fill="D9EAF7"/>
          </w:tcPr>
          <w:p>
            <w:pPr>
              <w:spacing w:after="0" w:before="0" w:line="252" w:lineRule="auto"/>
              <w:jc w:val="left"/>
            </w:pPr>
            <w:r>
              <w:rPr>
                <w:rFonts w:ascii="Noto Sans CJK SC" w:hAnsi="Noto Sans CJK SC" w:eastAsia="Noto Sans CJK SC"/>
                <w:b/>
                <w:sz w:val="17"/>
              </w:rPr>
              <w:t>含义</w:t>
            </w:r>
          </w:p>
        </w:tc>
        <w:tc>
          <w:tcPr>
            <w:tcW w:type="dxa" w:w="1247"/>
            <w:vAlign w:val="center"/>
            <w:tcMar>
              <w:top w:w="90" w:type="dxa"/>
              <w:start w:w="100" w:type="dxa"/>
              <w:bottom w:w="90" w:type="dxa"/>
              <w:end w:w="100" w:type="dxa"/>
            </w:tcMar>
            <w:shd w:fill="D9EAF7"/>
          </w:tcPr>
          <w:p>
            <w:pPr>
              <w:spacing w:after="0" w:before="0" w:line="252" w:lineRule="auto"/>
              <w:jc w:val="center"/>
            </w:pPr>
            <w:r>
              <w:rPr>
                <w:rFonts w:ascii="Noto Sans CJK SC" w:hAnsi="Noto Sans CJK SC" w:eastAsia="Noto Sans CJK SC"/>
                <w:b/>
                <w:sz w:val="17"/>
              </w:rPr>
              <w:t>单位</w:t>
            </w:r>
          </w:p>
        </w:tc>
      </w:tr>
      <w:tr>
        <w:trPr>
          <w:cantSplit/>
        </w:trPr>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7"/>
              </w:rPr>
              <w:t>T</w:t>
            </w:r>
          </w:p>
        </w:tc>
        <w:tc>
          <w:tcPr>
            <w:tcW w:type="dxa" w:w="6123"/>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7"/>
              </w:rPr>
              <w:t>反应温度</w:t>
            </w:r>
          </w:p>
        </w:tc>
        <w:tc>
          <w:tcPr>
            <w:tcW w:type="dxa" w:w="124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7"/>
              </w:rPr>
              <w:t>°C</w:t>
            </w:r>
          </w:p>
        </w:tc>
      </w:tr>
      <w:tr>
        <w:trPr>
          <w:cantSplit/>
        </w:trPr>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7"/>
              </w:rPr>
              <w:t>t</w:t>
            </w:r>
          </w:p>
        </w:tc>
        <w:tc>
          <w:tcPr>
            <w:tcW w:type="dxa" w:w="6123"/>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7"/>
              </w:rPr>
              <w:t>反应时间</w:t>
            </w:r>
          </w:p>
        </w:tc>
        <w:tc>
          <w:tcPr>
            <w:tcW w:type="dxa" w:w="124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7"/>
              </w:rPr>
              <w:t>min</w:t>
            </w:r>
          </w:p>
        </w:tc>
      </w:tr>
      <w:tr>
        <w:trPr>
          <w:cantSplit/>
        </w:trPr>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7"/>
              </w:rPr>
              <w:t>XEtOH</w:t>
            </w:r>
          </w:p>
        </w:tc>
        <w:tc>
          <w:tcPr>
            <w:tcW w:type="dxa" w:w="6123"/>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7"/>
              </w:rPr>
              <w:t>乙醇转化率，按0-100百分数尺度记录</w:t>
            </w:r>
          </w:p>
        </w:tc>
        <w:tc>
          <w:tcPr>
            <w:tcW w:type="dxa" w:w="124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7"/>
              </w:rPr>
              <w:t>%</w:t>
            </w:r>
          </w:p>
        </w:tc>
      </w:tr>
      <w:tr>
        <w:trPr>
          <w:cantSplit/>
        </w:trPr>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7"/>
              </w:rPr>
              <w:t>SC4</w:t>
            </w:r>
          </w:p>
        </w:tc>
        <w:tc>
          <w:tcPr>
            <w:tcW w:type="dxa" w:w="6123"/>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7"/>
              </w:rPr>
              <w:t>C4烯烃选择性</w:t>
            </w:r>
          </w:p>
        </w:tc>
        <w:tc>
          <w:tcPr>
            <w:tcW w:type="dxa" w:w="124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7"/>
              </w:rPr>
              <w:t>%</w:t>
            </w:r>
          </w:p>
        </w:tc>
      </w:tr>
      <w:tr>
        <w:trPr>
          <w:cantSplit/>
        </w:trPr>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7"/>
              </w:rPr>
              <w:t>YC4</w:t>
            </w:r>
          </w:p>
        </w:tc>
        <w:tc>
          <w:tcPr>
            <w:tcW w:type="dxa" w:w="6123"/>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7"/>
              </w:rPr>
              <w:t>C4烯烃收率，YC4=XEtOH·SC4/100</w:t>
            </w:r>
          </w:p>
        </w:tc>
        <w:tc>
          <w:tcPr>
            <w:tcW w:type="dxa" w:w="124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7"/>
              </w:rPr>
              <w:t>%</w:t>
            </w:r>
          </w:p>
        </w:tc>
      </w:tr>
      <w:tr>
        <w:trPr>
          <w:cantSplit/>
        </w:trPr>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7"/>
              </w:rPr>
              <w:t>G</w:t>
            </w:r>
          </w:p>
        </w:tc>
        <w:tc>
          <w:tcPr>
            <w:tcW w:type="dxa" w:w="6123"/>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7"/>
              </w:rPr>
              <w:t>附件1催化剂组合数，G=21</w:t>
            </w:r>
          </w:p>
        </w:tc>
        <w:tc>
          <w:tcPr>
            <w:tcW w:type="dxa" w:w="124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7"/>
              </w:rPr>
              <w:t>个</w:t>
            </w:r>
          </w:p>
        </w:tc>
      </w:tr>
      <w:tr>
        <w:trPr>
          <w:cantSplit/>
        </w:trPr>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7"/>
              </w:rPr>
              <w:t>N1</w:t>
            </w:r>
          </w:p>
        </w:tc>
        <w:tc>
          <w:tcPr>
            <w:tcW w:type="dxa" w:w="6123"/>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7"/>
              </w:rPr>
              <w:t>附件1原始温度实验记录总数，N1=114</w:t>
            </w:r>
          </w:p>
        </w:tc>
        <w:tc>
          <w:tcPr>
            <w:tcW w:type="dxa" w:w="124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7"/>
              </w:rPr>
              <w:t>条</w:t>
            </w:r>
          </w:p>
        </w:tc>
      </w:tr>
      <w:tr>
        <w:trPr>
          <w:cantSplit/>
        </w:trPr>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7"/>
              </w:rPr>
              <w:t>N2</w:t>
            </w:r>
          </w:p>
        </w:tc>
        <w:tc>
          <w:tcPr>
            <w:tcW w:type="dxa" w:w="6123"/>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7"/>
              </w:rPr>
              <w:t>附件2时间观测数，N2=7</w:t>
            </w:r>
          </w:p>
        </w:tc>
        <w:tc>
          <w:tcPr>
            <w:tcW w:type="dxa" w:w="124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7"/>
              </w:rPr>
              <w:t>条</w:t>
            </w:r>
          </w:p>
        </w:tc>
      </w:tr>
      <w:tr>
        <w:trPr>
          <w:cantSplit/>
        </w:trPr>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7"/>
              </w:rPr>
              <w:t>i</w:t>
            </w:r>
          </w:p>
        </w:tc>
        <w:tc>
          <w:tcPr>
            <w:tcW w:type="dxa" w:w="6123"/>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7"/>
              </w:rPr>
              <w:t>附件1催化剂组合索引，i=1,…,G</w:t>
            </w:r>
          </w:p>
        </w:tc>
        <w:tc>
          <w:tcPr>
            <w:tcW w:type="dxa" w:w="124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7"/>
              </w:rPr>
              <w:t>-</w:t>
            </w:r>
          </w:p>
        </w:tc>
      </w:tr>
      <w:tr>
        <w:trPr>
          <w:cantSplit/>
        </w:trPr>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7"/>
              </w:rPr>
              <w:t>j</w:t>
            </w:r>
          </w:p>
        </w:tc>
        <w:tc>
          <w:tcPr>
            <w:tcW w:type="dxa" w:w="6123"/>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7"/>
              </w:rPr>
              <w:t>组合 i 内部温度观测索引，j=1,…,ni</w:t>
            </w:r>
          </w:p>
        </w:tc>
        <w:tc>
          <w:tcPr>
            <w:tcW w:type="dxa" w:w="124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7"/>
              </w:rPr>
              <w:t>-</w:t>
            </w:r>
          </w:p>
        </w:tc>
      </w:tr>
      <w:tr>
        <w:trPr>
          <w:cantSplit/>
        </w:trPr>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7"/>
              </w:rPr>
              <w:t>ni</w:t>
            </w:r>
          </w:p>
        </w:tc>
        <w:tc>
          <w:tcPr>
            <w:tcW w:type="dxa" w:w="6123"/>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7"/>
              </w:rPr>
              <w:t>组合 i 的实际温度观测数，通常为5-7</w:t>
            </w:r>
          </w:p>
        </w:tc>
        <w:tc>
          <w:tcPr>
            <w:tcW w:type="dxa" w:w="124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7"/>
              </w:rPr>
              <w:t>个</w:t>
            </w:r>
          </w:p>
        </w:tc>
      </w:tr>
      <w:tr>
        <w:trPr>
          <w:cantSplit/>
        </w:trPr>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7"/>
              </w:rPr>
              <w:t>Tij</w:t>
            </w:r>
          </w:p>
        </w:tc>
        <w:tc>
          <w:tcPr>
            <w:tcW w:type="dxa" w:w="6123"/>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7"/>
              </w:rPr>
              <w:t>组合 i 的第 j 个实测温度</w:t>
            </w:r>
          </w:p>
        </w:tc>
        <w:tc>
          <w:tcPr>
            <w:tcW w:type="dxa" w:w="124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7"/>
              </w:rPr>
              <w:t>°C</w:t>
            </w:r>
          </w:p>
        </w:tc>
      </w:tr>
      <w:tr>
        <w:trPr>
          <w:cantSplit/>
        </w:trPr>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7"/>
              </w:rPr>
              <w:t>Xij, Sij</w:t>
            </w:r>
          </w:p>
        </w:tc>
        <w:tc>
          <w:tcPr>
            <w:tcW w:type="dxa" w:w="6123"/>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7"/>
              </w:rPr>
              <w:t>组合 i 在第 j 个温度点的乙醇转化率与C4烯烃选择性</w:t>
            </w:r>
          </w:p>
        </w:tc>
        <w:tc>
          <w:tcPr>
            <w:tcW w:type="dxa" w:w="124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7"/>
              </w:rPr>
              <w:t>%</w:t>
            </w:r>
          </w:p>
        </w:tc>
      </w:tr>
      <w:tr>
        <w:trPr>
          <w:cantSplit/>
        </w:trPr>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7"/>
              </w:rPr>
              <w:t>t^(2)_k</w:t>
            </w:r>
          </w:p>
        </w:tc>
        <w:tc>
          <w:tcPr>
            <w:tcW w:type="dxa" w:w="6123"/>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7"/>
              </w:rPr>
              <w:t>附件2第 k 个实测反应时间</w:t>
            </w:r>
          </w:p>
        </w:tc>
        <w:tc>
          <w:tcPr>
            <w:tcW w:type="dxa" w:w="124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7"/>
              </w:rPr>
              <w:t>min</w:t>
            </w:r>
          </w:p>
        </w:tc>
      </w:tr>
      <w:tr>
        <w:trPr>
          <w:cantSplit/>
        </w:trPr>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7"/>
              </w:rPr>
              <w:t>X^(2)_k, S^(2)_k, Y^(2)_k</w:t>
            </w:r>
          </w:p>
        </w:tc>
        <w:tc>
          <w:tcPr>
            <w:tcW w:type="dxa" w:w="6123"/>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7"/>
              </w:rPr>
              <w:t>附件2第 k 个时间点的转化率、C4选择性与派生收率</w:t>
            </w:r>
          </w:p>
        </w:tc>
        <w:tc>
          <w:tcPr>
            <w:tcW w:type="dxa" w:w="124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7"/>
              </w:rPr>
              <w:t>%</w:t>
            </w:r>
          </w:p>
        </w:tc>
      </w:tr>
      <w:tr>
        <w:trPr>
          <w:cantSplit/>
        </w:trPr>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7"/>
              </w:rPr>
              <w:t>R²</w:t>
            </w:r>
          </w:p>
        </w:tc>
        <w:tc>
          <w:tcPr>
            <w:tcW w:type="dxa" w:w="6123"/>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7"/>
              </w:rPr>
              <w:t>决定系数，仅描述样本内拟合程度</w:t>
            </w:r>
          </w:p>
        </w:tc>
        <w:tc>
          <w:tcPr>
            <w:tcW w:type="dxa" w:w="124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7"/>
              </w:rPr>
              <w:t>-</w:t>
            </w:r>
          </w:p>
        </w:tc>
      </w:tr>
      <w:tr>
        <w:trPr>
          <w:cantSplit/>
        </w:trPr>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7"/>
              </w:rPr>
              <w:t>RMSE_LOO</w:t>
            </w:r>
          </w:p>
        </w:tc>
        <w:tc>
          <w:tcPr>
            <w:tcW w:type="dxa" w:w="6123"/>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7"/>
              </w:rPr>
              <w:t>留一预测均方根误差</w:t>
            </w:r>
          </w:p>
        </w:tc>
        <w:tc>
          <w:tcPr>
            <w:tcW w:type="dxa" w:w="124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7"/>
              </w:rPr>
              <w:t>百分点</w:t>
            </w:r>
          </w:p>
        </w:tc>
      </w:tr>
      <w:tr>
        <w:trPr>
          <w:cantSplit/>
        </w:trPr>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7"/>
              </w:rPr>
              <w:t>ε</w:t>
            </w:r>
          </w:p>
        </w:tc>
        <w:tc>
          <w:tcPr>
            <w:tcW w:type="dxa" w:w="6123"/>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7"/>
              </w:rPr>
              <w:t>统计模型随机误差项</w:t>
            </w:r>
          </w:p>
        </w:tc>
        <w:tc>
          <w:tcPr>
            <w:tcW w:type="dxa" w:w="124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7"/>
              </w:rPr>
              <w:t>与响应一致</w:t>
            </w:r>
          </w:p>
        </w:tc>
      </w:tr>
    </w:tbl>
    <w:p>
      <w:pPr>
        <w:spacing w:after="80" w:before="0" w:line="300" w:lineRule="auto"/>
        <w:ind w:firstLine="420"/>
      </w:pPr>
      <w:r>
        <w:rPr>
          <w:rFonts w:ascii="Noto Serif CJK SC" w:hAnsi="Noto Serif CJK SC" w:eastAsia="Noto Serif CJK SC"/>
          <w:sz w:val="21"/>
        </w:rPr>
        <w:t>说明：符号名称与含义严格沿用文件2的队内母符号表；模型内部的一次性参数 β0、β1、β2 与中心化变量 u 在首次出现处局部定义，不另行改名正式主变量。</w:t>
      </w:r>
    </w:p>
    <w:p>
      <w:pPr>
        <w:keepNext/>
        <w:spacing w:before="200" w:after="100"/>
      </w:pPr>
      <w:r>
        <w:rPr>
          <w:rFonts w:ascii="Noto Sans CJK SC" w:hAnsi="Noto Sans CJK SC" w:eastAsia="Noto Sans CJK SC"/>
          <w:b/>
          <w:color w:val="1F4E79"/>
          <w:sz w:val="26"/>
        </w:rPr>
        <w:t>5. 模型假设</w:t>
      </w:r>
    </w:p>
    <w:p>
      <w:pPr>
        <w:spacing w:after="60" w:line="283" w:lineRule="auto"/>
        <w:ind w:left="113" w:hanging="113"/>
      </w:pPr>
      <w:r>
        <w:rPr>
          <w:rFonts w:ascii="Noto Serif CJK SC" w:hAnsi="Noto Serif CJK SC" w:eastAsia="Noto Serif CJK SC"/>
          <w:sz w:val="20"/>
        </w:rPr>
        <w:t>1.  问题1只在单个催化剂组合内部研究温度响应；不同催化剂组合不混合作为同质独立样本。</w:t>
      </w:r>
    </w:p>
    <w:p>
      <w:pPr>
        <w:spacing w:after="60" w:line="283" w:lineRule="auto"/>
        <w:ind w:left="113" w:hanging="113"/>
      </w:pPr>
      <w:r>
        <w:rPr>
          <w:rFonts w:ascii="Noto Serif CJK SC" w:hAnsi="Noto Serif CJK SC" w:eastAsia="Noto Serif CJK SC"/>
          <w:sz w:val="20"/>
        </w:rPr>
        <w:t>2.  在各组合已有实验温度覆盖区间内，可用低自由度一元多项式作为经验近似；该近似不等同于真实化学机理方程，也不用于区间外大幅外推。</w:t>
      </w:r>
    </w:p>
    <w:p>
      <w:pPr>
        <w:spacing w:after="60" w:line="283" w:lineRule="auto"/>
        <w:ind w:left="113" w:hanging="113"/>
      </w:pPr>
      <w:r>
        <w:rPr>
          <w:rFonts w:ascii="Noto Serif CJK SC" w:hAnsi="Noto Serif CJK SC" w:eastAsia="Noto Serif CJK SC"/>
          <w:sz w:val="20"/>
        </w:rPr>
        <w:t>3.  附件未提供同一“催化剂组合-温度”条件下的重复测量，因此不能独立估计纯实验误差；最小二乘回归和LOOCV仅用于趋势量化与小样本模型诊断，不进行依赖重复误差估计的强显著性结论。</w:t>
      </w:r>
    </w:p>
    <w:p>
      <w:pPr>
        <w:spacing w:after="60" w:line="283" w:lineRule="auto"/>
        <w:ind w:left="113" w:hanging="113"/>
      </w:pPr>
      <w:r>
        <w:rPr>
          <w:rFonts w:ascii="Noto Serif CJK SC" w:hAnsi="Noto Serif CJK SC" w:eastAsia="Noto Serif CJK SC"/>
          <w:sz w:val="20"/>
        </w:rPr>
        <w:t>4.  乙醇转化率与选择性均应满足0%-100%的物理范围；若普通多项式在实验覆盖区间内明显出界，则降低该模型的可信度。</w:t>
      </w:r>
    </w:p>
    <w:p>
      <w:pPr>
        <w:spacing w:after="60" w:line="283" w:lineRule="auto"/>
        <w:ind w:left="113" w:hanging="113"/>
      </w:pPr>
      <w:r>
        <w:rPr>
          <w:rFonts w:ascii="Noto Serif CJK SC" w:hAnsi="Noto Serif CJK SC" w:eastAsia="Noto Serif CJK SC"/>
          <w:sz w:val="20"/>
        </w:rPr>
        <w:t>5.  附件2的7行是同一次实验的不等间隔时间观测，保留时间顺序，不按普通独立横截面样本或复杂时间序列处理。</w:t>
      </w:r>
    </w:p>
    <w:p>
      <w:pPr>
        <w:keepNext/>
        <w:spacing w:before="200" w:after="100"/>
      </w:pPr>
      <w:r>
        <w:rPr>
          <w:rFonts w:ascii="Noto Sans CJK SC" w:hAnsi="Noto Sans CJK SC" w:eastAsia="Noto Sans CJK SC"/>
          <w:b/>
          <w:color w:val="1F4E79"/>
          <w:sz w:val="26"/>
        </w:rPr>
        <w:t>6. 使用模型</w:t>
      </w:r>
    </w:p>
    <w:p>
      <w:pPr>
        <w:keepNext/>
        <w:spacing w:before="120" w:after="60"/>
      </w:pPr>
      <w:r>
        <w:rPr>
          <w:rFonts w:ascii="Noto Sans CJK SC" w:hAnsi="Noto Sans CJK SC" w:eastAsia="Noto Sans CJK SC"/>
          <w:b/>
          <w:color w:val="262626"/>
          <w:sz w:val="22"/>
        </w:rPr>
        <w:t>6.1 附件1：一元线性回归 + 二次多项式回归</w:t>
      </w:r>
    </w:p>
    <w:p>
      <w:pPr>
        <w:spacing w:after="80" w:before="0" w:line="300" w:lineRule="auto"/>
        <w:ind w:firstLine="420"/>
      </w:pPr>
      <w:r>
        <w:rPr>
          <w:rFonts w:ascii="Noto Serif CJK SC" w:hAnsi="Noto Serif CJK SC" w:eastAsia="Noto Serif CJK SC"/>
          <w:sz w:val="21"/>
        </w:rPr>
        <w:t>模型名称：一元线性回归作为最低复杂度基准；二次多项式回归作为只增加一个自由参数的最低阶曲率扩展。42条响应关系均分别拟合一次和二次两个候选模型，再综合原始散点、RMSE_LOO与物理合理性决定是否保留曲率项。</w:t>
      </w:r>
    </w:p>
    <w:p>
      <w:pPr>
        <w:spacing w:after="80" w:before="0" w:line="300" w:lineRule="auto"/>
        <w:ind w:firstLine="420"/>
      </w:pPr>
      <w:r>
        <w:rPr>
          <w:rFonts w:ascii="Noto Serif CJK SC" w:hAnsi="Noto Serif CJK SC" w:eastAsia="Noto Serif CJK SC"/>
          <w:sz w:val="21"/>
        </w:rPr>
        <w:t>选择原因：单组只有5-7个温度点，一次模型仅含2个参数，能够描述近似匀速升降；二次模型含3个参数，可描述增幅加快、增幅减小或局部弯曲，同时复杂度仍与样本量基本匹配。</w:t>
      </w:r>
    </w:p>
    <w:p>
      <w:pPr>
        <w:spacing w:after="80" w:before="0" w:line="300" w:lineRule="auto"/>
        <w:ind w:firstLine="420"/>
      </w:pPr>
      <w:r>
        <w:rPr>
          <w:rFonts w:ascii="Noto Serif CJK SC" w:hAnsi="Noto Serif CJK SC" w:eastAsia="Noto Serif CJK SC"/>
          <w:sz w:val="21"/>
        </w:rPr>
        <w:t>不选择其他模型的原因：三次及更高阶多项式在5-7点条件下参数过多；Logistic/饱和模型对多数缺少高温平台数据的组合施加强结构假设；随机森林、XGBoost、神经网络等黑箱模型与当前有效样本量和问题1的解释目标不匹配。A3的高温趋缓仅作为特殊观测讨论，不让其决定全部组合的候选模型族。</w:t>
      </w:r>
    </w:p>
    <w:p>
      <w:pPr>
        <w:keepNext/>
        <w:spacing w:before="120" w:after="60"/>
      </w:pPr>
      <w:r>
        <w:rPr>
          <w:rFonts w:ascii="Noto Sans CJK SC" w:hAnsi="Noto Sans CJK SC" w:eastAsia="Noto Sans CJK SC"/>
          <w:b/>
          <w:color w:val="262626"/>
          <w:sz w:val="22"/>
        </w:rPr>
        <w:t>6.2 附件2：时间趋势分析 + 简单线性经验趋势（可选）</w:t>
      </w:r>
    </w:p>
    <w:p>
      <w:pPr>
        <w:spacing w:after="80" w:before="0" w:line="300" w:lineRule="auto"/>
        <w:ind w:firstLine="420"/>
      </w:pPr>
      <w:r>
        <w:rPr>
          <w:rFonts w:ascii="Noto Serif CJK SC" w:hAnsi="Noto Serif CJK SC" w:eastAsia="Noto Serif CJK SC"/>
          <w:sz w:val="21"/>
        </w:rPr>
        <w:t>主分析直接考察 XEtOH(t)、SC4(t)、YC4(t) 及相邻时间段 ΔXEtOH/Δt。若需用单一参数概括转化率衰减，仅拟合 XEtOH(t)=a+bt；不把三参数指数衰减、ARIMA、LSTM等作为主模型。</w:t>
      </w:r>
    </w:p>
    <w:p>
      <w:pPr>
        <w:keepNext/>
        <w:spacing w:before="200" w:after="100"/>
      </w:pPr>
      <w:r>
        <w:rPr>
          <w:rFonts w:ascii="Noto Sans CJK SC" w:hAnsi="Noto Sans CJK SC" w:eastAsia="Noto Sans CJK SC"/>
          <w:b/>
          <w:color w:val="1F4E79"/>
          <w:sz w:val="26"/>
        </w:rPr>
        <w:t>7. 数学公式</w:t>
      </w:r>
    </w:p>
    <w:p>
      <w:pPr>
        <w:spacing w:after="80" w:before="0" w:line="300" w:lineRule="auto"/>
      </w:pPr>
      <w:r>
        <w:rPr>
          <w:rFonts w:ascii="Noto Serif CJK SC" w:hAnsi="Noto Serif CJK SC" w:eastAsia="Noto Serif CJK SC"/>
          <w:sz w:val="21"/>
        </w:rPr>
        <w:t>为改善数值尺度，对每个催化剂组合 i 固定温度中心 Tc,i=(Tmin,i+Tmax,i)/2，并定义局部中心化变量：</w:t>
      </w:r>
    </w:p>
    <w:p>
      <w:pPr>
        <w:spacing w:before="60" w:after="100"/>
        <w:jc w:val="center"/>
      </w:pPr>
      <w:r>
        <w:rPr>
          <w:rFonts w:ascii="Cambria Math" w:hAnsi="Cambria Math" w:eastAsia="Cambria Math"/>
          <w:sz w:val="21"/>
        </w:rPr>
        <w:t>u_ij = (T_ij - T_c,i) / 50</w:t>
      </w:r>
    </w:p>
    <w:p>
      <w:pPr>
        <w:spacing w:after="80" w:before="0" w:line="300" w:lineRule="auto"/>
      </w:pPr>
      <w:r>
        <w:rPr>
          <w:rFonts w:ascii="Noto Serif CJK SC" w:hAnsi="Noto Serif CJK SC" w:eastAsia="Noto Serif CJK SC"/>
          <w:sz w:val="21"/>
        </w:rPr>
        <w:t>一次模型（2个自由参数）：</w:t>
      </w:r>
    </w:p>
    <w:p>
      <w:pPr>
        <w:spacing w:before="60" w:after="100"/>
        <w:jc w:val="center"/>
      </w:pPr>
      <w:r>
        <w:rPr>
          <w:rFonts w:ascii="Cambria Math" w:hAnsi="Cambria Math" w:eastAsia="Cambria Math"/>
          <w:sz w:val="21"/>
        </w:rPr>
        <w:t>R_ij = β_0,i + β_1,i u_ij + ε_ij</w:t>
      </w:r>
    </w:p>
    <w:p>
      <w:pPr>
        <w:spacing w:after="80" w:before="0" w:line="300" w:lineRule="auto"/>
      </w:pPr>
      <w:r>
        <w:rPr>
          <w:rFonts w:ascii="Noto Serif CJK SC" w:hAnsi="Noto Serif CJK SC" w:eastAsia="Noto Serif CJK SC"/>
          <w:sz w:val="21"/>
        </w:rPr>
        <w:t>二次模型（3个自由参数）：</w:t>
      </w:r>
    </w:p>
    <w:p>
      <w:pPr>
        <w:spacing w:before="60" w:after="100"/>
        <w:jc w:val="center"/>
      </w:pPr>
      <w:r>
        <w:rPr>
          <w:rFonts w:ascii="Cambria Math" w:hAnsi="Cambria Math" w:eastAsia="Cambria Math"/>
          <w:sz w:val="21"/>
        </w:rPr>
        <w:t>R_ij = β_0,i + β_1,i u_ij + β_2,i u_ij² + ε_ij</w:t>
      </w:r>
    </w:p>
    <w:p>
      <w:pPr>
        <w:spacing w:after="80" w:before="0" w:line="300" w:lineRule="auto"/>
      </w:pPr>
      <w:r>
        <w:rPr>
          <w:rFonts w:ascii="Noto Serif CJK SC" w:hAnsi="Noto Serif CJK SC" w:eastAsia="Noto Serif CJK SC"/>
          <w:sz w:val="21"/>
        </w:rPr>
        <w:t>其中 R_ij 分别取 X_ij 或 S_ij。参数采用最小二乘法估计，即最小化残差平方和 SSE=Σ(R_ij-R̂_ij)²。</w:t>
      </w:r>
    </w:p>
    <w:p>
      <w:pPr>
        <w:spacing w:after="80" w:before="0" w:line="300" w:lineRule="auto"/>
      </w:pPr>
      <w:r>
        <w:rPr>
          <w:rFonts w:ascii="Noto Serif CJK SC" w:hAnsi="Noto Serif CJK SC" w:eastAsia="Noto Serif CJK SC"/>
          <w:sz w:val="21"/>
        </w:rPr>
        <w:t>留一预测误差：</w:t>
      </w:r>
    </w:p>
    <w:p>
      <w:pPr>
        <w:spacing w:before="60" w:after="100"/>
        <w:jc w:val="center"/>
      </w:pPr>
      <w:r>
        <w:rPr>
          <w:rFonts w:ascii="Cambria Math" w:hAnsi="Cambria Math" w:eastAsia="Cambria Math"/>
          <w:sz w:val="21"/>
        </w:rPr>
        <w:t>RMSE_LOO = √{ (1/n_i) · Σ_j [ R_ij - R̂_ij^(-j) ]² }</w:t>
      </w:r>
    </w:p>
    <w:p>
      <w:pPr>
        <w:spacing w:after="80" w:before="0" w:line="300" w:lineRule="auto"/>
      </w:pPr>
      <w:r>
        <w:rPr>
          <w:rFonts w:ascii="Noto Serif CJK SC" w:hAnsi="Noto Serif CJK SC" w:eastAsia="Noto Serif CJK SC"/>
          <w:sz w:val="21"/>
        </w:rPr>
        <w:t>附件2派生C4烯烃收率（百分数尺度）：</w:t>
      </w:r>
    </w:p>
    <w:p>
      <w:pPr>
        <w:spacing w:before="60" w:after="100"/>
        <w:jc w:val="center"/>
      </w:pPr>
      <w:r>
        <w:rPr>
          <w:rFonts w:ascii="Cambria Math" w:hAnsi="Cambria Math" w:eastAsia="Cambria Math"/>
          <w:sz w:val="21"/>
        </w:rPr>
        <w:t>Y_C4 = X_EtOH × S_C4 / 100</w:t>
      </w:r>
    </w:p>
    <w:p>
      <w:pPr>
        <w:spacing w:after="80" w:before="0" w:line="300" w:lineRule="auto"/>
      </w:pPr>
      <w:r>
        <w:rPr>
          <w:rFonts w:ascii="Noto Serif CJK SC" w:hAnsi="Noto Serif CJK SC" w:eastAsia="Noto Serif CJK SC"/>
          <w:sz w:val="21"/>
        </w:rPr>
        <w:t>附件2相邻时间段乙醇转化率变化率：</w:t>
      </w:r>
    </w:p>
    <w:p>
      <w:pPr>
        <w:spacing w:before="60" w:after="100"/>
        <w:jc w:val="center"/>
      </w:pPr>
      <w:r>
        <w:rPr>
          <w:rFonts w:ascii="Cambria Math" w:hAnsi="Cambria Math" w:eastAsia="Cambria Math"/>
          <w:sz w:val="21"/>
        </w:rPr>
        <w:t>v_k = [ X^(2)_(k+1) - X^(2)_k ] / [ t^(2)_(k+1) - t^(2)_k ]</w:t>
      </w:r>
    </w:p>
    <w:p>
      <w:pPr>
        <w:keepNext/>
        <w:spacing w:before="200" w:after="100"/>
      </w:pPr>
      <w:r>
        <w:rPr>
          <w:rFonts w:ascii="Noto Sans CJK SC" w:hAnsi="Noto Sans CJK SC" w:eastAsia="Noto Sans CJK SC"/>
          <w:b/>
          <w:color w:val="1F4E79"/>
          <w:sz w:val="26"/>
        </w:rPr>
        <w:t>8. 算法步骤</w:t>
      </w:r>
    </w:p>
    <w:p>
      <w:pPr>
        <w:spacing w:after="60" w:line="283" w:lineRule="auto"/>
        <w:ind w:left="113" w:hanging="113"/>
      </w:pPr>
      <w:r>
        <w:rPr>
          <w:rFonts w:ascii="Noto Serif CJK SC" w:hAnsi="Noto Serif CJK SC" w:eastAsia="Noto Serif CJK SC"/>
          <w:sz w:val="20"/>
        </w:rPr>
        <w:t>1.  读取附件1.xlsx与附件2.xlsx；附件1将空白组合编号按上一非空值向下继承，保留所有原始实验百分数。</w:t>
      </w:r>
    </w:p>
    <w:p>
      <w:pPr>
        <w:spacing w:after="60" w:line="283" w:lineRule="auto"/>
        <w:ind w:left="113" w:hanging="113"/>
      </w:pPr>
      <w:r>
        <w:rPr>
          <w:rFonts w:ascii="Noto Serif CJK SC" w:hAnsi="Noto Serif CJK SC" w:eastAsia="Noto Serif CJK SC"/>
          <w:sz w:val="20"/>
        </w:rPr>
        <w:t>2.  按催化剂组合 i 分组，确认 G=21、N1=114，并统计每组 ni 与实际温度范围；未实验温度不补值。</w:t>
      </w:r>
    </w:p>
    <w:p>
      <w:pPr>
        <w:spacing w:after="60" w:line="283" w:lineRule="auto"/>
        <w:ind w:left="113" w:hanging="113"/>
      </w:pPr>
      <w:r>
        <w:rPr>
          <w:rFonts w:ascii="Noto Serif CJK SC" w:hAnsi="Noto Serif CJK SC" w:eastAsia="Noto Serif CJK SC"/>
          <w:sz w:val="20"/>
        </w:rPr>
        <w:t>3.  对每个组合分别绘制 T-XEtOH 与 T-SC4 原始散点/折线，先记录总体升降、局部反向、高温端增幅变化与边界最高点等观测事实。</w:t>
      </w:r>
    </w:p>
    <w:p>
      <w:pPr>
        <w:spacing w:after="60" w:line="283" w:lineRule="auto"/>
        <w:ind w:left="113" w:hanging="113"/>
      </w:pPr>
      <w:r>
        <w:rPr>
          <w:rFonts w:ascii="Noto Serif CJK SC" w:hAnsi="Noto Serif CJK SC" w:eastAsia="Noto Serif CJK SC"/>
          <w:sz w:val="20"/>
        </w:rPr>
        <w:t>4.  对42条关系统一构造中心化温度 u，分别用最小二乘法拟合一次与二次多项式，计算参数与R²。</w:t>
      </w:r>
    </w:p>
    <w:p>
      <w:pPr>
        <w:spacing w:after="60" w:line="283" w:lineRule="auto"/>
        <w:ind w:left="113" w:hanging="113"/>
      </w:pPr>
      <w:r>
        <w:rPr>
          <w:rFonts w:ascii="Noto Serif CJK SC" w:hAnsi="Noto Serif CJK SC" w:eastAsia="Noto Serif CJK SC"/>
          <w:sz w:val="20"/>
        </w:rPr>
        <w:t>5.  对两个候选模型分别进行组内LOOCV，得到RMSE_LOO与逐点留一误差；R²只作样本内拟合展示，不按“R²最大”机械选模。</w:t>
      </w:r>
    </w:p>
    <w:p>
      <w:pPr>
        <w:spacing w:after="60" w:line="283" w:lineRule="auto"/>
        <w:ind w:left="113" w:hanging="113"/>
      </w:pPr>
      <w:r>
        <w:rPr>
          <w:rFonts w:ascii="Noto Serif CJK SC" w:hAnsi="Noto Serif CJK SC" w:eastAsia="Noto Serif CJK SC"/>
          <w:sz w:val="20"/>
        </w:rPr>
        <w:t>6.  综合原始趋势、RMSE_LOO、曲线形态及0%-100%物理边界判断新增二次项是否得到数据支持；若证据不足，则优先简单模型或明确“低阶模型均仅粗略”。</w:t>
      </w:r>
    </w:p>
    <w:p>
      <w:pPr>
        <w:spacing w:after="60" w:line="283" w:lineRule="auto"/>
        <w:ind w:left="113" w:hanging="113"/>
      </w:pPr>
      <w:r>
        <w:rPr>
          <w:rFonts w:ascii="Noto Serif CJK SC" w:hAnsi="Noto Serif CJK SC" w:eastAsia="Noto Serif CJK SC"/>
          <w:sz w:val="20"/>
        </w:rPr>
        <w:t>7.  仅对线性/二次结论冲突、内部峰谷可疑或单点影响较大的关系进一步查看删点曲线，不对42条关系全部堆叠敏感性图。</w:t>
      </w:r>
    </w:p>
    <w:p>
      <w:pPr>
        <w:spacing w:after="60" w:line="283" w:lineRule="auto"/>
        <w:ind w:left="113" w:hanging="113"/>
      </w:pPr>
      <w:r>
        <w:rPr>
          <w:rFonts w:ascii="Noto Serif CJK SC" w:hAnsi="Noto Serif CJK SC" w:eastAsia="Noto Serif CJK SC"/>
          <w:sz w:val="20"/>
        </w:rPr>
        <w:t>8.  附件2按时间顺序计算 X^(2)_k、S^(2)_k、Y^(2)_k 和相邻时间段 v_k；用图形与简单线性趋势概括转化率衰减，不进行长期外推。</w:t>
      </w:r>
    </w:p>
    <w:p>
      <w:pPr>
        <w:spacing w:after="60" w:line="283" w:lineRule="auto"/>
        <w:ind w:left="113" w:hanging="113"/>
      </w:pPr>
      <w:r>
        <w:rPr>
          <w:rFonts w:ascii="Noto Serif CJK SC" w:hAnsi="Noto Serif CJK SC" w:eastAsia="Noto Serif CJK SC"/>
          <w:sz w:val="20"/>
        </w:rPr>
        <w:t>9.  输出模型比较表、推荐经验描述、模型系数表与附件2派生结果表。</w:t>
      </w:r>
    </w:p>
    <w:p>
      <w:pPr>
        <w:keepNext/>
        <w:spacing w:before="200" w:after="100"/>
      </w:pPr>
      <w:r>
        <w:rPr>
          <w:rFonts w:ascii="Noto Sans CJK SC" w:hAnsi="Noto Sans CJK SC" w:eastAsia="Noto Sans CJK SC"/>
          <w:b/>
          <w:color w:val="1F4E79"/>
          <w:sz w:val="26"/>
        </w:rPr>
        <w:t>9. 参数设置</w:t>
      </w:r>
    </w:p>
    <w:tbl>
      <w:tblPr>
        <w:tblStyle w:val="TableGrid"/>
        <w:tblW w:type="auto" w:w="0"/>
        <w:jc w:val="center"/>
        <w:tblLayout w:type="fixed"/>
        <w:tblLook w:firstColumn="1" w:firstRow="1" w:lastColumn="0" w:lastRow="0" w:noHBand="0" w:noVBand="1" w:val="04A0"/>
      </w:tblPr>
      <w:tblGrid>
        <w:gridCol w:w="4706"/>
        <w:gridCol w:w="4706"/>
      </w:tblGrid>
      <w:tr>
        <w:trPr>
          <w:cantSplit/>
        </w:trPr>
        <w:tc>
          <w:tcPr>
            <w:tcW w:type="dxa" w:w="1928"/>
            <w:vAlign w:val="center"/>
            <w:tcMar>
              <w:top w:w="90" w:type="dxa"/>
              <w:start w:w="100" w:type="dxa"/>
              <w:bottom w:w="90" w:type="dxa"/>
              <w:end w:w="100" w:type="dxa"/>
            </w:tcMar>
            <w:shd w:fill="EDF3F8"/>
          </w:tcPr>
          <w:p>
            <w:pPr>
              <w:spacing w:after="0" w:before="0" w:line="252" w:lineRule="auto"/>
              <w:jc w:val="left"/>
            </w:pPr>
            <w:r>
              <w:rPr>
                <w:rFonts w:ascii="Noto Sans CJK SC" w:hAnsi="Noto Sans CJK SC" w:eastAsia="Noto Sans CJK SC"/>
                <w:b/>
                <w:sz w:val="19"/>
              </w:rPr>
              <w:t>候选多项式阶数</w:t>
            </w:r>
          </w:p>
        </w:tc>
        <w:tc>
          <w:tcPr>
            <w:tcW w:type="dxa" w:w="7143"/>
            <w:vAlign w:val="center"/>
            <w:tcMar>
              <w:top w:w="90" w:type="dxa"/>
              <w:start w:w="100" w:type="dxa"/>
              <w:bottom w:w="90" w:type="dxa"/>
              <w:end w:w="100" w:type="dxa"/>
            </w:tcMar>
          </w:tcPr>
          <w:p>
            <w:pPr>
              <w:spacing w:after="0" w:before="0" w:line="252" w:lineRule="auto"/>
              <w:jc w:val="left"/>
            </w:pPr>
            <w:r>
              <w:rPr>
                <w:rFonts w:ascii="Noto Sans CJK SC" w:hAnsi="Noto Sans CJK SC" w:eastAsia="Noto Sans CJK SC"/>
                <w:b/>
                <w:sz w:val="19"/>
              </w:rPr>
              <w:t>1阶与2阶。1阶为基准，2阶仅增加一个曲率参数；不继续枚举更高阶。</w:t>
            </w:r>
          </w:p>
        </w:tc>
      </w:tr>
      <w:tr>
        <w:trPr>
          <w:cantSplit/>
        </w:trPr>
        <w:tc>
          <w:tcPr>
            <w:tcW w:type="dxa" w:w="1928"/>
            <w:vAlign w:val="center"/>
            <w:tcMar>
              <w:top w:w="90" w:type="dxa"/>
              <w:start w:w="100" w:type="dxa"/>
              <w:bottom w:w="90" w:type="dxa"/>
              <w:end w:w="100" w:type="dxa"/>
            </w:tcMar>
            <w:shd w:fill="EDF3F8"/>
          </w:tcPr>
          <w:p>
            <w:pPr>
              <w:spacing w:after="0" w:before="0" w:line="252" w:lineRule="auto"/>
              <w:jc w:val="left"/>
            </w:pPr>
            <w:r>
              <w:rPr>
                <w:rFonts w:ascii="Noto Serif CJK SC" w:hAnsi="Noto Serif CJK SC" w:eastAsia="Noto Serif CJK SC"/>
                <w:b w:val="0"/>
                <w:sz w:val="19"/>
              </w:rPr>
              <w:t>温度中心 Tc,i</w:t>
            </w:r>
          </w:p>
        </w:tc>
        <w:tc>
          <w:tcPr>
            <w:tcW w:type="dxa" w:w="7143"/>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9"/>
              </w:rPr>
              <w:t>每组固定为 (Tmin,i+Tmax,i)/2；LOOCV各折保持同一Tc,i，避免因重新中心化造成参数不可比。</w:t>
            </w:r>
          </w:p>
        </w:tc>
      </w:tr>
      <w:tr>
        <w:trPr>
          <w:cantSplit/>
        </w:trPr>
        <w:tc>
          <w:tcPr>
            <w:tcW w:type="dxa" w:w="1928"/>
            <w:vAlign w:val="center"/>
            <w:tcMar>
              <w:top w:w="90" w:type="dxa"/>
              <w:start w:w="100" w:type="dxa"/>
              <w:bottom w:w="90" w:type="dxa"/>
              <w:end w:w="100" w:type="dxa"/>
            </w:tcMar>
            <w:shd w:fill="EDF3F8"/>
          </w:tcPr>
          <w:p>
            <w:pPr>
              <w:spacing w:after="0" w:before="0" w:line="252" w:lineRule="auto"/>
              <w:jc w:val="left"/>
            </w:pPr>
            <w:r>
              <w:rPr>
                <w:rFonts w:ascii="Noto Serif CJK SC" w:hAnsi="Noto Serif CJK SC" w:eastAsia="Noto Serif CJK SC"/>
                <w:b w:val="0"/>
                <w:sz w:val="19"/>
              </w:rPr>
              <w:t>温度缩放尺度</w:t>
            </w:r>
          </w:p>
        </w:tc>
        <w:tc>
          <w:tcPr>
            <w:tcW w:type="dxa" w:w="7143"/>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9"/>
              </w:rPr>
              <w:t>50°C，使 u 的数值大致为O(1)，改善系数表达与数值条件。</w:t>
            </w:r>
          </w:p>
        </w:tc>
      </w:tr>
      <w:tr>
        <w:trPr>
          <w:cantSplit/>
        </w:trPr>
        <w:tc>
          <w:tcPr>
            <w:tcW w:type="dxa" w:w="1928"/>
            <w:vAlign w:val="center"/>
            <w:tcMar>
              <w:top w:w="90" w:type="dxa"/>
              <w:start w:w="100" w:type="dxa"/>
              <w:bottom w:w="90" w:type="dxa"/>
              <w:end w:w="100" w:type="dxa"/>
            </w:tcMar>
            <w:shd w:fill="EDF3F8"/>
          </w:tcPr>
          <w:p>
            <w:pPr>
              <w:spacing w:after="0" w:before="0" w:line="252" w:lineRule="auto"/>
              <w:jc w:val="left"/>
            </w:pPr>
            <w:r>
              <w:rPr>
                <w:rFonts w:ascii="Noto Serif CJK SC" w:hAnsi="Noto Serif CJK SC" w:eastAsia="Noto Serif CJK SC"/>
                <w:b w:val="0"/>
                <w:sz w:val="19"/>
              </w:rPr>
              <w:t>交叉验证</w:t>
            </w:r>
          </w:p>
        </w:tc>
        <w:tc>
          <w:tcPr>
            <w:tcW w:type="dxa" w:w="7143"/>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9"/>
              </w:rPr>
              <w:t>组内Leave-One-Out；每条关系共 ni 折，不做随机行划分。</w:t>
            </w:r>
          </w:p>
        </w:tc>
      </w:tr>
      <w:tr>
        <w:trPr>
          <w:cantSplit/>
        </w:trPr>
        <w:tc>
          <w:tcPr>
            <w:tcW w:type="dxa" w:w="1928"/>
            <w:vAlign w:val="center"/>
            <w:tcMar>
              <w:top w:w="90" w:type="dxa"/>
              <w:start w:w="100" w:type="dxa"/>
              <w:bottom w:w="90" w:type="dxa"/>
              <w:end w:w="100" w:type="dxa"/>
            </w:tcMar>
            <w:shd w:fill="EDF3F8"/>
          </w:tcPr>
          <w:p>
            <w:pPr>
              <w:spacing w:after="0" w:before="0" w:line="252" w:lineRule="auto"/>
              <w:jc w:val="left"/>
            </w:pPr>
            <w:r>
              <w:rPr>
                <w:rFonts w:ascii="Noto Serif CJK SC" w:hAnsi="Noto Serif CJK SC" w:eastAsia="Noto Serif CJK SC"/>
                <w:b w:val="0"/>
                <w:sz w:val="19"/>
              </w:rPr>
              <w:t>物理边界</w:t>
            </w:r>
          </w:p>
        </w:tc>
        <w:tc>
          <w:tcPr>
            <w:tcW w:type="dxa" w:w="7143"/>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9"/>
              </w:rPr>
              <w:t>在该组合完整实验温度覆盖区间内检查 0≤X̂EtOH≤100、0≤ŜC4≤100。</w:t>
            </w:r>
          </w:p>
        </w:tc>
      </w:tr>
      <w:tr>
        <w:trPr>
          <w:cantSplit/>
        </w:trPr>
        <w:tc>
          <w:tcPr>
            <w:tcW w:type="dxa" w:w="1928"/>
            <w:vAlign w:val="center"/>
            <w:tcMar>
              <w:top w:w="90" w:type="dxa"/>
              <w:start w:w="100" w:type="dxa"/>
              <w:bottom w:w="90" w:type="dxa"/>
              <w:end w:w="100" w:type="dxa"/>
            </w:tcMar>
            <w:shd w:fill="EDF3F8"/>
          </w:tcPr>
          <w:p>
            <w:pPr>
              <w:spacing w:after="0" w:before="0" w:line="252" w:lineRule="auto"/>
              <w:jc w:val="left"/>
            </w:pPr>
            <w:r>
              <w:rPr>
                <w:rFonts w:ascii="Noto Serif CJK SC" w:hAnsi="Noto Serif CJK SC" w:eastAsia="Noto Serif CJK SC"/>
                <w:b w:val="0"/>
                <w:sz w:val="19"/>
              </w:rPr>
              <w:t>附件2</w:t>
            </w:r>
          </w:p>
        </w:tc>
        <w:tc>
          <w:tcPr>
            <w:tcW w:type="dxa" w:w="7143"/>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9"/>
              </w:rPr>
              <w:t>按原始不等间隔时间处理；线性趋势的斜率单位为百分点/min。</w:t>
            </w:r>
          </w:p>
        </w:tc>
      </w:tr>
    </w:tbl>
    <w:p>
      <w:pPr>
        <w:spacing w:after="80" w:before="0" w:line="300" w:lineRule="auto"/>
        <w:ind w:firstLine="420"/>
      </w:pPr>
      <w:r>
        <w:rPr>
          <w:rFonts w:ascii="Noto Serif CJK SC" w:hAnsi="Noto Serif CJK SC" w:eastAsia="Noto Serif CJK SC"/>
          <w:sz w:val="21"/>
        </w:rPr>
        <w:t>设置依据：参数复杂度与单组5-7个有效温度观测相匹配；缩放只改变参数表示，不改变一次/二次模型的预测空间。</w:t>
      </w:r>
    </w:p>
    <w:p>
      <w:pPr>
        <w:keepNext/>
        <w:spacing w:before="200" w:after="100"/>
      </w:pPr>
      <w:r>
        <w:rPr>
          <w:rFonts w:ascii="Noto Sans CJK SC" w:hAnsi="Noto Sans CJK SC" w:eastAsia="Noto Sans CJK SC"/>
          <w:b/>
          <w:color w:val="1F4E79"/>
          <w:sz w:val="26"/>
        </w:rPr>
        <w:t>10. 正确性检查</w:t>
      </w:r>
    </w:p>
    <w:p>
      <w:pPr>
        <w:pStyle w:val="ListBullet"/>
        <w:spacing w:after="50" w:line="283" w:lineRule="auto"/>
      </w:pPr>
      <w:r>
        <w:rPr>
          <w:rFonts w:ascii="Noto Serif CJK SC" w:hAnsi="Noto Serif CJK SC" w:eastAsia="Noto Serif CJK SC"/>
          <w:sz w:val="20"/>
        </w:rPr>
        <w:t>结果范围：XEtOH、SC4、YC4均按0-100%百分数尺度；C4收率必须使用 YC4=XEtOH×SC4/100，不能漏除100。</w:t>
      </w:r>
    </w:p>
    <w:p>
      <w:pPr>
        <w:pStyle w:val="ListBullet"/>
        <w:spacing w:after="50" w:line="283" w:lineRule="auto"/>
      </w:pPr>
      <w:r>
        <w:rPr>
          <w:rFonts w:ascii="Noto Serif CJK SC" w:hAnsi="Noto Serif CJK SC" w:eastAsia="Noto Serif CJK SC"/>
          <w:sz w:val="20"/>
        </w:rPr>
        <w:t>人工核算样本：附件2在20 min时，YC4=43.5474×39.90/100=17.3754%，与程序计算一致。</w:t>
      </w:r>
    </w:p>
    <w:p>
      <w:pPr>
        <w:pStyle w:val="ListBullet"/>
        <w:spacing w:after="50" w:line="283" w:lineRule="auto"/>
      </w:pPr>
      <w:r>
        <w:rPr>
          <w:rFonts w:ascii="Noto Serif CJK SC" w:hAnsi="Noto Serif CJK SC" w:eastAsia="Noto Serif CJK SC"/>
          <w:sz w:val="20"/>
        </w:rPr>
        <w:t>方法对照：同一条关系同时拟合一次与二次模型；训练R²与LOOCV方向不一致时，不以训练拟合优度单独裁决。</w:t>
      </w:r>
    </w:p>
    <w:p>
      <w:pPr>
        <w:pStyle w:val="ListBullet"/>
        <w:spacing w:after="50" w:line="283" w:lineRule="auto"/>
      </w:pPr>
      <w:r>
        <w:rPr>
          <w:rFonts w:ascii="Noto Serif CJK SC" w:hAnsi="Noto Serif CJK SC" w:eastAsia="Noto Serif CJK SC"/>
          <w:sz w:val="20"/>
        </w:rPr>
        <w:t>敏感性分析：保存逐点LOO误差；对A3高温端、A6选择性、A11转化率等争议关系重点检查单点影响。</w:t>
      </w:r>
    </w:p>
    <w:p>
      <w:pPr>
        <w:pStyle w:val="ListBullet"/>
        <w:spacing w:after="50" w:line="283" w:lineRule="auto"/>
      </w:pPr>
      <w:r>
        <w:rPr>
          <w:rFonts w:ascii="Noto Serif CJK SC" w:hAnsi="Noto Serif CJK SC" w:eastAsia="Noto Serif CJK SC"/>
          <w:sz w:val="20"/>
        </w:rPr>
        <w:t>物理检查：A11乙醇转化率的普通二次拟合虽LOOCV优于线性，但在部分低温区间产生轻微负预测，因此本交接单不强定其具体低阶函数形式。B3转化率二次曲线低温端接近0边界，标记为谨慎使用。</w:t>
      </w:r>
    </w:p>
    <w:p>
      <w:pPr>
        <w:pStyle w:val="ListBullet"/>
        <w:spacing w:after="50" w:line="283" w:lineRule="auto"/>
      </w:pPr>
      <w:r>
        <w:rPr>
          <w:rFonts w:ascii="Noto Serif CJK SC" w:hAnsi="Noto Serif CJK SC" w:eastAsia="Noto Serif CJK SC"/>
          <w:sz w:val="20"/>
        </w:rPr>
        <w:t>边界解释：问题1不把二次顶点解释为“最佳温度”；观测最高点、拟合曲线极值与真实工艺最优温度严格区分。</w:t>
      </w:r>
    </w:p>
    <w:p>
      <w:pPr>
        <w:keepNext/>
        <w:spacing w:before="200" w:after="100"/>
      </w:pPr>
      <w:r>
        <w:rPr>
          <w:rFonts w:ascii="Noto Sans CJK SC" w:hAnsi="Noto Sans CJK SC" w:eastAsia="Noto Sans CJK SC"/>
          <w:b/>
          <w:color w:val="1F4E79"/>
          <w:sz w:val="26"/>
        </w:rPr>
        <w:t>11. 论文解释：最终结果可能说明什么？</w:t>
      </w:r>
    </w:p>
    <w:p>
      <w:pPr>
        <w:keepNext/>
        <w:spacing w:before="120" w:after="60"/>
      </w:pPr>
      <w:r>
        <w:rPr>
          <w:rFonts w:ascii="Noto Sans CJK SC" w:hAnsi="Noto Sans CJK SC" w:eastAsia="Noto Sans CJK SC"/>
          <w:b/>
          <w:color w:val="262626"/>
          <w:sz w:val="22"/>
        </w:rPr>
        <w:t>11.1 附件1主要结论</w:t>
      </w:r>
    </w:p>
    <w:p>
      <w:pPr>
        <w:spacing w:after="80" w:before="0" w:line="300" w:lineRule="auto"/>
        <w:ind w:firstLine="420"/>
      </w:pPr>
      <w:r>
        <w:rPr>
          <w:rFonts w:ascii="Noto Serif CJK SC" w:hAnsi="Noto Serif CJK SC" w:eastAsia="Noto Serif CJK SC"/>
          <w:sz w:val="21"/>
        </w:rPr>
        <w:t>在21种催化剂组合中，所有组合的乙醇转化率从各自最低实测温度到最高实测温度均总体提高，其中 19 组在全部记录温度点上逐点增加；A5、A6在低温段各出现一次小幅回落后继续上升。由此可在问题1层面表述为“乙醇转化率随温度升高总体呈明显上升趋势”，但不把这一结果进一步归因于Co负载量、装料比或装料方式。</w:t>
      </w:r>
    </w:p>
    <w:p>
      <w:pPr>
        <w:spacing w:after="80" w:before="0" w:line="300" w:lineRule="auto"/>
        <w:ind w:firstLine="420"/>
      </w:pPr>
      <w:r>
        <w:rPr>
          <w:rFonts w:ascii="Noto Serif CJK SC" w:hAnsi="Noto Serif CJK SC" w:eastAsia="Noto Serif CJK SC"/>
          <w:sz w:val="21"/>
        </w:rPr>
        <w:t>C4烯烃选择性的温度响应更具组合差异：15 组在全部记录温度点上逐点增加，其余组合存在局部回落或平台迹象。例如A1在325°C的实测SC4为49.70%，350°C降至47.21%；A3在400°C达到53.43%，450°C降至49.90%。这些是离散实验点上的观测事实，不据此给出精确真实峰值温度。</w:t>
      </w:r>
    </w:p>
    <w:p>
      <w:pPr>
        <w:spacing w:after="80" w:before="0" w:line="300" w:lineRule="auto"/>
        <w:ind w:firstLine="420"/>
      </w:pPr>
      <w:r>
        <w:rPr>
          <w:rFonts w:ascii="Noto Serif CJK SC" w:hAnsi="Noto Serif CJK SC" w:eastAsia="Noto Serif CJK SC"/>
          <w:sz w:val="21"/>
        </w:rPr>
        <w:t>模型层面的结论应写成“线性近似能够概括总体趋势”“保留二次项可更合理描述当前温区内的曲率”或“现有数据不足以稳定识别具体低阶函数形式”，不要写成“真实反应服从二次函数”。模型推荐的详细结果见附录A、B。</w:t>
      </w:r>
    </w:p>
    <w:p>
      <w:pPr>
        <w:keepNext/>
        <w:spacing w:before="120" w:after="60"/>
      </w:pPr>
      <w:r>
        <w:rPr>
          <w:rFonts w:ascii="Noto Sans CJK SC" w:hAnsi="Noto Sans CJK SC" w:eastAsia="Noto Sans CJK SC"/>
          <w:b/>
          <w:color w:val="262626"/>
          <w:sz w:val="22"/>
        </w:rPr>
        <w:t>11.2 附件2主要结论</w:t>
      </w:r>
    </w:p>
    <w:p>
      <w:pPr>
        <w:spacing w:after="80" w:before="0" w:line="300" w:lineRule="auto"/>
        <w:ind w:firstLine="420"/>
      </w:pPr>
      <w:r>
        <w:rPr>
          <w:rFonts w:ascii="Noto Serif CJK SC" w:hAnsi="Noto Serif CJK SC" w:eastAsia="Noto Serif CJK SC"/>
          <w:sz w:val="21"/>
        </w:rPr>
        <w:t>附件2的乙醇转化率由20 min时的43.5474%下降至273 min时的29.9060%，总体呈下降；简单线性趋势为 XEtOH(t)=42.6709-0.05276t，R²=0.9329，LOOCV RMSE=2.025百分点，仅用于当前观测区间的平均衰减量化，不用于长期预测。</w:t>
      </w:r>
    </w:p>
    <w:p>
      <w:pPr>
        <w:spacing w:after="80" w:before="0" w:line="300" w:lineRule="auto"/>
        <w:ind w:firstLine="420"/>
      </w:pPr>
      <w:r>
        <w:rPr>
          <w:rFonts w:ascii="Noto Serif CJK SC" w:hAnsi="Noto Serif CJK SC" w:eastAsia="Noto Serif CJK SC"/>
          <w:sz w:val="21"/>
        </w:rPr>
        <w:t>C4烯烃选择性在36.72%-40.32%范围内波动，未表现出与转化率相同的持续单调下降，因此不直接表述为“选择性稳定”，也不据此证明催化剂失活机理。</w:t>
      </w:r>
    </w:p>
    <w:p>
      <w:pPr>
        <w:spacing w:after="80" w:before="0" w:line="300" w:lineRule="auto"/>
        <w:ind w:firstLine="420"/>
      </w:pPr>
      <w:r>
        <w:rPr>
          <w:rFonts w:ascii="Noto Serif CJK SC" w:hAnsi="Noto Serif CJK SC" w:eastAsia="Noto Serif CJK SC"/>
          <w:sz w:val="21"/>
        </w:rPr>
        <w:t>由YC4=XEtOH×SC4/100得到7个观测时刻的C4烯烃收率依次为17.3754%、14.5673%、13.4235%、12.9350%、12.3543%、12.0372%、11.6753%，在给出的7个离散观测时刻上逐点下降。相邻区间的转化率下降速度存在波动，20-70 min的下降速度最大；240-273 min在原始精度下略有回升（约0.00157个百分点/min），因此不能声称连续时间上的衰减速度单调减小或系统已经达到稳定平台。</w:t>
      </w:r>
    </w:p>
    <w:p>
      <w:pPr>
        <w:spacing w:after="80" w:before="0" w:line="300" w:lineRule="auto"/>
        <w:ind w:firstLine="420"/>
      </w:pPr>
      <w:r>
        <w:rPr>
          <w:rFonts w:ascii="Noto Serif CJK SC" w:hAnsi="Noto Serif CJK SC" w:eastAsia="Noto Serif CJK SC"/>
          <w:sz w:val="21"/>
        </w:rPr>
        <w:t>附件2中C4-12脂肪醇选择性总体由39.70%降至30.86%，乙醛选择性由5.17%升至8.79%，可作为“产物组成随时间发生重新分配”的补充证据；由于选择性属于组成数据，不进一步把其变化解释成独立生成速率或具体反应机理。</w:t>
      </w:r>
    </w:p>
    <w:p>
      <w:r>
        <w:rPr>
          <w:rFonts w:ascii="Noto Sans CJK SC" w:hAnsi="Noto Sans CJK SC" w:eastAsia="Noto Sans CJK SC"/>
          <w:b/>
          <w:color w:val="1F4E79"/>
          <w:sz w:val="30"/>
        </w:rPr>
        <w:t>附录A  附件1模型比较与推荐描述</w:t>
      </w:r>
    </w:p>
    <w:p>
      <w:pPr>
        <w:spacing w:after="80" w:before="0" w:line="300" w:lineRule="auto"/>
      </w:pPr>
      <w:r>
        <w:rPr>
          <w:rFonts w:ascii="Noto Serif CJK SC" w:hAnsi="Noto Serif CJK SC" w:eastAsia="Noto Serif CJK SC"/>
          <w:sz w:val="21"/>
        </w:rPr>
        <w:t>说明：RMSE_LOO单位均为百分点。推荐描述基于原始散点、LOOCV与物理合理性综合判断，不构成“响应类型分类算法”，也不用于统计意义上的强假设检验。</w:t>
      </w:r>
    </w:p>
    <w:p>
      <w:pPr>
        <w:keepNext/>
        <w:spacing w:before="120" w:after="60"/>
      </w:pPr>
      <w:r>
        <w:rPr>
          <w:rFonts w:ascii="Noto Sans CJK SC" w:hAnsi="Noto Sans CJK SC" w:eastAsia="Noto Sans CJK SC"/>
          <w:b/>
          <w:color w:val="262626"/>
          <w:sz w:val="22"/>
        </w:rPr>
        <w:t>A.1 乙醇转化率 XEtOH</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cantSplit/>
          <w:tblHeader w:val="true"/>
        </w:trPr>
        <w:tc>
          <w:tcPr>
            <w:tcW w:type="dxa" w:w="737"/>
            <w:vAlign w:val="center"/>
            <w:tcMar>
              <w:top w:w="90" w:type="dxa"/>
              <w:start w:w="100" w:type="dxa"/>
              <w:bottom w:w="90" w:type="dxa"/>
              <w:end w:w="100" w:type="dxa"/>
            </w:tcMar>
            <w:shd w:fill="D9EAF7"/>
          </w:tcPr>
          <w:p>
            <w:pPr>
              <w:spacing w:after="0" w:before="0" w:line="252" w:lineRule="auto"/>
              <w:jc w:val="center"/>
            </w:pPr>
            <w:r>
              <w:rPr>
                <w:rFonts w:ascii="Noto Sans CJK SC" w:hAnsi="Noto Sans CJK SC" w:eastAsia="Noto Sans CJK SC"/>
                <w:b/>
                <w:sz w:val="15"/>
              </w:rPr>
              <w:t>组合</w:t>
            </w:r>
          </w:p>
        </w:tc>
        <w:tc>
          <w:tcPr>
            <w:tcW w:type="dxa" w:w="1134"/>
            <w:vAlign w:val="center"/>
            <w:tcMar>
              <w:top w:w="90" w:type="dxa"/>
              <w:start w:w="100" w:type="dxa"/>
              <w:bottom w:w="90" w:type="dxa"/>
              <w:end w:w="100" w:type="dxa"/>
            </w:tcMar>
            <w:shd w:fill="D9EAF7"/>
          </w:tcPr>
          <w:p>
            <w:pPr>
              <w:spacing w:after="0" w:before="0" w:line="252" w:lineRule="auto"/>
              <w:jc w:val="center"/>
            </w:pPr>
            <w:r>
              <w:rPr>
                <w:rFonts w:ascii="Noto Sans CJK SC" w:hAnsi="Noto Sans CJK SC" w:eastAsia="Noto Sans CJK SC"/>
                <w:b/>
                <w:sz w:val="15"/>
              </w:rPr>
              <w:t>一次LOO</w:t>
            </w:r>
          </w:p>
        </w:tc>
        <w:tc>
          <w:tcPr>
            <w:tcW w:type="dxa" w:w="1134"/>
            <w:vAlign w:val="center"/>
            <w:tcMar>
              <w:top w:w="90" w:type="dxa"/>
              <w:start w:w="100" w:type="dxa"/>
              <w:bottom w:w="90" w:type="dxa"/>
              <w:end w:w="100" w:type="dxa"/>
            </w:tcMar>
            <w:shd w:fill="D9EAF7"/>
          </w:tcPr>
          <w:p>
            <w:pPr>
              <w:spacing w:after="0" w:before="0" w:line="252" w:lineRule="auto"/>
              <w:jc w:val="center"/>
            </w:pPr>
            <w:r>
              <w:rPr>
                <w:rFonts w:ascii="Noto Sans CJK SC" w:hAnsi="Noto Sans CJK SC" w:eastAsia="Noto Sans CJK SC"/>
                <w:b/>
                <w:sz w:val="15"/>
              </w:rPr>
              <w:t>二次LOO</w:t>
            </w:r>
          </w:p>
        </w:tc>
        <w:tc>
          <w:tcPr>
            <w:tcW w:type="dxa" w:w="1701"/>
            <w:vAlign w:val="center"/>
            <w:tcMar>
              <w:top w:w="90" w:type="dxa"/>
              <w:start w:w="100" w:type="dxa"/>
              <w:bottom w:w="90" w:type="dxa"/>
              <w:end w:w="100" w:type="dxa"/>
            </w:tcMar>
            <w:shd w:fill="D9EAF7"/>
          </w:tcPr>
          <w:p>
            <w:pPr>
              <w:spacing w:after="0" w:before="0" w:line="252" w:lineRule="auto"/>
              <w:jc w:val="center"/>
            </w:pPr>
            <w:r>
              <w:rPr>
                <w:rFonts w:ascii="Noto Sans CJK SC" w:hAnsi="Noto Sans CJK SC" w:eastAsia="Noto Sans CJK SC"/>
                <w:b/>
                <w:sz w:val="15"/>
              </w:rPr>
              <w:t>推荐描述</w:t>
            </w:r>
          </w:p>
        </w:tc>
        <w:tc>
          <w:tcPr>
            <w:tcW w:type="dxa" w:w="3969"/>
            <w:vAlign w:val="center"/>
            <w:tcMar>
              <w:top w:w="90" w:type="dxa"/>
              <w:start w:w="100" w:type="dxa"/>
              <w:bottom w:w="90" w:type="dxa"/>
              <w:end w:w="100" w:type="dxa"/>
            </w:tcMar>
            <w:shd w:fill="D9EAF7"/>
          </w:tcPr>
          <w:p>
            <w:pPr>
              <w:spacing w:after="0" w:before="0" w:line="252" w:lineRule="auto"/>
              <w:jc w:val="left"/>
            </w:pPr>
            <w:r>
              <w:rPr>
                <w:rFonts w:ascii="Noto Sans CJK SC" w:hAnsi="Noto Sans CJK SC" w:eastAsia="Noto Sans CJK SC"/>
                <w:b/>
                <w:sz w:val="15"/>
              </w:rPr>
              <w:t>主要依据</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A1</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6.535</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5.292</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二次</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总体上升且增幅扩大；二次LOOCV较低</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A2</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3.970</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9.006</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线性</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持续上升，线性LOOCV明显更低</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A3</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8.693</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15.546</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线性（总体）</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总体上升；400-450°C增幅明显缩小，二次LOOCV不稳定，高温趋缓单独描述</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A4</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3.263</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7.027</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线性</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持续上升，线性LOOCV更低且拟合已较好</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A5</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15.654</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4.332</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二次</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275°C短暂下降后明显加速上升；二次LOOCV显著改善</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A6</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9.080</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14.628</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线性（总体）</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275°C轻微下降后快速上升；二次LOOCV更差，局部非线性不作强识别</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A7</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1.401</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0.855</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线性</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持续近似均匀上升；两模型均好，优先线性</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A8</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8.300</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2.625</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二次</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持续上升且高温段增幅扩大；二次LOOCV显著改善</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A9</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12.540</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6.908</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二次</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持续上升并在高温段明显加速；二次LOOCV改善</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A10</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9.041</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3.894</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二次</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低温响应接近0，高温快速上升；二次LOOCV明显改善且区间预测非负</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A11</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11.712</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6.722</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低阶模型均仅粗略</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总体加速上升；二次LOOCV较好但区间内出现轻微负预测，线性低温端亦越界</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A12</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9.410</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2.321</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二次</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持续加速上升；二次LOOCV显著改善</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A13</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11.234</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4.105</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二次</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持续加速上升；二次LOOCV显著改善</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A14</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11.035</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4.755</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二次</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持续加速上升；二次LOOCV明显改善</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B1</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9.337</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2.513</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二次</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持续加速上升；二次LOOCV显著改善</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B2</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12.876</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7.069</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二次</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持续上升且高温段加速；二次LOOCV改善</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B3</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6.744</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3.054</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二次（谨慎）</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持续加速上升；二次LOOCV改善，但低温段拟合接近0边界</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B4</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10.181</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5.871</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二次</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持续加速上升；二次LOOCV改善</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B5</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12.207</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6.211</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二次</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持续加速上升；二次LOOCV改善</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B6</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13.773</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7.948</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二次</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持续上升，高温段增幅扩大；二次LOOCV改善</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B7</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15.620</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5.171</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二次</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持续加速上升；二次LOOCV显著改善</w:t>
            </w:r>
          </w:p>
        </w:tc>
      </w:tr>
    </w:tbl>
    <w:p>
      <w:pPr>
        <w:keepNext/>
        <w:spacing w:before="120" w:after="60"/>
      </w:pPr>
      <w:r>
        <w:rPr>
          <w:rFonts w:ascii="Noto Sans CJK SC" w:hAnsi="Noto Sans CJK SC" w:eastAsia="Noto Sans CJK SC"/>
          <w:b/>
          <w:color w:val="262626"/>
          <w:sz w:val="22"/>
        </w:rPr>
        <w:t>A.2 C4烯烃选择性 SC4</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cantSplit/>
          <w:tblHeader w:val="true"/>
        </w:trPr>
        <w:tc>
          <w:tcPr>
            <w:tcW w:type="dxa" w:w="737"/>
            <w:vAlign w:val="center"/>
            <w:tcMar>
              <w:top w:w="90" w:type="dxa"/>
              <w:start w:w="100" w:type="dxa"/>
              <w:bottom w:w="90" w:type="dxa"/>
              <w:end w:w="100" w:type="dxa"/>
            </w:tcMar>
            <w:shd w:fill="D9EAF7"/>
          </w:tcPr>
          <w:p>
            <w:pPr>
              <w:spacing w:after="0" w:before="0" w:line="252" w:lineRule="auto"/>
              <w:jc w:val="center"/>
            </w:pPr>
            <w:r>
              <w:rPr>
                <w:rFonts w:ascii="Noto Sans CJK SC" w:hAnsi="Noto Sans CJK SC" w:eastAsia="Noto Sans CJK SC"/>
                <w:b/>
                <w:sz w:val="15"/>
              </w:rPr>
              <w:t>组合</w:t>
            </w:r>
          </w:p>
        </w:tc>
        <w:tc>
          <w:tcPr>
            <w:tcW w:type="dxa" w:w="1134"/>
            <w:vAlign w:val="center"/>
            <w:tcMar>
              <w:top w:w="90" w:type="dxa"/>
              <w:start w:w="100" w:type="dxa"/>
              <w:bottom w:w="90" w:type="dxa"/>
              <w:end w:w="100" w:type="dxa"/>
            </w:tcMar>
            <w:shd w:fill="D9EAF7"/>
          </w:tcPr>
          <w:p>
            <w:pPr>
              <w:spacing w:after="0" w:before="0" w:line="252" w:lineRule="auto"/>
              <w:jc w:val="center"/>
            </w:pPr>
            <w:r>
              <w:rPr>
                <w:rFonts w:ascii="Noto Sans CJK SC" w:hAnsi="Noto Sans CJK SC" w:eastAsia="Noto Sans CJK SC"/>
                <w:b/>
                <w:sz w:val="15"/>
              </w:rPr>
              <w:t>一次LOO</w:t>
            </w:r>
          </w:p>
        </w:tc>
        <w:tc>
          <w:tcPr>
            <w:tcW w:type="dxa" w:w="1134"/>
            <w:vAlign w:val="center"/>
            <w:tcMar>
              <w:top w:w="90" w:type="dxa"/>
              <w:start w:w="100" w:type="dxa"/>
              <w:bottom w:w="90" w:type="dxa"/>
              <w:end w:w="100" w:type="dxa"/>
            </w:tcMar>
            <w:shd w:fill="D9EAF7"/>
          </w:tcPr>
          <w:p>
            <w:pPr>
              <w:spacing w:after="0" w:before="0" w:line="252" w:lineRule="auto"/>
              <w:jc w:val="center"/>
            </w:pPr>
            <w:r>
              <w:rPr>
                <w:rFonts w:ascii="Noto Sans CJK SC" w:hAnsi="Noto Sans CJK SC" w:eastAsia="Noto Sans CJK SC"/>
                <w:b/>
                <w:sz w:val="15"/>
              </w:rPr>
              <w:t>二次LOO</w:t>
            </w:r>
          </w:p>
        </w:tc>
        <w:tc>
          <w:tcPr>
            <w:tcW w:type="dxa" w:w="1701"/>
            <w:vAlign w:val="center"/>
            <w:tcMar>
              <w:top w:w="90" w:type="dxa"/>
              <w:start w:w="100" w:type="dxa"/>
              <w:bottom w:w="90" w:type="dxa"/>
              <w:end w:w="100" w:type="dxa"/>
            </w:tcMar>
            <w:shd w:fill="D9EAF7"/>
          </w:tcPr>
          <w:p>
            <w:pPr>
              <w:spacing w:after="0" w:before="0" w:line="252" w:lineRule="auto"/>
              <w:jc w:val="center"/>
            </w:pPr>
            <w:r>
              <w:rPr>
                <w:rFonts w:ascii="Noto Sans CJK SC" w:hAnsi="Noto Sans CJK SC" w:eastAsia="Noto Sans CJK SC"/>
                <w:b/>
                <w:sz w:val="15"/>
              </w:rPr>
              <w:t>推荐描述</w:t>
            </w:r>
          </w:p>
        </w:tc>
        <w:tc>
          <w:tcPr>
            <w:tcW w:type="dxa" w:w="3969"/>
            <w:vAlign w:val="center"/>
            <w:tcMar>
              <w:top w:w="90" w:type="dxa"/>
              <w:start w:w="100" w:type="dxa"/>
              <w:bottom w:w="90" w:type="dxa"/>
              <w:end w:w="100" w:type="dxa"/>
            </w:tcMar>
            <w:shd w:fill="D9EAF7"/>
          </w:tcPr>
          <w:p>
            <w:pPr>
              <w:spacing w:after="0" w:before="0" w:line="252" w:lineRule="auto"/>
              <w:jc w:val="left"/>
            </w:pPr>
            <w:r>
              <w:rPr>
                <w:rFonts w:ascii="Noto Sans CJK SC" w:hAnsi="Noto Sans CJK SC" w:eastAsia="Noto Sans CJK SC"/>
                <w:b/>
                <w:sz w:val="15"/>
              </w:rPr>
              <w:t>主要依据</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A1</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5.215</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6.930</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线性（总体）</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总体上升，但325°C实测最高后回落；二次LOOCV变差，局部回落直接报告</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A2</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6.697</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3.918</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二次</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低温小幅回落后加速上升，二次LOOCV明显改善</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A3</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9.439</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11.727</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线性（总体）</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总体上升至400°C后450°C回落；二次LOOCV变差，端部回落直接报告</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A4</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5.932</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7.852</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线性（总体）</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低温略降后总体上升；二次LOOCV变差</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A5</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5.754</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5.143</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线性</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持续上升；二次LOOCV仅小幅改善，优先简洁模型</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A6</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12.499</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13.752</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低阶模型均仅粗略</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总体上升且400°C跃升明显；二次虽提高训练拟合但LOOCV更差</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A7</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5.524</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0.906</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二次</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随温度升高增幅扩大；二次LOOCV显著改善</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A8</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3.640</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0.932</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二次</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持续上升且呈明显加速；二次LOOCV显著改善</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A9</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1.601</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4.689</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线性</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持续上升且近似线性；线性LOOCV显著更低</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A10</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3.643</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2.152</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二次</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275°C小幅回落后加速上升；二次LOOCV改善</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A11</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0.902</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0.256</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二次</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持续上升且曲率明显；二次LOOCV显著改善</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A12</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4.278</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1.425</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二次</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持续加速上升；二次LOOCV显著改善</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A13</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2.602</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5.691</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线性</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总体持续上升；线性LOOCV明显更低</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A14</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4.647</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0.422</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二次</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持续加速上升；二次LOOCV显著改善</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B1</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4.399</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3.341</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二次</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持续上升并有一定加速；二次LOOCV较低</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B2</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4.726</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3.035</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二次</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持续上升且有曲率；二次LOOCV改善</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B3</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2.398</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1.633</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二次</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总体上升；二次LOOCV改善</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B4</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4.583</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3.061</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二次</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300°C局部下降后上升；二次LOOCV改善</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B5</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3.108</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0.860</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二次</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持续上升且二次LOOCV显著改善</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B6</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2.778</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7.145</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线性</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总体持续上升；二次LOOCV明显变差</w:t>
            </w:r>
          </w:p>
        </w:tc>
      </w:tr>
      <w:tr>
        <w:trPr>
          <w:cantSplit/>
        </w:trPr>
        <w:tc>
          <w:tcPr>
            <w:tcW w:type="dxa" w:w="73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B7</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2.309</w:t>
            </w:r>
          </w:p>
        </w:tc>
        <w:tc>
          <w:tcPr>
            <w:tcW w:type="dxa" w:w="113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2.262</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5"/>
              </w:rPr>
              <w:t>线性</w:t>
            </w:r>
          </w:p>
        </w:tc>
        <w:tc>
          <w:tcPr>
            <w:tcW w:type="dxa" w:w="3969"/>
            <w:vAlign w:val="center"/>
            <w:tcMar>
              <w:top w:w="90" w:type="dxa"/>
              <w:start w:w="100" w:type="dxa"/>
              <w:bottom w:w="90" w:type="dxa"/>
              <w:end w:w="100" w:type="dxa"/>
            </w:tcMar>
          </w:tcPr>
          <w:p>
            <w:pPr>
              <w:spacing w:after="0" w:before="0" w:line="252" w:lineRule="auto"/>
              <w:jc w:val="left"/>
            </w:pPr>
            <w:r>
              <w:rPr>
                <w:rFonts w:ascii="Noto Serif CJK SC" w:hAnsi="Noto Serif CJK SC" w:eastAsia="Noto Serif CJK SC"/>
                <w:b w:val="0"/>
                <w:sz w:val="15"/>
              </w:rPr>
              <w:t>持续上升且近似线性；两者LOOCV几乎相同，优先线性</w:t>
            </w:r>
          </w:p>
        </w:tc>
      </w:tr>
    </w:tbl>
    <w:p>
      <w:pPr>
        <w:sectPr>
          <w:footerReference w:type="default" r:id="rId9"/>
          <w:pgSz w:w="11906" w:h="16838"/>
          <w:pgMar w:top="1077" w:right="1247" w:bottom="1020" w:left="1247" w:header="720" w:footer="720" w:gutter="0"/>
          <w:cols w:space="720"/>
          <w:docGrid w:linePitch="360"/>
        </w:sectPr>
      </w:pPr>
    </w:p>
    <w:p>
      <w:r>
        <w:rPr>
          <w:rFonts w:ascii="Noto Sans CJK SC" w:hAnsi="Noto Sans CJK SC" w:eastAsia="Noto Sans CJK SC"/>
          <w:b/>
          <w:color w:val="1F4E79"/>
          <w:sz w:val="30"/>
        </w:rPr>
        <w:t>附录B  推荐经验模型系数</w:t>
      </w:r>
    </w:p>
    <w:p>
      <w:pPr>
        <w:spacing w:after="80" w:before="0" w:line="300" w:lineRule="auto"/>
      </w:pPr>
      <w:r>
        <w:rPr>
          <w:rFonts w:ascii="Noto Serif CJK SC" w:hAnsi="Noto Serif CJK SC" w:eastAsia="Noto Serif CJK SC"/>
          <w:sz w:val="21"/>
        </w:rPr>
        <w:t>统一变量 u=(T-Tc)/50。一次模型为 R=β0+β1u；二次模型为 R=β0+β1u+β2u²。标记“低阶模型均仅粗略”的关系不强行给出最终系数。</w:t>
      </w:r>
    </w:p>
    <w:p>
      <w:pPr>
        <w:keepNext/>
        <w:spacing w:before="120" w:after="60"/>
      </w:pPr>
      <w:r>
        <w:rPr>
          <w:rFonts w:ascii="Noto Sans CJK SC" w:hAnsi="Noto Sans CJK SC" w:eastAsia="Noto Sans CJK SC"/>
          <w:b/>
          <w:color w:val="262626"/>
          <w:sz w:val="22"/>
        </w:rPr>
        <w:t>B.1 乙醇转化率 XEtOH</w:t>
      </w:r>
    </w:p>
    <w:tbl>
      <w:tblPr>
        <w:tblStyle w:val="TableGrid"/>
        <w:tblW w:type="auto" w:w="0"/>
        <w:jc w:val="center"/>
        <w:tblLayout w:type="fixed"/>
        <w:tblLook w:firstColumn="1" w:firstRow="1" w:lastColumn="0" w:lastRow="0" w:noHBand="0" w:noVBand="1" w:val="04A0"/>
      </w:tblPr>
      <w:tblGrid>
        <w:gridCol w:w="1892"/>
        <w:gridCol w:w="1892"/>
        <w:gridCol w:w="1892"/>
        <w:gridCol w:w="1892"/>
        <w:gridCol w:w="1892"/>
        <w:gridCol w:w="1892"/>
        <w:gridCol w:w="1892"/>
        <w:gridCol w:w="1892"/>
      </w:tblGrid>
      <w:tr>
        <w:trPr>
          <w:cantSplit/>
          <w:tblHeader w:val="true"/>
        </w:trPr>
        <w:tc>
          <w:tcPr>
            <w:tcW w:type="dxa" w:w="1892"/>
            <w:vAlign w:val="center"/>
            <w:tcMar>
              <w:top w:w="25" w:type="dxa"/>
              <w:start w:w="55" w:type="dxa"/>
              <w:bottom w:w="25" w:type="dxa"/>
              <w:end w:w="55" w:type="dxa"/>
            </w:tcMar>
            <w:shd w:fill="D9EAF7"/>
          </w:tcPr>
          <w:p>
            <w:pPr>
              <w:spacing w:after="0" w:before="0" w:line="228" w:lineRule="auto"/>
              <w:jc w:val="center"/>
            </w:pPr>
            <w:r>
              <w:rPr>
                <w:rFonts w:ascii="Noto Sans CJK SC" w:hAnsi="Noto Sans CJK SC" w:eastAsia="Noto Sans CJK SC"/>
                <w:b/>
                <w:sz w:val="13"/>
              </w:rPr>
              <w:t>组合</w:t>
            </w:r>
          </w:p>
        </w:tc>
        <w:tc>
          <w:tcPr>
            <w:tcW w:type="dxa" w:w="1892"/>
            <w:vAlign w:val="center"/>
            <w:tcMar>
              <w:top w:w="25" w:type="dxa"/>
              <w:start w:w="55" w:type="dxa"/>
              <w:bottom w:w="25" w:type="dxa"/>
              <w:end w:w="55" w:type="dxa"/>
            </w:tcMar>
            <w:shd w:fill="D9EAF7"/>
          </w:tcPr>
          <w:p>
            <w:pPr>
              <w:spacing w:after="0" w:before="0" w:line="228" w:lineRule="auto"/>
              <w:jc w:val="center"/>
            </w:pPr>
            <w:r>
              <w:rPr>
                <w:rFonts w:ascii="Noto Sans CJK SC" w:hAnsi="Noto Sans CJK SC" w:eastAsia="Noto Sans CJK SC"/>
                <w:b/>
                <w:sz w:val="13"/>
              </w:rPr>
              <w:t>Tc/°C</w:t>
            </w:r>
          </w:p>
        </w:tc>
        <w:tc>
          <w:tcPr>
            <w:tcW w:type="dxa" w:w="1892"/>
            <w:vAlign w:val="center"/>
            <w:tcMar>
              <w:top w:w="25" w:type="dxa"/>
              <w:start w:w="55" w:type="dxa"/>
              <w:bottom w:w="25" w:type="dxa"/>
              <w:end w:w="55" w:type="dxa"/>
            </w:tcMar>
            <w:shd w:fill="D9EAF7"/>
          </w:tcPr>
          <w:p>
            <w:pPr>
              <w:spacing w:after="0" w:before="0" w:line="228" w:lineRule="auto"/>
              <w:jc w:val="center"/>
            </w:pPr>
            <w:r>
              <w:rPr>
                <w:rFonts w:ascii="Noto Sans CJK SC" w:hAnsi="Noto Sans CJK SC" w:eastAsia="Noto Sans CJK SC"/>
                <w:b/>
                <w:sz w:val="13"/>
              </w:rPr>
              <w:t>推荐</w:t>
            </w:r>
          </w:p>
        </w:tc>
        <w:tc>
          <w:tcPr>
            <w:tcW w:type="dxa" w:w="1892"/>
            <w:vAlign w:val="center"/>
            <w:tcMar>
              <w:top w:w="25" w:type="dxa"/>
              <w:start w:w="55" w:type="dxa"/>
              <w:bottom w:w="25" w:type="dxa"/>
              <w:end w:w="55" w:type="dxa"/>
            </w:tcMar>
            <w:shd w:fill="D9EAF7"/>
          </w:tcPr>
          <w:p>
            <w:pPr>
              <w:spacing w:after="0" w:before="0" w:line="228" w:lineRule="auto"/>
              <w:jc w:val="center"/>
            </w:pPr>
            <w:r>
              <w:rPr>
                <w:rFonts w:ascii="Noto Sans CJK SC" w:hAnsi="Noto Sans CJK SC" w:eastAsia="Noto Sans CJK SC"/>
                <w:b/>
                <w:sz w:val="13"/>
              </w:rPr>
              <w:t>β0</w:t>
            </w:r>
          </w:p>
        </w:tc>
        <w:tc>
          <w:tcPr>
            <w:tcW w:type="dxa" w:w="1892"/>
            <w:vAlign w:val="center"/>
            <w:tcMar>
              <w:top w:w="25" w:type="dxa"/>
              <w:start w:w="55" w:type="dxa"/>
              <w:bottom w:w="25" w:type="dxa"/>
              <w:end w:w="55" w:type="dxa"/>
            </w:tcMar>
            <w:shd w:fill="D9EAF7"/>
          </w:tcPr>
          <w:p>
            <w:pPr>
              <w:spacing w:after="0" w:before="0" w:line="228" w:lineRule="auto"/>
              <w:jc w:val="center"/>
            </w:pPr>
            <w:r>
              <w:rPr>
                <w:rFonts w:ascii="Noto Sans CJK SC" w:hAnsi="Noto Sans CJK SC" w:eastAsia="Noto Sans CJK SC"/>
                <w:b/>
                <w:sz w:val="13"/>
              </w:rPr>
              <w:t>β1</w:t>
            </w:r>
          </w:p>
        </w:tc>
        <w:tc>
          <w:tcPr>
            <w:tcW w:type="dxa" w:w="1892"/>
            <w:vAlign w:val="center"/>
            <w:tcMar>
              <w:top w:w="25" w:type="dxa"/>
              <w:start w:w="55" w:type="dxa"/>
              <w:bottom w:w="25" w:type="dxa"/>
              <w:end w:w="55" w:type="dxa"/>
            </w:tcMar>
            <w:shd w:fill="D9EAF7"/>
          </w:tcPr>
          <w:p>
            <w:pPr>
              <w:spacing w:after="0" w:before="0" w:line="228" w:lineRule="auto"/>
              <w:jc w:val="center"/>
            </w:pPr>
            <w:r>
              <w:rPr>
                <w:rFonts w:ascii="Noto Sans CJK SC" w:hAnsi="Noto Sans CJK SC" w:eastAsia="Noto Sans CJK SC"/>
                <w:b/>
                <w:sz w:val="13"/>
              </w:rPr>
              <w:t>β2</w:t>
            </w:r>
          </w:p>
        </w:tc>
        <w:tc>
          <w:tcPr>
            <w:tcW w:type="dxa" w:w="1892"/>
            <w:vAlign w:val="center"/>
            <w:tcMar>
              <w:top w:w="25" w:type="dxa"/>
              <w:start w:w="55" w:type="dxa"/>
              <w:bottom w:w="25" w:type="dxa"/>
              <w:end w:w="55" w:type="dxa"/>
            </w:tcMar>
            <w:shd w:fill="D9EAF7"/>
          </w:tcPr>
          <w:p>
            <w:pPr>
              <w:spacing w:after="0" w:before="0" w:line="228" w:lineRule="auto"/>
              <w:jc w:val="center"/>
            </w:pPr>
            <w:r>
              <w:rPr>
                <w:rFonts w:ascii="Noto Sans CJK SC" w:hAnsi="Noto Sans CJK SC" w:eastAsia="Noto Sans CJK SC"/>
                <w:b/>
                <w:sz w:val="13"/>
              </w:rPr>
              <w:t>R²</w:t>
            </w:r>
          </w:p>
        </w:tc>
        <w:tc>
          <w:tcPr>
            <w:tcW w:type="dxa" w:w="1892"/>
            <w:vAlign w:val="center"/>
            <w:tcMar>
              <w:top w:w="25" w:type="dxa"/>
              <w:start w:w="55" w:type="dxa"/>
              <w:bottom w:w="25" w:type="dxa"/>
              <w:end w:w="55" w:type="dxa"/>
            </w:tcMar>
            <w:shd w:fill="D9EAF7"/>
          </w:tcPr>
          <w:p>
            <w:pPr>
              <w:spacing w:after="0" w:before="0" w:line="228" w:lineRule="auto"/>
              <w:jc w:val="center"/>
            </w:pPr>
            <w:r>
              <w:rPr>
                <w:rFonts w:ascii="Noto Sans CJK SC" w:hAnsi="Noto Sans CJK SC" w:eastAsia="Noto Sans CJK SC"/>
                <w:b/>
                <w:sz w:val="13"/>
              </w:rPr>
              <w:t>LOO RMSE</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A1</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300</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二次</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12.6932</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16.6595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6.3616</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0.9797</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5.292</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A2</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300</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线性</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36.9965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33.1479</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0.9900</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3.970</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A3</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350</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线性（总体）</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50.9646</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20.9782</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0.9643</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8.693</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A4</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线性</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44.4855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29.0856</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0.9950</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3.263</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A5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二次</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26.9427</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20.3931</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7.9895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0.9940</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4.332</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A6</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线性（总体）</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43.1658</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25.0767</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0.9674</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9.080</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A7</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线性</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48.4390</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18.8768</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0.9988</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1.401</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A8</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二次</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21.3221</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16.8308</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4.3773</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0.9990</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2.625</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A9</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二次</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7.9172</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12.2447</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6.1056</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0.9903</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6.908</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A10</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二次</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4.5415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9.0158</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4.4902</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0.9940</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3.894</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A11</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低阶模型均仅粗略</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A12</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二次</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12.3726</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14.1326</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4.7578</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0.9991</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2.321</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A13</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二次</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8.2405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12.4809</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5.6139</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0.9965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4.105</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A14</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二次</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15.9136</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16.6078</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5.4445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0.9972</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4.755</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B1</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二次</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12.0008</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13.8111</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4.7103</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0.9989</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2.513</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B2</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二次</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10.0884</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13.4178</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6.2812</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0.9913</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7.069</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B3</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二次（谨慎）</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3.0507</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6.5656</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3.4693</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0.9915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3.054</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B4</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二次</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5.5665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10.3879</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5.1415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0.9870</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5.871</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B5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二次</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9.7412</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13.5798</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6.2549</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0.9914</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6.211</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B6</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二次</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17.6707</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19.1857</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7.0324</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0.9902</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7.948</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B7</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二次</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18.8690</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20.9857</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8.1952</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0.9966</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5.171</w:t>
            </w:r>
          </w:p>
        </w:tc>
      </w:tr>
    </w:tbl>
    <w:p>
      <w:r>
        <w:br w:type="page"/>
      </w:r>
    </w:p>
    <w:p>
      <w:pPr>
        <w:keepNext/>
        <w:spacing w:before="120" w:after="60"/>
      </w:pPr>
      <w:r>
        <w:rPr>
          <w:rFonts w:ascii="Noto Sans CJK SC" w:hAnsi="Noto Sans CJK SC" w:eastAsia="Noto Sans CJK SC"/>
          <w:b/>
          <w:color w:val="262626"/>
          <w:sz w:val="22"/>
        </w:rPr>
        <w:t>B.2 C4烯烃选择性 SC4</w:t>
      </w:r>
    </w:p>
    <w:tbl>
      <w:tblPr>
        <w:tblStyle w:val="TableGrid"/>
        <w:tblW w:type="auto" w:w="0"/>
        <w:jc w:val="center"/>
        <w:tblLayout w:type="fixed"/>
        <w:tblLook w:firstColumn="1" w:firstRow="1" w:lastColumn="0" w:lastRow="0" w:noHBand="0" w:noVBand="1" w:val="04A0"/>
      </w:tblPr>
      <w:tblGrid>
        <w:gridCol w:w="1892"/>
        <w:gridCol w:w="1892"/>
        <w:gridCol w:w="1892"/>
        <w:gridCol w:w="1892"/>
        <w:gridCol w:w="1892"/>
        <w:gridCol w:w="1892"/>
        <w:gridCol w:w="1892"/>
        <w:gridCol w:w="1892"/>
      </w:tblGrid>
      <w:tr>
        <w:trPr>
          <w:cantSplit/>
          <w:tblHeader w:val="true"/>
        </w:trPr>
        <w:tc>
          <w:tcPr>
            <w:tcW w:type="dxa" w:w="1892"/>
            <w:vAlign w:val="center"/>
            <w:tcMar>
              <w:top w:w="25" w:type="dxa"/>
              <w:start w:w="55" w:type="dxa"/>
              <w:bottom w:w="25" w:type="dxa"/>
              <w:end w:w="55" w:type="dxa"/>
            </w:tcMar>
            <w:shd w:fill="D9EAF7"/>
          </w:tcPr>
          <w:p>
            <w:pPr>
              <w:spacing w:after="0" w:before="0" w:line="228" w:lineRule="auto"/>
              <w:jc w:val="center"/>
            </w:pPr>
            <w:r>
              <w:rPr>
                <w:rFonts w:ascii="Noto Sans CJK SC" w:hAnsi="Noto Sans CJK SC" w:eastAsia="Noto Sans CJK SC"/>
                <w:b/>
                <w:sz w:val="13"/>
              </w:rPr>
              <w:t>组合</w:t>
            </w:r>
          </w:p>
        </w:tc>
        <w:tc>
          <w:tcPr>
            <w:tcW w:type="dxa" w:w="1892"/>
            <w:vAlign w:val="center"/>
            <w:tcMar>
              <w:top w:w="25" w:type="dxa"/>
              <w:start w:w="55" w:type="dxa"/>
              <w:bottom w:w="25" w:type="dxa"/>
              <w:end w:w="55" w:type="dxa"/>
            </w:tcMar>
            <w:shd w:fill="D9EAF7"/>
          </w:tcPr>
          <w:p>
            <w:pPr>
              <w:spacing w:after="0" w:before="0" w:line="228" w:lineRule="auto"/>
              <w:jc w:val="center"/>
            </w:pPr>
            <w:r>
              <w:rPr>
                <w:rFonts w:ascii="Noto Sans CJK SC" w:hAnsi="Noto Sans CJK SC" w:eastAsia="Noto Sans CJK SC"/>
                <w:b/>
                <w:sz w:val="13"/>
              </w:rPr>
              <w:t>Tc/°C</w:t>
            </w:r>
          </w:p>
        </w:tc>
        <w:tc>
          <w:tcPr>
            <w:tcW w:type="dxa" w:w="1892"/>
            <w:vAlign w:val="center"/>
            <w:tcMar>
              <w:top w:w="25" w:type="dxa"/>
              <w:start w:w="55" w:type="dxa"/>
              <w:bottom w:w="25" w:type="dxa"/>
              <w:end w:w="55" w:type="dxa"/>
            </w:tcMar>
            <w:shd w:fill="D9EAF7"/>
          </w:tcPr>
          <w:p>
            <w:pPr>
              <w:spacing w:after="0" w:before="0" w:line="228" w:lineRule="auto"/>
              <w:jc w:val="center"/>
            </w:pPr>
            <w:r>
              <w:rPr>
                <w:rFonts w:ascii="Noto Sans CJK SC" w:hAnsi="Noto Sans CJK SC" w:eastAsia="Noto Sans CJK SC"/>
                <w:b/>
                <w:sz w:val="13"/>
              </w:rPr>
              <w:t>推荐</w:t>
            </w:r>
          </w:p>
        </w:tc>
        <w:tc>
          <w:tcPr>
            <w:tcW w:type="dxa" w:w="1892"/>
            <w:vAlign w:val="center"/>
            <w:tcMar>
              <w:top w:w="25" w:type="dxa"/>
              <w:start w:w="55" w:type="dxa"/>
              <w:bottom w:w="25" w:type="dxa"/>
              <w:end w:w="55" w:type="dxa"/>
            </w:tcMar>
            <w:shd w:fill="D9EAF7"/>
          </w:tcPr>
          <w:p>
            <w:pPr>
              <w:spacing w:after="0" w:before="0" w:line="228" w:lineRule="auto"/>
              <w:jc w:val="center"/>
            </w:pPr>
            <w:r>
              <w:rPr>
                <w:rFonts w:ascii="Noto Sans CJK SC" w:hAnsi="Noto Sans CJK SC" w:eastAsia="Noto Sans CJK SC"/>
                <w:b/>
                <w:sz w:val="13"/>
              </w:rPr>
              <w:t>β0</w:t>
            </w:r>
          </w:p>
        </w:tc>
        <w:tc>
          <w:tcPr>
            <w:tcW w:type="dxa" w:w="1892"/>
            <w:vAlign w:val="center"/>
            <w:tcMar>
              <w:top w:w="25" w:type="dxa"/>
              <w:start w:w="55" w:type="dxa"/>
              <w:bottom w:w="25" w:type="dxa"/>
              <w:end w:w="55" w:type="dxa"/>
            </w:tcMar>
            <w:shd w:fill="D9EAF7"/>
          </w:tcPr>
          <w:p>
            <w:pPr>
              <w:spacing w:after="0" w:before="0" w:line="228" w:lineRule="auto"/>
              <w:jc w:val="center"/>
            </w:pPr>
            <w:r>
              <w:rPr>
                <w:rFonts w:ascii="Noto Sans CJK SC" w:hAnsi="Noto Sans CJK SC" w:eastAsia="Noto Sans CJK SC"/>
                <w:b/>
                <w:sz w:val="13"/>
              </w:rPr>
              <w:t>β1</w:t>
            </w:r>
          </w:p>
        </w:tc>
        <w:tc>
          <w:tcPr>
            <w:tcW w:type="dxa" w:w="1892"/>
            <w:vAlign w:val="center"/>
            <w:tcMar>
              <w:top w:w="25" w:type="dxa"/>
              <w:start w:w="55" w:type="dxa"/>
              <w:bottom w:w="25" w:type="dxa"/>
              <w:end w:w="55" w:type="dxa"/>
            </w:tcMar>
            <w:shd w:fill="D9EAF7"/>
          </w:tcPr>
          <w:p>
            <w:pPr>
              <w:spacing w:after="0" w:before="0" w:line="228" w:lineRule="auto"/>
              <w:jc w:val="center"/>
            </w:pPr>
            <w:r>
              <w:rPr>
                <w:rFonts w:ascii="Noto Sans CJK SC" w:hAnsi="Noto Sans CJK SC" w:eastAsia="Noto Sans CJK SC"/>
                <w:b/>
                <w:sz w:val="13"/>
              </w:rPr>
              <w:t>β2</w:t>
            </w:r>
          </w:p>
        </w:tc>
        <w:tc>
          <w:tcPr>
            <w:tcW w:type="dxa" w:w="1892"/>
            <w:vAlign w:val="center"/>
            <w:tcMar>
              <w:top w:w="25" w:type="dxa"/>
              <w:start w:w="55" w:type="dxa"/>
              <w:bottom w:w="25" w:type="dxa"/>
              <w:end w:w="55" w:type="dxa"/>
            </w:tcMar>
            <w:shd w:fill="D9EAF7"/>
          </w:tcPr>
          <w:p>
            <w:pPr>
              <w:spacing w:after="0" w:before="0" w:line="228" w:lineRule="auto"/>
              <w:jc w:val="center"/>
            </w:pPr>
            <w:r>
              <w:rPr>
                <w:rFonts w:ascii="Noto Sans CJK SC" w:hAnsi="Noto Sans CJK SC" w:eastAsia="Noto Sans CJK SC"/>
                <w:b/>
                <w:sz w:val="13"/>
              </w:rPr>
              <w:t>R²</w:t>
            </w:r>
          </w:p>
        </w:tc>
        <w:tc>
          <w:tcPr>
            <w:tcW w:type="dxa" w:w="1892"/>
            <w:vAlign w:val="center"/>
            <w:tcMar>
              <w:top w:w="25" w:type="dxa"/>
              <w:start w:w="55" w:type="dxa"/>
              <w:bottom w:w="25" w:type="dxa"/>
              <w:end w:w="55" w:type="dxa"/>
            </w:tcMar>
            <w:shd w:fill="D9EAF7"/>
          </w:tcPr>
          <w:p>
            <w:pPr>
              <w:spacing w:after="0" w:before="0" w:line="228" w:lineRule="auto"/>
              <w:jc w:val="center"/>
            </w:pPr>
            <w:r>
              <w:rPr>
                <w:rFonts w:ascii="Noto Sans CJK SC" w:hAnsi="Noto Sans CJK SC" w:eastAsia="Noto Sans CJK SC"/>
                <w:b/>
                <w:sz w:val="13"/>
              </w:rPr>
              <w:t>LOO RMSE</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A1</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300</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线性（总体）</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43.0660</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7.7180</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0.7869</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5.215</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A2</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300</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二次</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21.0426</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11.0800</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7.7829</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0.9803</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3.918</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A3</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350</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线性（总体）</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32.2243</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13.0599</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0.9128</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9.439</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A4</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线性（总体）</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21.2419</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11.3311</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0.9173</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5.932</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A5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线性</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16.8426</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11.4854</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0.9401</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5.754</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A6</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低阶模型均仅粗略</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A7</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二次</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12.9954</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9.2450</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2.8847</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0.9997</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0.906</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A8</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二次</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19.2245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12.0487</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1.8677</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0.9995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0.932</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A9</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线性</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23.3900</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12.6900</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0.9948</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1.601</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A10</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二次</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2.3290</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2.5234</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1.7464</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0.9785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2.152</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A11</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二次</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3.0064</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2.5790</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0.4578</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0.9994</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0.256</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A12</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二次</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16.1395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10.1666</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2.2549</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0.9993</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1.425</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A13</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线性</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17.0117</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8.1386</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0.9768</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2.602</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A14</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二次</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6.6883</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6.7977</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2.4227</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0.9995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0.422</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B1</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二次</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18.3754</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11.9053</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2.3213</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0.9972</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3.341</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B2</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二次</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15.2724</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12.1206</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2.4814</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0.9977</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3.035</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B3</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二次</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9.5689</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6.0089</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1.1943</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0.9763</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1.633</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B4</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二次</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8.5439</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5.1163</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2.5038</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0.9737</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3.061</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B5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二次</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11.2839</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7.3089</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1.6243</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0.9982</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0.860</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B6</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线性</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16.0874</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9.5146</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0.9646</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2.778</w:t>
            </w:r>
          </w:p>
        </w:tc>
      </w:tr>
      <w:tr>
        <w:trPr>
          <w:cantSplit/>
        </w:trPr>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B7</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325</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线性</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19.4854</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11.6826</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0.9888</w:t>
            </w:r>
          </w:p>
        </w:tc>
        <w:tc>
          <w:tcPr>
            <w:tcW w:type="dxa" w:w="1892"/>
            <w:vAlign w:val="center"/>
            <w:tcMar>
              <w:top w:w="25" w:type="dxa"/>
              <w:start w:w="55" w:type="dxa"/>
              <w:bottom w:w="25" w:type="dxa"/>
              <w:end w:w="55" w:type="dxa"/>
            </w:tcMar>
          </w:tcPr>
          <w:p>
            <w:pPr>
              <w:spacing w:after="0" w:before="0" w:line="228" w:lineRule="auto"/>
              <w:jc w:val="center"/>
            </w:pPr>
            <w:r>
              <w:rPr>
                <w:rFonts w:ascii="Noto Serif CJK SC" w:hAnsi="Noto Serif CJK SC" w:eastAsia="Noto Serif CJK SC"/>
                <w:b w:val="0"/>
                <w:sz w:val="13"/>
              </w:rPr>
              <w:t>2.309</w:t>
            </w:r>
          </w:p>
        </w:tc>
      </w:tr>
    </w:tbl>
    <w:p>
      <w:r>
        <w:br w:type="page"/>
      </w:r>
    </w:p>
    <w:p>
      <w:r>
        <w:rPr>
          <w:rFonts w:ascii="Noto Sans CJK SC" w:hAnsi="Noto Sans CJK SC" w:eastAsia="Noto Sans CJK SC"/>
          <w:b/>
          <w:color w:val="1F4E79"/>
          <w:sz w:val="30"/>
        </w:rPr>
        <w:t>附录C  图形结果</w:t>
      </w:r>
    </w:p>
    <w:p>
      <w:pPr>
        <w:keepNext/>
        <w:spacing w:before="120" w:after="60"/>
      </w:pPr>
      <w:r>
        <w:rPr>
          <w:rFonts w:ascii="Noto Sans CJK SC" w:hAnsi="Noto Sans CJK SC" w:eastAsia="Noto Sans CJK SC"/>
          <w:b/>
          <w:color w:val="262626"/>
          <w:sz w:val="22"/>
        </w:rPr>
        <w:t>C.1 附件1乙醇转化率：一次/二次拟合对照</w:t>
      </w:r>
    </w:p>
    <w:p>
      <w:r>
        <w:drawing>
          <wp:inline xmlns:a="http://schemas.openxmlformats.org/drawingml/2006/main" xmlns:pic="http://schemas.openxmlformats.org/drawingml/2006/picture">
            <wp:extent cx="9180000" cy="4089019"/>
            <wp:docPr id="1" name="Picture 1"/>
            <wp:cNvGraphicFramePr>
              <a:graphicFrameLocks noChangeAspect="1"/>
            </wp:cNvGraphicFramePr>
            <a:graphic>
              <a:graphicData uri="http://schemas.openxmlformats.org/drawingml/2006/picture">
                <pic:pic>
                  <pic:nvPicPr>
                    <pic:cNvPr id="0" name="X_all_models_landscape.png"/>
                    <pic:cNvPicPr/>
                  </pic:nvPicPr>
                  <pic:blipFill>
                    <a:blip r:embed="rId10"/>
                    <a:stretch>
                      <a:fillRect/>
                    </a:stretch>
                  </pic:blipFill>
                  <pic:spPr>
                    <a:xfrm>
                      <a:off x="0" y="0"/>
                      <a:ext cx="9180000" cy="4089019"/>
                    </a:xfrm>
                    <a:prstGeom prst="rect"/>
                  </pic:spPr>
                </pic:pic>
              </a:graphicData>
            </a:graphic>
          </wp:inline>
        </w:drawing>
      </w:r>
    </w:p>
    <w:p>
      <w:pPr>
        <w:spacing w:before="60" w:after="140"/>
        <w:jc w:val="center"/>
      </w:pPr>
      <w:r>
        <w:rPr>
          <w:rFonts w:ascii="Noto Sans CJK SC" w:hAnsi="Noto Sans CJK SC" w:eastAsia="Noto Sans CJK SC"/>
          <w:b/>
          <w:color w:val="262626"/>
          <w:sz w:val="18"/>
        </w:rPr>
        <w:t>图C1  21种催化剂乙醇转化率-温度的一次与二次拟合对照（实测点为证据主体）</w:t>
      </w:r>
    </w:p>
    <w:p>
      <w:r>
        <w:br w:type="page"/>
      </w:r>
    </w:p>
    <w:p>
      <w:pPr>
        <w:keepNext/>
        <w:spacing w:before="120" w:after="60"/>
      </w:pPr>
      <w:r>
        <w:rPr>
          <w:rFonts w:ascii="Noto Sans CJK SC" w:hAnsi="Noto Sans CJK SC" w:eastAsia="Noto Sans CJK SC"/>
          <w:b/>
          <w:color w:val="262626"/>
          <w:sz w:val="22"/>
        </w:rPr>
        <w:t>C.2 附件1 C4烯烃选择性：一次/二次拟合对照</w:t>
      </w:r>
    </w:p>
    <w:p>
      <w:r>
        <w:drawing>
          <wp:inline xmlns:a="http://schemas.openxmlformats.org/drawingml/2006/main" xmlns:pic="http://schemas.openxmlformats.org/drawingml/2006/picture">
            <wp:extent cx="9180000" cy="4090265"/>
            <wp:docPr id="2" name="Picture 2"/>
            <wp:cNvGraphicFramePr>
              <a:graphicFrameLocks noChangeAspect="1"/>
            </wp:cNvGraphicFramePr>
            <a:graphic>
              <a:graphicData uri="http://schemas.openxmlformats.org/drawingml/2006/picture">
                <pic:pic>
                  <pic:nvPicPr>
                    <pic:cNvPr id="0" name="S_all_models_landscape.png"/>
                    <pic:cNvPicPr/>
                  </pic:nvPicPr>
                  <pic:blipFill>
                    <a:blip r:embed="rId11"/>
                    <a:stretch>
                      <a:fillRect/>
                    </a:stretch>
                  </pic:blipFill>
                  <pic:spPr>
                    <a:xfrm>
                      <a:off x="0" y="0"/>
                      <a:ext cx="9180000" cy="4090265"/>
                    </a:xfrm>
                    <a:prstGeom prst="rect"/>
                  </pic:spPr>
                </pic:pic>
              </a:graphicData>
            </a:graphic>
          </wp:inline>
        </w:drawing>
      </w:r>
    </w:p>
    <w:p>
      <w:pPr>
        <w:spacing w:before="60" w:after="140"/>
        <w:jc w:val="center"/>
      </w:pPr>
      <w:r>
        <w:rPr>
          <w:rFonts w:ascii="Noto Sans CJK SC" w:hAnsi="Noto Sans CJK SC" w:eastAsia="Noto Sans CJK SC"/>
          <w:b/>
          <w:color w:val="262626"/>
          <w:sz w:val="18"/>
        </w:rPr>
        <w:t>图C2  21种催化剂C4烯烃选择性-温度的一次与二次拟合对照</w:t>
      </w:r>
    </w:p>
    <w:p>
      <w:r>
        <w:br w:type="page"/>
      </w:r>
    </w:p>
    <w:p>
      <w:pPr>
        <w:keepNext/>
        <w:spacing w:before="120" w:after="60"/>
      </w:pPr>
      <w:r>
        <w:rPr>
          <w:rFonts w:ascii="Noto Sans CJK SC" w:hAnsi="Noto Sans CJK SC" w:eastAsia="Noto Sans CJK SC"/>
          <w:b/>
          <w:color w:val="262626"/>
          <w:sz w:val="22"/>
        </w:rPr>
        <w:t>C.3 附件2时间过程</w:t>
      </w:r>
    </w:p>
    <w:p>
      <w:r>
        <w:drawing>
          <wp:inline xmlns:a="http://schemas.openxmlformats.org/drawingml/2006/main" xmlns:pic="http://schemas.openxmlformats.org/drawingml/2006/picture">
            <wp:extent cx="7380000" cy="5298549"/>
            <wp:docPr id="3" name="Picture 3"/>
            <wp:cNvGraphicFramePr>
              <a:graphicFrameLocks noChangeAspect="1"/>
            </wp:cNvGraphicFramePr>
            <a:graphic>
              <a:graphicData uri="http://schemas.openxmlformats.org/drawingml/2006/picture">
                <pic:pic>
                  <pic:nvPicPr>
                    <pic:cNvPr id="0" name="att2_composite.png"/>
                    <pic:cNvPicPr/>
                  </pic:nvPicPr>
                  <pic:blipFill>
                    <a:blip r:embed="rId12"/>
                    <a:stretch>
                      <a:fillRect/>
                    </a:stretch>
                  </pic:blipFill>
                  <pic:spPr>
                    <a:xfrm>
                      <a:off x="0" y="0"/>
                      <a:ext cx="7380000" cy="5298549"/>
                    </a:xfrm>
                    <a:prstGeom prst="rect"/>
                  </pic:spPr>
                </pic:pic>
              </a:graphicData>
            </a:graphic>
          </wp:inline>
        </w:drawing>
      </w:r>
    </w:p>
    <w:p>
      <w:pPr>
        <w:spacing w:before="60" w:after="140"/>
        <w:jc w:val="center"/>
      </w:pPr>
      <w:r>
        <w:rPr>
          <w:rFonts w:ascii="Noto Sans CJK SC" w:hAnsi="Noto Sans CJK SC" w:eastAsia="Noto Sans CJK SC"/>
          <w:b/>
          <w:color w:val="262626"/>
          <w:sz w:val="18"/>
        </w:rPr>
        <w:t>图C3  附件2的转化率、C4选择性、C4收率及相邻时间段转化率变化率</w:t>
      </w:r>
    </w:p>
    <w:p>
      <w:pPr>
        <w:keepNext/>
        <w:spacing w:before="120" w:after="60"/>
      </w:pPr>
      <w:r>
        <w:rPr>
          <w:rFonts w:ascii="Noto Sans CJK SC" w:hAnsi="Noto Sans CJK SC" w:eastAsia="Noto Sans CJK SC"/>
          <w:b/>
          <w:color w:val="262626"/>
          <w:sz w:val="22"/>
        </w:rPr>
        <w:t>C.4 附件2派生量明细</w:t>
      </w:r>
    </w:p>
    <w:tbl>
      <w:tblPr>
        <w:tblStyle w:val="TableGrid"/>
        <w:tblW w:type="auto" w:w="0"/>
        <w:jc w:val="center"/>
        <w:tblLayout w:type="fixed"/>
        <w:tblLook w:firstColumn="1" w:firstRow="1" w:lastColumn="0" w:lastRow="0" w:noHBand="0" w:noVBand="1" w:val="04A0"/>
      </w:tblPr>
      <w:tblGrid>
        <w:gridCol w:w="2523"/>
        <w:gridCol w:w="2523"/>
        <w:gridCol w:w="2523"/>
        <w:gridCol w:w="2523"/>
        <w:gridCol w:w="2523"/>
        <w:gridCol w:w="2523"/>
      </w:tblGrid>
      <w:tr>
        <w:trPr>
          <w:cantSplit/>
          <w:tblHeader w:val="true"/>
        </w:trPr>
        <w:tc>
          <w:tcPr>
            <w:tcW w:type="dxa" w:w="1020"/>
            <w:vAlign w:val="center"/>
            <w:tcMar>
              <w:top w:w="90" w:type="dxa"/>
              <w:start w:w="100" w:type="dxa"/>
              <w:bottom w:w="90" w:type="dxa"/>
              <w:end w:w="100" w:type="dxa"/>
            </w:tcMar>
            <w:shd w:fill="D9EAF7"/>
          </w:tcPr>
          <w:p>
            <w:pPr>
              <w:spacing w:after="0" w:before="0" w:line="252" w:lineRule="auto"/>
              <w:jc w:val="center"/>
            </w:pPr>
            <w:r>
              <w:rPr>
                <w:rFonts w:ascii="Noto Sans CJK SC" w:hAnsi="Noto Sans CJK SC" w:eastAsia="Noto Sans CJK SC"/>
                <w:b/>
                <w:sz w:val="16"/>
              </w:rPr>
              <w:t>t/min</w:t>
            </w:r>
          </w:p>
        </w:tc>
        <w:tc>
          <w:tcPr>
            <w:tcW w:type="dxa" w:w="1474"/>
            <w:vAlign w:val="center"/>
            <w:tcMar>
              <w:top w:w="90" w:type="dxa"/>
              <w:start w:w="100" w:type="dxa"/>
              <w:bottom w:w="90" w:type="dxa"/>
              <w:end w:w="100" w:type="dxa"/>
            </w:tcMar>
            <w:shd w:fill="D9EAF7"/>
          </w:tcPr>
          <w:p>
            <w:pPr>
              <w:spacing w:after="0" w:before="0" w:line="252" w:lineRule="auto"/>
              <w:jc w:val="center"/>
            </w:pPr>
            <w:r>
              <w:rPr>
                <w:rFonts w:ascii="Noto Sans CJK SC" w:hAnsi="Noto Sans CJK SC" w:eastAsia="Noto Sans CJK SC"/>
                <w:b/>
                <w:sz w:val="16"/>
              </w:rPr>
              <w:t>XEtOH/%</w:t>
            </w:r>
          </w:p>
        </w:tc>
        <w:tc>
          <w:tcPr>
            <w:tcW w:type="dxa" w:w="1247"/>
            <w:vAlign w:val="center"/>
            <w:tcMar>
              <w:top w:w="90" w:type="dxa"/>
              <w:start w:w="100" w:type="dxa"/>
              <w:bottom w:w="90" w:type="dxa"/>
              <w:end w:w="100" w:type="dxa"/>
            </w:tcMar>
            <w:shd w:fill="D9EAF7"/>
          </w:tcPr>
          <w:p>
            <w:pPr>
              <w:spacing w:after="0" w:before="0" w:line="252" w:lineRule="auto"/>
              <w:jc w:val="center"/>
            </w:pPr>
            <w:r>
              <w:rPr>
                <w:rFonts w:ascii="Noto Sans CJK SC" w:hAnsi="Noto Sans CJK SC" w:eastAsia="Noto Sans CJK SC"/>
                <w:b/>
                <w:sz w:val="16"/>
              </w:rPr>
              <w:t>SC4/%</w:t>
            </w:r>
          </w:p>
        </w:tc>
        <w:tc>
          <w:tcPr>
            <w:tcW w:type="dxa" w:w="1247"/>
            <w:vAlign w:val="center"/>
            <w:tcMar>
              <w:top w:w="90" w:type="dxa"/>
              <w:start w:w="100" w:type="dxa"/>
              <w:bottom w:w="90" w:type="dxa"/>
              <w:end w:w="100" w:type="dxa"/>
            </w:tcMar>
            <w:shd w:fill="D9EAF7"/>
          </w:tcPr>
          <w:p>
            <w:pPr>
              <w:spacing w:after="0" w:before="0" w:line="252" w:lineRule="auto"/>
              <w:jc w:val="center"/>
            </w:pPr>
            <w:r>
              <w:rPr>
                <w:rFonts w:ascii="Noto Sans CJK SC" w:hAnsi="Noto Sans CJK SC" w:eastAsia="Noto Sans CJK SC"/>
                <w:b/>
                <w:sz w:val="16"/>
              </w:rPr>
              <w:t>YC4/%</w:t>
            </w:r>
          </w:p>
        </w:tc>
        <w:tc>
          <w:tcPr>
            <w:tcW w:type="dxa" w:w="1871"/>
            <w:vAlign w:val="center"/>
            <w:tcMar>
              <w:top w:w="90" w:type="dxa"/>
              <w:start w:w="100" w:type="dxa"/>
              <w:bottom w:w="90" w:type="dxa"/>
              <w:end w:w="100" w:type="dxa"/>
            </w:tcMar>
            <w:shd w:fill="D9EAF7"/>
          </w:tcPr>
          <w:p>
            <w:pPr>
              <w:spacing w:after="0" w:before="0" w:line="252" w:lineRule="auto"/>
              <w:jc w:val="center"/>
            </w:pPr>
            <w:r>
              <w:rPr>
                <w:rFonts w:ascii="Noto Sans CJK SC" w:hAnsi="Noto Sans CJK SC" w:eastAsia="Noto Sans CJK SC"/>
                <w:b/>
                <w:sz w:val="16"/>
              </w:rPr>
              <w:t>下一时段 ΔX/Δt</w:t>
            </w:r>
          </w:p>
        </w:tc>
        <w:tc>
          <w:tcPr>
            <w:tcW w:type="dxa" w:w="1701"/>
            <w:vAlign w:val="center"/>
            <w:tcMar>
              <w:top w:w="90" w:type="dxa"/>
              <w:start w:w="100" w:type="dxa"/>
              <w:bottom w:w="90" w:type="dxa"/>
              <w:end w:w="100" w:type="dxa"/>
            </w:tcMar>
            <w:shd w:fill="D9EAF7"/>
          </w:tcPr>
          <w:p>
            <w:pPr>
              <w:spacing w:after="0" w:before="0" w:line="252" w:lineRule="auto"/>
              <w:jc w:val="center"/>
            </w:pPr>
            <w:r>
              <w:rPr>
                <w:rFonts w:ascii="Noto Sans CJK SC" w:hAnsi="Noto Sans CJK SC" w:eastAsia="Noto Sans CJK SC"/>
                <w:b/>
                <w:sz w:val="16"/>
              </w:rPr>
              <w:t>说明</w:t>
            </w:r>
          </w:p>
        </w:tc>
      </w:tr>
      <w:tr>
        <w:trPr>
          <w:cantSplit/>
        </w:trPr>
        <w:tc>
          <w:tcPr>
            <w:tcW w:type="dxa" w:w="1020"/>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20</w:t>
            </w:r>
          </w:p>
        </w:tc>
        <w:tc>
          <w:tcPr>
            <w:tcW w:type="dxa" w:w="147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43.5474</w:t>
            </w:r>
          </w:p>
        </w:tc>
        <w:tc>
          <w:tcPr>
            <w:tcW w:type="dxa" w:w="124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39.90</w:t>
            </w:r>
          </w:p>
        </w:tc>
        <w:tc>
          <w:tcPr>
            <w:tcW w:type="dxa" w:w="124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17.3754</w:t>
            </w:r>
          </w:p>
        </w:tc>
        <w:tc>
          <w:tcPr>
            <w:tcW w:type="dxa" w:w="187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-0.11518</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20-70 min</w:t>
            </w:r>
          </w:p>
        </w:tc>
      </w:tr>
      <w:tr>
        <w:trPr>
          <w:cantSplit/>
        </w:trPr>
        <w:tc>
          <w:tcPr>
            <w:tcW w:type="dxa" w:w="1020"/>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70</w:t>
            </w:r>
          </w:p>
        </w:tc>
        <w:tc>
          <w:tcPr>
            <w:tcW w:type="dxa" w:w="147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37.7881</w:t>
            </w:r>
          </w:p>
        </w:tc>
        <w:tc>
          <w:tcPr>
            <w:tcW w:type="dxa" w:w="124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38.55</w:t>
            </w:r>
          </w:p>
        </w:tc>
        <w:tc>
          <w:tcPr>
            <w:tcW w:type="dxa" w:w="124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14.5673</w:t>
            </w:r>
          </w:p>
        </w:tc>
        <w:tc>
          <w:tcPr>
            <w:tcW w:type="dxa" w:w="187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-0.03079</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70-110 min</w:t>
            </w:r>
          </w:p>
        </w:tc>
      </w:tr>
      <w:tr>
        <w:trPr>
          <w:cantSplit/>
        </w:trPr>
        <w:tc>
          <w:tcPr>
            <w:tcW w:type="dxa" w:w="1020"/>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110</w:t>
            </w:r>
          </w:p>
        </w:tc>
        <w:tc>
          <w:tcPr>
            <w:tcW w:type="dxa" w:w="147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36.5564</w:t>
            </w:r>
          </w:p>
        </w:tc>
        <w:tc>
          <w:tcPr>
            <w:tcW w:type="dxa" w:w="124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36.72</w:t>
            </w:r>
          </w:p>
        </w:tc>
        <w:tc>
          <w:tcPr>
            <w:tcW w:type="dxa" w:w="124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13.4235</w:t>
            </w:r>
          </w:p>
        </w:tc>
        <w:tc>
          <w:tcPr>
            <w:tcW w:type="dxa" w:w="187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-0.07235</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110-163 min</w:t>
            </w:r>
          </w:p>
        </w:tc>
      </w:tr>
      <w:tr>
        <w:trPr>
          <w:cantSplit/>
        </w:trPr>
        <w:tc>
          <w:tcPr>
            <w:tcW w:type="dxa" w:w="1020"/>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163</w:t>
            </w:r>
          </w:p>
        </w:tc>
        <w:tc>
          <w:tcPr>
            <w:tcW w:type="dxa" w:w="147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32.7219</w:t>
            </w:r>
          </w:p>
        </w:tc>
        <w:tc>
          <w:tcPr>
            <w:tcW w:type="dxa" w:w="124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39.53</w:t>
            </w:r>
          </w:p>
        </w:tc>
        <w:tc>
          <w:tcPr>
            <w:tcW w:type="dxa" w:w="124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12.9350</w:t>
            </w:r>
          </w:p>
        </w:tc>
        <w:tc>
          <w:tcPr>
            <w:tcW w:type="dxa" w:w="187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-0.02976</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163-197 min</w:t>
            </w:r>
          </w:p>
        </w:tc>
      </w:tr>
      <w:tr>
        <w:trPr>
          <w:cantSplit/>
        </w:trPr>
        <w:tc>
          <w:tcPr>
            <w:tcW w:type="dxa" w:w="1020"/>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197</w:t>
            </w:r>
          </w:p>
        </w:tc>
        <w:tc>
          <w:tcPr>
            <w:tcW w:type="dxa" w:w="147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31.7101</w:t>
            </w:r>
          </w:p>
        </w:tc>
        <w:tc>
          <w:tcPr>
            <w:tcW w:type="dxa" w:w="124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38.96</w:t>
            </w:r>
          </w:p>
        </w:tc>
        <w:tc>
          <w:tcPr>
            <w:tcW w:type="dxa" w:w="124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12.3543</w:t>
            </w:r>
          </w:p>
        </w:tc>
        <w:tc>
          <w:tcPr>
            <w:tcW w:type="dxa" w:w="187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-0.04316</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197-240 min</w:t>
            </w:r>
          </w:p>
        </w:tc>
      </w:tr>
      <w:tr>
        <w:trPr>
          <w:cantSplit/>
        </w:trPr>
        <w:tc>
          <w:tcPr>
            <w:tcW w:type="dxa" w:w="1020"/>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240</w:t>
            </w:r>
          </w:p>
        </w:tc>
        <w:tc>
          <w:tcPr>
            <w:tcW w:type="dxa" w:w="147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29.8542</w:t>
            </w:r>
          </w:p>
        </w:tc>
        <w:tc>
          <w:tcPr>
            <w:tcW w:type="dxa" w:w="124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40.32</w:t>
            </w:r>
          </w:p>
        </w:tc>
        <w:tc>
          <w:tcPr>
            <w:tcW w:type="dxa" w:w="124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12.0372</w:t>
            </w:r>
          </w:p>
        </w:tc>
        <w:tc>
          <w:tcPr>
            <w:tcW w:type="dxa" w:w="187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0.00157</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240-273 min</w:t>
            </w:r>
          </w:p>
        </w:tc>
      </w:tr>
      <w:tr>
        <w:trPr>
          <w:cantSplit/>
        </w:trPr>
        <w:tc>
          <w:tcPr>
            <w:tcW w:type="dxa" w:w="1020"/>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273</w:t>
            </w:r>
          </w:p>
        </w:tc>
        <w:tc>
          <w:tcPr>
            <w:tcW w:type="dxa" w:w="1474"/>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29.9060</w:t>
            </w:r>
          </w:p>
        </w:tc>
        <w:tc>
          <w:tcPr>
            <w:tcW w:type="dxa" w:w="124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39.04</w:t>
            </w:r>
          </w:p>
        </w:tc>
        <w:tc>
          <w:tcPr>
            <w:tcW w:type="dxa" w:w="1247"/>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11.6753</w:t>
            </w:r>
          </w:p>
        </w:tc>
        <w:tc>
          <w:tcPr>
            <w:tcW w:type="dxa" w:w="187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w:t>
            </w:r>
          </w:p>
        </w:tc>
        <w:tc>
          <w:tcPr>
            <w:tcW w:type="dxa" w:w="1701"/>
            <w:vAlign w:val="center"/>
            <w:tcMar>
              <w:top w:w="90" w:type="dxa"/>
              <w:start w:w="100" w:type="dxa"/>
              <w:bottom w:w="90" w:type="dxa"/>
              <w:end w:w="100" w:type="dxa"/>
            </w:tcMar>
          </w:tcPr>
          <w:p>
            <w:pPr>
              <w:spacing w:after="0" w:before="0" w:line="252" w:lineRule="auto"/>
              <w:jc w:val="center"/>
            </w:pPr>
            <w:r>
              <w:rPr>
                <w:rFonts w:ascii="Noto Serif CJK SC" w:hAnsi="Noto Serif CJK SC" w:eastAsia="Noto Serif CJK SC"/>
                <w:b w:val="0"/>
                <w:sz w:val="16"/>
              </w:rPr>
              <w:t>末次观测</w:t>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Noto Serif CJK SC" w:hAnsi="Noto Serif CJK SC" w:eastAsia="Noto Serif CJK SC"/>
        <w:color w:val="646464"/>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子问题一模型交接单</dc:title>
  <dc:subject>CUMCM 2021 B题 问题1</dc:subject>
  <dc:creator>python-docx</dc:creator>
  <cp:keywords/>
  <dc:description>依据用户提供的题目、符号表及附件1/2数据生成。</dc:description>
  <cp:lastModifiedBy/>
  <cp:revision>1</cp:revision>
  <dcterms:created xsi:type="dcterms:W3CDTF">2013-12-23T23:15:00Z</dcterms:created>
  <dcterms:modified xsi:type="dcterms:W3CDTF">2013-12-23T23:15:00Z</dcterms:modified>
  <cp:category/>
</cp:coreProperties>
</file>