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子问题二模型交接单"/>
    <w:p>
      <w:pPr>
        <w:pStyle w:val="Heading1"/>
        <w:keepLines w:val="0"/>
        <w:widowControl/>
        <w:spacing w:before="0" w:after="160" w:line="240" w:lineRule="auto"/>
        <w:ind w:left="0" w:right="0" w:firstLine="0"/>
        <w:jc w:val="center"/>
      </w:pPr>
      <w:r>
        <w:rPr>
          <w:rFonts w:ascii="Noto Sans CJK SC" w:hAnsi="Noto Sans CJK SC" w:eastAsia="Noto Sans CJK SC"/>
          <w:b/>
          <w:color w:val="163F69"/>
          <w:sz w:val="38"/>
        </w:rPr>
        <w:t xml:space="preserve">子问题二模型交接单</w:t>
      </w:r>
    </w:p>
    <w:p>
      <w:pPr>
        <w:pStyle w:val="FirstParagraph"/>
        <w:keepLines w:val="0"/>
        <w:widowControl/>
        <w:spacing w:before="0" w:after="160" w:line="276" w:lineRule="auto"/>
        <w:ind w:left="0" w:right="0" w:firstLine="0"/>
        <w:jc w:val="center"/>
      </w:pPr>
      <w:r>
        <w:rPr>
          <w:rFonts w:ascii="Noto Sans CJK SC" w:hAnsi="Noto Sans CJK SC" w:eastAsia="Noto Sans CJK SC"/>
          <w:b/>
          <w:bCs/>
          <w:color w:val="373737"/>
          <w:sz w:val="22"/>
        </w:rPr>
        <w:t xml:space="preserve">CUMCM 2021 B 题：乙醇偶合制备 C4 烯烃</w:t>
      </w:r>
      <w:r>
        <w:rPr>
          <w:rFonts w:ascii="Noto Sans CJK SC" w:hAnsi="Noto Sans CJK SC" w:eastAsia="Noto Sans CJK SC"/>
          <w:b/>
          <w:color w:val="373737"/>
          <w:sz w:val="22"/>
        </w:rPr>
        <w:br/>
      </w:r>
      <w:r>
        <w:rPr>
          <w:rFonts w:ascii="Noto Sans CJK SC" w:hAnsi="Noto Sans CJK SC" w:eastAsia="Noto Sans CJK SC"/>
          <w:b/>
          <w:bCs/>
          <w:color w:val="373737"/>
          <w:sz w:val="22"/>
        </w:rPr>
        <w:t xml:space="preserve">交付模型：基于温度分层匹配与跨背景效应对比的催化因素影响分析</w:t>
      </w:r>
    </w:p>
    <w:p>
      <w:pPr>
        <w:pStyle w:val="BlockText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b/>
          <w:bCs/>
          <w:sz w:val="20"/>
        </w:rPr>
        <w:t xml:space="preserve">交付边界</w:t>
      </w:r>
      <w:r>
        <w:rPr>
          <w:rFonts w:ascii="Noto Serif CJK SC" w:hAnsi="Noto Serif CJK SC" w:eastAsia="Noto Serif CJK SC"/>
          <w:sz w:val="20"/>
        </w:rPr>
        <w:t xml:space="preserve">：本交接单只服务于问题二。问题二分别研究乙醇转化率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与 C4 烯烃选择性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4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，不以 C4 烯烃收率作为响应，不建立统一黑箱预测模型，也不做全局“因素重要性排名”。</w:t>
      </w:r>
    </w:p>
    <w:p>
      <w:pPr>
        <w:pStyle w:val="BlockText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b/>
          <w:bCs/>
          <w:sz w:val="20"/>
        </w:rPr>
        <w:t xml:space="preserve">数值口径</w:t>
      </w:r>
      <w:r>
        <w:rPr>
          <w:rFonts w:ascii="Noto Serif CJK SC" w:hAnsi="Noto Serif CJK SC" w:eastAsia="Noto Serif CJK SC"/>
          <w:sz w:val="20"/>
        </w:rPr>
        <w:t xml:space="preserve">：程序计算以附件 1 单元格底层数值为准，论文统一按两位小数输出。由于 Excel 显示格式会先行四舍五入，按表面显示值手算时，个别均值/差值可能与程序结果相差约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0.01</m:t>
        </m:r>
        <m:r>
          <m:rPr>
            <m:sty m:val="p"/>
          </m:rPr>
          <m:t>∼</m:t>
        </m:r>
        <m:r>
          <m:t>0.05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个百分点，属于显示精度差异，不改变结论。</w:t>
      </w:r>
    </w:p>
    <w:bookmarkEnd w:id="20"/>
    <w:bookmarkStart w:id="21" w:name="题目目标"/>
    <w:p>
      <w:pPr>
        <w:pStyle w:val="Heading1"/>
        <w:keepNext/>
        <w:keepLines w:val="0"/>
        <w:widowControl/>
        <w:spacing w:before="200" w:after="8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1F4E79"/>
          <w:sz w:val="29"/>
        </w:rPr>
        <w:t xml:space="preserve">1. 题目目标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用一句话说明这一问需要解决什么问题：</w:t>
      </w:r>
    </w:p>
    <w:p>
      <w:pPr>
        <w:pStyle w:val="BodyText"/>
        <w:keepLines w:val="0"/>
        <w:widowControl/>
        <w:spacing w:before="0" w:after="60" w:line="276" w:lineRule="auto"/>
        <w:ind w:left="0" w:right="0" w:firstLine="420"/>
      </w:pPr>
      <w:r>
        <w:rPr>
          <w:rFonts w:ascii="Noto Serif CJK SC" w:hAnsi="Noto Serif CJK SC" w:eastAsia="Noto Serif CJK SC"/>
          <w:b/>
          <w:bCs/>
          <w:sz w:val="20"/>
        </w:rPr>
        <w:t xml:space="preserve">在现有非正交、小样本实验设计下，分别识别温度、Co 负载量、Co/SiO₂ 与 HAP 装料关系、乙醇进料条件和装料方式对乙醇转化率及 C4 烯烃选择性的条件响应差异，并判断这些影响是否具有非线性、温度条件依赖、跨背景不一致及可由现有实验直接识别的局部二因素非加性。</w:t>
      </w:r>
    </w:p>
    <w:p>
      <w:pPr>
        <w:pStyle w:val="BodyText"/>
        <w:keepLines w:val="0"/>
        <w:widowControl/>
        <w:spacing w:before="0" w:after="60" w:line="276" w:lineRule="auto"/>
        <w:ind w:left="0" w:right="0" w:firstLine="420"/>
      </w:pPr>
      <w:r>
        <w:rPr>
          <w:rFonts w:ascii="Noto Serif CJK SC" w:hAnsi="Noto Serif CJK SC" w:eastAsia="Noto Serif CJK SC"/>
          <w:sz w:val="20"/>
        </w:rPr>
        <w:t xml:space="preserve">本文所称“因素效应”均指</w:t>
      </w:r>
      <w:r>
        <w:rPr>
          <w:rFonts w:ascii="Noto Serif CJK SC" w:hAnsi="Noto Serif CJK SC" w:eastAsia="Noto Serif CJK SC"/>
          <w:b/>
          <w:bCs/>
          <w:sz w:val="20"/>
        </w:rPr>
        <w:t xml:space="preserve">现有实验范围内、其它题目记录并纳入建模的主要因素匹配后的条件响应差异</w:t>
      </w:r>
      <w:r>
        <w:rPr>
          <w:rFonts w:ascii="Noto Serif CJK SC" w:hAnsi="Noto Serif CJK SC" w:eastAsia="Noto Serif CJK SC"/>
          <w:sz w:val="20"/>
        </w:rPr>
        <w:t xml:space="preserve">，不作超出原实验设计范围的严格因果解释。</w:t>
      </w:r>
    </w:p>
    <w:bookmarkEnd w:id="21"/>
    <w:bookmarkStart w:id="27" w:name="输入数据"/>
    <w:p>
      <w:pPr>
        <w:pStyle w:val="Heading1"/>
        <w:keepNext/>
        <w:keepLines w:val="0"/>
        <w:widowControl/>
        <w:spacing w:before="200" w:after="8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1F4E79"/>
          <w:sz w:val="29"/>
        </w:rPr>
        <w:t xml:space="preserve">2. 输入数据</w:t>
      </w:r>
    </w:p>
    <w:bookmarkStart w:id="22" w:name="文件名与用途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2.1 文件名与用途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文件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数据结构/作用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问题二处理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附件 1.xlsx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性能数据表，共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114</m:t>
              </m:r>
            </m:oMath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条温度实验记录、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21</m:t>
              </m:r>
            </m:oMath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个催化剂组合（A1-A14、B1-B7）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bCs/>
                <w:color w:val="1E1E1E"/>
                <w:sz w:val="18"/>
              </w:rPr>
              <w:t xml:space="preserve">问题二主数据源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附件 2.xlsx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350 ℃下某一种未知催化剂组合的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个时间观测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bCs/>
                <w:color w:val="1E1E1E"/>
                <w:sz w:val="18"/>
              </w:rPr>
              <w:t xml:space="preserve">问题二不使用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；属于问题一稳定性/失活分析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team_symbols_standalone_v2.pdf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队内统一母符号表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所有全局符号严格按该表使用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CUMCM2021-B.pdf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原题与名词解释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确定问题二任务、Co 负载量定义、装料比含义及装料方式 I/II</w:t>
            </w:r>
          </w:p>
        </w:tc>
      </w:tr>
    </w:tbl>
    <w:bookmarkEnd w:id="22"/>
    <w:bookmarkStart w:id="23" w:name="附件-1-每一行代表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2.2 附件 1 每一行代表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同一催化剂组合在某一个</w:t>
      </w:r>
      <w:r>
        <w:rPr>
          <w:rFonts w:ascii="Noto Serif CJK SC" w:hAnsi="Noto Serif CJK SC" w:eastAsia="Noto Serif CJK SC"/>
          <w:b/>
          <w:bCs/>
          <w:sz w:val="20"/>
        </w:rPr>
        <w:t xml:space="preserve">实际实测温度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下的一次性能记录，包含：</w:t>
      </w:r>
    </w:p>
    <w:p>
      <w:pPr>
        <w:pStyle w:val="Compact"/>
        <w:keepLines w:val="0"/>
        <w:widowControl/>
        <w:numPr>
          <w:ilvl w:val="0"/>
          <w:numId w:val="1001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乙醇转化率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01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C4 烯烃选择性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01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其它产物选择性。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同一催化剂组合在不同温度下的记录具有明显组内结构，</w:t>
      </w:r>
      <w:r>
        <w:rPr>
          <w:rFonts w:ascii="Noto Serif CJK SC" w:hAnsi="Noto Serif CJK SC" w:eastAsia="Noto Serif CJK SC"/>
          <w:b/>
          <w:bCs/>
          <w:sz w:val="20"/>
        </w:rPr>
        <w:t xml:space="preserve">不能把 114 行当成 114 个彼此独立的催化剂设计</w:t>
      </w:r>
      <w:r>
        <w:rPr>
          <w:rFonts w:ascii="Noto Serif CJK SC" w:hAnsi="Noto Serif CJK SC" w:eastAsia="Noto Serif CJK SC"/>
          <w:sz w:val="20"/>
        </w:rPr>
        <w:t xml:space="preserve">。</w:t>
      </w:r>
    </w:p>
    <w:bookmarkEnd w:id="23"/>
    <w:bookmarkStart w:id="24" w:name="主要列及派生实验因素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2.3 主要列及派生实验因素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从“催化剂组合”字符串中解析：</w:t>
      </w:r>
    </w:p>
    <w:p>
      <w:pPr>
        <w:pStyle w:val="Compact"/>
        <w:keepLines w:val="0"/>
        <w:widowControl/>
        <w:numPr>
          <w:ilvl w:val="0"/>
          <w:numId w:val="1002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Co 负载量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ω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02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Co/SiO₂ 装料质量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02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HAP 装料质量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m</m:t>
            </m:r>
          </m:e>
          <m:sub>
            <m:r>
              <m:t>h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02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催化材料总装料量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h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（不含石英砂）；</w:t>
      </w:r>
    </w:p>
    <w:p>
      <w:pPr>
        <w:pStyle w:val="Compact"/>
        <w:keepLines w:val="0"/>
        <w:widowControl/>
        <w:numPr>
          <w:ilvl w:val="0"/>
          <w:numId w:val="1002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Co/SiO₂ 与 HAP 质量比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ρ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h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02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乙醇进料条件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02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装料方式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z</m:t>
        </m:r>
      </m:oMath>
      <w:r>
        <w:rPr>
          <w:rFonts w:ascii="Noto Serif CJK SC" w:hAnsi="Noto Serif CJK SC" w:eastAsia="Noto Serif CJK SC"/>
          <w:sz w:val="20"/>
        </w:rPr>
        <w:t xml:space="preserve">：A1-A14 为方式 I（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ascii="Noto Serif CJK SC" w:hAnsi="Noto Serif CJK SC" w:eastAsia="Noto Serif CJK SC"/>
          <w:sz w:val="20"/>
        </w:rPr>
        <w:t xml:space="preserve">），B1-B7 为方式 II（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rPr>
          <w:rFonts w:ascii="Noto Serif CJK SC" w:hAnsi="Noto Serif CJK SC" w:eastAsia="Noto Serif CJK SC"/>
          <w:sz w:val="20"/>
        </w:rPr>
        <w:t xml:space="preserve">）；</w:t>
      </w:r>
    </w:p>
    <w:p>
      <w:pPr>
        <w:pStyle w:val="Compact"/>
        <w:keepLines w:val="0"/>
        <w:widowControl/>
        <w:numPr>
          <w:ilvl w:val="0"/>
          <w:numId w:val="1002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反应温度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T</m:t>
        </m:r>
      </m:oMath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02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两个响应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4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。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其中 1 wt%Co/SiO₂ 严格沿用原题定义：Co 与 SiO₂ 重量比约为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100</m:t>
        </m:r>
      </m:oMath>
      <w:r>
        <w:rPr>
          <w:rFonts w:ascii="Noto Serif CJK SC" w:hAnsi="Noto Serif CJK SC" w:eastAsia="Noto Serif CJK SC"/>
          <w:sz w:val="20"/>
        </w:rPr>
        <w:t xml:space="preserve">；例如 A14 的 33:67 指</w:t>
      </w:r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b/>
          <w:bCs/>
          <w:sz w:val="20"/>
        </w:rPr>
        <w:t xml:space="preserve">Co/SiO₂:HAP = 33:67</w:t>
      </w:r>
      <w:r>
        <w:rPr>
          <w:rFonts w:ascii="Noto Serif CJK SC" w:hAnsi="Noto Serif CJK SC" w:eastAsia="Noto Serif CJK SC"/>
          <w:sz w:val="20"/>
        </w:rPr>
        <w:t xml:space="preserve">，不是 Co:HAP。</w:t>
      </w:r>
    </w:p>
    <w:bookmarkEnd w:id="24"/>
    <w:bookmarkStart w:id="25" w:name="缺失值处理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2.4 缺失值处理</w:t>
      </w:r>
    </w:p>
    <w:p>
      <w:pPr>
        <w:pStyle w:val="Compact"/>
        <w:keepLines w:val="0"/>
        <w:widowControl/>
        <w:numPr>
          <w:ilvl w:val="0"/>
          <w:numId w:val="1003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催化剂编号与组合描述在工作表中只在每组首行出现，读取时按组向下填充，仅用于恢复行所属组合；</w:t>
      </w:r>
    </w:p>
    <w:p>
      <w:pPr>
        <w:pStyle w:val="Compact"/>
        <w:keepLines w:val="0"/>
        <w:widowControl/>
        <w:numPr>
          <w:ilvl w:val="0"/>
          <w:numId w:val="1003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未记录温度表示未实验，不补 0、不插值、不伪造观测</w:t>
      </w:r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03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附件中的数值 0 是真实实验结果，不视为缺失；</w:t>
      </w:r>
    </w:p>
    <w:p>
      <w:pPr>
        <w:pStyle w:val="Compact"/>
        <w:keepLines w:val="0"/>
        <w:widowControl/>
        <w:numPr>
          <w:ilvl w:val="0"/>
          <w:numId w:val="1003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空白的多余列直接忽略。</w:t>
      </w:r>
    </w:p>
    <w:bookmarkEnd w:id="25"/>
    <w:bookmarkStart w:id="26" w:name="异常值与特殊组处理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2.5 异常值与特殊组处理</w:t>
      </w:r>
    </w:p>
    <w:p>
      <w:pPr>
        <w:pStyle w:val="Compact"/>
        <w:keepLines w:val="0"/>
        <w:widowControl/>
        <w:numPr>
          <w:ilvl w:val="0"/>
          <w:numId w:val="1004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不基于“数值看起来异常”机械删点；450 ℃仅 A3 有记录，是实验覆盖不平衡，不是异常值；</w:t>
      </w:r>
    </w:p>
    <w:p>
      <w:pPr>
        <w:pStyle w:val="Compact"/>
        <w:keepLines w:val="0"/>
        <w:widowControl/>
        <w:numPr>
          <w:ilvl w:val="0"/>
          <w:numId w:val="1004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A11 为“50 mg 1 wt%Co/SiO₂ + 90 mg 石英砂、无 HAP”，故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ρ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b/>
          <w:bCs/>
          <w:sz w:val="20"/>
        </w:rPr>
        <w:t xml:space="preserve">不定义</w:t>
      </w:r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04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A11 参加温度总体分析并单独描述，但</w:t>
      </w:r>
      <w:r>
        <w:rPr>
          <w:rFonts w:ascii="Noto Serif CJK SC" w:hAnsi="Noto Serif CJK SC" w:eastAsia="Noto Serif CJK SC"/>
          <w:b/>
          <w:bCs/>
          <w:sz w:val="20"/>
        </w:rPr>
        <w:t xml:space="preserve">不进入普通 Co/SiO₂-HAP 二元体系的严格匹配搜索</w:t>
      </w:r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04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不利用 A11/A12 推断“HAP 有无”的单一效应，因为两者还同时存在石英砂及固体组成差异；</w:t>
      </w:r>
    </w:p>
    <w:p>
      <w:pPr>
        <w:pStyle w:val="Compact"/>
        <w:keepLines w:val="0"/>
        <w:widowControl/>
        <w:numPr>
          <w:ilvl w:val="0"/>
          <w:numId w:val="1004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其它产物选择性只用于数据完整性检查，</w:t>
      </w:r>
      <w:r>
        <w:rPr>
          <w:rFonts w:ascii="Noto Serif CJK SC" w:hAnsi="Noto Serif CJK SC" w:eastAsia="Noto Serif CJK SC"/>
          <w:b/>
          <w:bCs/>
          <w:sz w:val="20"/>
        </w:rPr>
        <w:t xml:space="preserve">不得作为预测</w:t>
      </w:r>
      <w:r>
        <w:rPr>
          <w:rFonts w:ascii="Noto Serif CJK SC" w:hAnsi="Noto Serif CJK SC" w:eastAsia="Noto Serif CJK SC"/>
          <w:b/>
          <w:bCs/>
          <w:sz w:val="20"/>
        </w:rP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4</m:t>
            </m:r>
          </m:sub>
        </m:sSub>
      </m:oMath>
      <w:r>
        <w:rPr>
          <w:rFonts w:ascii="Noto Serif CJK SC" w:hAnsi="Noto Serif CJK SC" w:eastAsia="Noto Serif CJK SC"/>
          <w:b/>
          <w:bCs/>
          <w:sz w:val="20"/>
        </w:rPr>
        <w:t xml:space="preserve"> </w:t>
      </w:r>
      <w:r>
        <w:rPr>
          <w:rFonts w:ascii="Noto Serif CJK SC" w:hAnsi="Noto Serif CJK SC" w:eastAsia="Noto Serif CJK SC"/>
          <w:b/>
          <w:bCs/>
          <w:sz w:val="20"/>
        </w:rPr>
        <w:t xml:space="preserve">的输入</w:t>
      </w:r>
      <w:r>
        <w:rPr>
          <w:rFonts w:ascii="Noto Serif CJK SC" w:hAnsi="Noto Serif CJK SC" w:eastAsia="Noto Serif CJK SC"/>
          <w:sz w:val="20"/>
        </w:rPr>
        <w:t xml:space="preserve">，避免组成数据目标泄漏。</w:t>
      </w:r>
    </w:p>
    <w:bookmarkEnd w:id="26"/>
    <w:bookmarkEnd w:id="27"/>
    <w:bookmarkStart w:id="32" w:name="输出结果"/>
    <w:p>
      <w:pPr>
        <w:pStyle w:val="Heading1"/>
        <w:keepNext/>
        <w:keepLines w:val="0"/>
        <w:widowControl/>
        <w:spacing w:before="200" w:after="8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1F4E79"/>
          <w:sz w:val="29"/>
        </w:rPr>
        <w:t xml:space="preserve">3. 输出结果</w:t>
      </w:r>
    </w:p>
    <w:bookmarkStart w:id="28" w:name="最终需要得到什么数值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3.1 最终需要得到什么数值</w:t>
      </w:r>
    </w:p>
    <w:p>
      <w:pPr>
        <w:keepLines w:val="0"/>
        <w:widowControl/>
        <w:numPr>
          <w:ilvl w:val="0"/>
          <w:numId w:val="1005"/>
        </w:numPr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b/>
          <w:bCs/>
          <w:sz w:val="20"/>
        </w:rPr>
        <w:t xml:space="preserve">温度总体效应</w:t>
      </w:r>
    </w:p>
    <w:p>
      <w:pPr>
        <w:pStyle w:val="Compact"/>
        <w:keepLines w:val="0"/>
        <w:widowControl/>
        <w:numPr>
          <w:ilvl w:val="1"/>
          <w:numId w:val="1006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21 个组合在共同温度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250</m:t>
        </m:r>
        <m:r>
          <m:rPr>
            <m:sty m:val="p"/>
          </m:rPr>
          <m:t>,</m:t>
        </m:r>
        <m:r>
          <m:t>275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,</m:t>
        </m:r>
        <m:r>
          <m:t>350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℃下的响应轨迹；</w:t>
      </w:r>
    </w:p>
    <w:p>
      <w:pPr>
        <w:pStyle w:val="Compact"/>
        <w:keepLines w:val="0"/>
        <w:widowControl/>
        <w:numPr>
          <w:ilvl w:val="1"/>
          <w:numId w:val="1006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端点差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Sup>
          <m:e>
            <m:r>
              <m:t>D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sup>
        </m:sSubSup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与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Sup>
          <m:e>
            <m:r>
              <m:t>D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bSup>
      </m:oMath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1"/>
          <w:numId w:val="1006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正增量组合数、均值、中位数；</w:t>
      </w:r>
    </w:p>
    <w:p>
      <w:pPr>
        <w:pStyle w:val="Compact"/>
        <w:keepLines w:val="0"/>
        <w:widowControl/>
        <w:numPr>
          <w:ilvl w:val="1"/>
          <w:numId w:val="1006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关键校验：250→350 ℃时，两个响应均为</w:t>
      </w:r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b/>
          <w:bCs/>
          <w:sz w:val="20"/>
        </w:rPr>
        <w:t xml:space="preserve">21/21 正增量</w:t>
      </w:r>
      <w:r>
        <w:rPr>
          <w:rFonts w:ascii="Noto Serif CJK SC" w:hAnsi="Noto Serif CJK SC" w:eastAsia="Noto Serif CJK SC"/>
          <w:sz w:val="20"/>
        </w:rPr>
        <w:t xml:space="preserve">；程序按原始单元格计算，平均增量约为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24.46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和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15.30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个百分点。</w:t>
      </w:r>
    </w:p>
    <w:p>
      <w:pPr>
        <w:keepLines w:val="0"/>
        <w:widowControl/>
        <w:numPr>
          <w:ilvl w:val="0"/>
          <w:numId w:val="1005"/>
        </w:numPr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b/>
          <w:bCs/>
          <w:sz w:val="20"/>
        </w:rPr>
        <w:t xml:space="preserve">严格匹配块结构</w:t>
      </w:r>
    </w:p>
    <w:p>
      <w:pPr>
        <w:pStyle w:val="Compact"/>
        <w:keepLines w:val="0"/>
        <w:widowControl/>
        <w:numPr>
          <w:ilvl w:val="1"/>
          <w:numId w:val="100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Co 负载量：2 块；</w:t>
      </w:r>
    </w:p>
    <w:p>
      <w:pPr>
        <w:pStyle w:val="Compact"/>
        <w:keepLines w:val="0"/>
        <w:widowControl/>
        <w:numPr>
          <w:ilvl w:val="1"/>
          <w:numId w:val="100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总装料量：3 块；</w:t>
      </w:r>
    </w:p>
    <w:p>
      <w:pPr>
        <w:pStyle w:val="Compact"/>
        <w:keepLines w:val="0"/>
        <w:widowControl/>
        <w:numPr>
          <w:ilvl w:val="1"/>
          <w:numId w:val="100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配比：1 块；</w:t>
      </w:r>
    </w:p>
    <w:p>
      <w:pPr>
        <w:pStyle w:val="Compact"/>
        <w:keepLines w:val="0"/>
        <w:widowControl/>
        <w:numPr>
          <w:ilvl w:val="1"/>
          <w:numId w:val="100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乙醇进料：5 块；</w:t>
      </w:r>
    </w:p>
    <w:p>
      <w:pPr>
        <w:pStyle w:val="Compact"/>
        <w:keepLines w:val="0"/>
        <w:widowControl/>
        <w:numPr>
          <w:ilvl w:val="1"/>
          <w:numId w:val="100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装料方式：2 块。</w:t>
      </w:r>
    </w:p>
    <w:p>
      <w:pPr>
        <w:keepLines w:val="0"/>
        <w:widowControl/>
        <w:numPr>
          <w:ilvl w:val="0"/>
          <w:numId w:val="1005"/>
        </w:numPr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b/>
          <w:bCs/>
          <w:sz w:val="20"/>
        </w:rPr>
        <w:t xml:space="preserve">多水平匹配块结果</w:t>
      </w:r>
    </w:p>
    <w:p>
      <w:pPr>
        <w:pStyle w:val="Compact"/>
        <w:keepLines w:val="0"/>
        <w:widowControl/>
        <w:numPr>
          <w:ilvl w:val="1"/>
          <w:numId w:val="1008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A4/A1/A2/A6：Co 负载量四水平；</w:t>
      </w:r>
    </w:p>
    <w:p>
      <w:pPr>
        <w:pStyle w:val="Compact"/>
        <w:keepLines w:val="0"/>
        <w:widowControl/>
        <w:numPr>
          <w:ilvl w:val="1"/>
          <w:numId w:val="1008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A7/A8/A12/A9：乙醇进料四水平；</w:t>
      </w:r>
    </w:p>
    <w:p>
      <w:pPr>
        <w:pStyle w:val="Compact"/>
        <w:keepLines w:val="0"/>
        <w:widowControl/>
        <w:numPr>
          <w:ilvl w:val="1"/>
          <w:numId w:val="1008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A14/A12/A13：配比三水平；</w:t>
      </w:r>
    </w:p>
    <w:p>
      <w:pPr>
        <w:pStyle w:val="Compact"/>
        <w:keepLines w:val="0"/>
        <w:widowControl/>
        <w:numPr>
          <w:ilvl w:val="1"/>
          <w:numId w:val="1008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B3/B4/B1/B6/B2：总装料量五水平；</w:t>
      </w:r>
    </w:p>
    <w:p>
      <w:pPr>
        <w:pStyle w:val="Compact"/>
        <w:keepLines w:val="0"/>
        <w:widowControl/>
        <w:numPr>
          <w:ilvl w:val="1"/>
          <w:numId w:val="1008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输出每个水平的逐温度响应、等权平均相对响应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γ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及曲线是否交叉/排序是否稳定。</w:t>
      </w:r>
    </w:p>
    <w:p>
      <w:pPr>
        <w:keepLines w:val="0"/>
        <w:widowControl/>
        <w:numPr>
          <w:ilvl w:val="0"/>
          <w:numId w:val="1005"/>
        </w:numPr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b/>
          <w:bCs/>
          <w:sz w:val="20"/>
        </w:rPr>
        <w:t xml:space="preserve">具有多个背景复现的同对比族</w:t>
      </w:r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程序应恰好得到 6 类：</w:t>
      </w:r>
    </w:p>
    <w:p>
      <w:pPr>
        <w:pStyle w:val="BodyText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:</m:t>
          </m:r>
          <m:r>
            <m:t>1</m:t>
          </m:r>
          <m:r>
            <m:rPr>
              <m:sty m:val="p"/>
            </m:rPr>
            <m:t>→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:</m:t>
          </m:r>
          <m:r>
            <m:t>100</m:t>
          </m:r>
          <m:r>
            <m:rPr>
              <m:sty m:val="p"/>
            </m:rPr>
            <m:t>→</m:t>
          </m:r>
          <m:r>
            <m:t>400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:</m:t>
          </m:r>
          <m:r>
            <m:t>0.9</m:t>
          </m:r>
          <m:r>
            <m:rPr>
              <m:sty m:val="p"/>
            </m:rPr>
            <m:t>→</m:t>
          </m:r>
          <m:r>
            <m:t>1.68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:</m:t>
          </m:r>
          <m:r>
            <m:t>0.3</m:t>
          </m:r>
          <m:r>
            <m:rPr>
              <m:sty m:val="p"/>
            </m:rPr>
            <m:t>→</m:t>
          </m:r>
          <m:r>
            <m:t>1.68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:</m:t>
          </m:r>
          <m:r>
            <m:t>1.68</m:t>
          </m:r>
          <m:r>
            <m:rPr>
              <m:sty m:val="p"/>
            </m:rPr>
            <m:t>→</m:t>
          </m:r>
          <m:r>
            <m:t>2.1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:</m:t>
          </m:r>
          <m:r>
            <m:rPr>
              <m:sty m:val="p"/>
            </m:rPr>
            <m:t>I</m:t>
          </m:r>
          <m:r>
            <m:rPr>
              <m:sty m:val="p"/>
            </m:rPr>
            <m:t>→</m:t>
          </m:r>
          <m:r>
            <m:rPr>
              <m:sty m:val="p"/>
            </m:rPr>
            <m:t>I</m:t>
          </m:r>
          <m:r>
            <m:rPr>
              <m:sty m:val="p"/>
            </m:rPr>
            <m:t>I</m:t>
          </m:r>
          <m:r>
            <m:rPr>
              <m:sty m:val="p"/>
            </m:rPr>
            <m:t>.</m:t>
          </m:r>
        </m:oMath>
      </m:oMathPara>
    </w:p>
    <w:p>
      <w:pPr>
        <w:keepLines w:val="0"/>
        <w:widowControl/>
        <w:numPr>
          <w:ilvl w:val="0"/>
          <w:numId w:val="1000"/>
        </w:numPr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对每一类输出各背景的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Δ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曲线及平均差摘要。</w:t>
      </w:r>
    </w:p>
    <w:p>
      <w:pPr>
        <w:keepLines w:val="0"/>
        <w:widowControl/>
        <w:numPr>
          <w:ilvl w:val="0"/>
          <w:numId w:val="1005"/>
        </w:numPr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b/>
          <w:bCs/>
          <w:sz w:val="20"/>
        </w:rPr>
        <w:t xml:space="preserve">完整局部</w:t>
      </w:r>
      <w:r>
        <w:rPr>
          <w:rFonts w:ascii="Noto Serif CJK SC" w:hAnsi="Noto Serif CJK SC" w:eastAsia="Noto Serif CJK SC"/>
          <w:b/>
          <w:bCs/>
          <w:sz w:val="20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Noto Serif CJK SC" w:hAnsi="Noto Serif CJK SC" w:eastAsia="Noto Serif CJK SC"/>
          <w:b/>
          <w:bCs/>
          <w:sz w:val="20"/>
        </w:rPr>
        <w:t xml:space="preserve"> </w:t>
      </w:r>
      <w:r>
        <w:rPr>
          <w:rFonts w:ascii="Noto Serif CJK SC" w:hAnsi="Noto Serif CJK SC" w:eastAsia="Noto Serif CJK SC"/>
          <w:b/>
          <w:bCs/>
          <w:sz w:val="20"/>
        </w:rPr>
        <w:t xml:space="preserve">结构</w:t>
      </w:r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在排除 A11、采用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ω</m:t>
                </m:r>
              </m:e>
              <m: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ρ</m:t>
            </m:r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sub>
            </m:sSub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且要求其它三个因素严格一致时，程序应恰好识别：</w:t>
      </w:r>
    </w:p>
    <w:p>
      <w:pPr>
        <w:pStyle w:val="Compact"/>
        <w:keepLines w:val="0"/>
        <w:widowControl/>
        <w:numPr>
          <w:ilvl w:val="1"/>
          <w:numId w:val="1009"/>
        </w:numPr>
        <w:spacing w:before="0" w:after="20" w:line="269" w:lineRule="auto"/>
        <w:ind w:left="397" w:right="0"/>
      </w:pP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sub>
            </m:sSub>
          </m:e>
        </m:d>
      </m:oMath>
      <w:r>
        <w:rPr>
          <w:rFonts w:ascii="Noto Serif CJK SC" w:hAnsi="Noto Serif CJK SC" w:eastAsia="Noto Serif CJK SC"/>
          <w:sz w:val="20"/>
        </w:rPr>
        <w:t xml:space="preserve">：A8/A12/A3/A1；</w:t>
      </w:r>
    </w:p>
    <w:p>
      <w:pPr>
        <w:pStyle w:val="Compact"/>
        <w:keepLines w:val="0"/>
        <w:widowControl/>
        <w:numPr>
          <w:ilvl w:val="1"/>
          <w:numId w:val="1009"/>
        </w:numPr>
        <w:spacing w:before="0" w:after="20" w:line="269" w:lineRule="auto"/>
        <w:ind w:left="397" w:right="0"/>
      </w:pP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q</m:t>
                </m:r>
              </m:e>
              <m:sub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sub>
            </m:sSub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：A12/A9/B1/B5。</w:t>
      </w:r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输出二阶对比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及删一温度敏感性结果。</w:t>
      </w:r>
    </w:p>
    <w:bookmarkEnd w:id="28"/>
    <w:bookmarkStart w:id="29" w:name="需要什么排名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3.2 需要什么排名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b/>
          <w:bCs/>
          <w:sz w:val="20"/>
        </w:rPr>
        <w:t xml:space="preserve">不做全局因素重要性排名。</w:t>
      </w:r>
    </w:p>
    <w:p>
      <w:pPr>
        <w:pStyle w:val="BodyText"/>
        <w:keepLines w:val="0"/>
        <w:widowControl/>
        <w:spacing w:before="0" w:after="60" w:line="276" w:lineRule="auto"/>
        <w:ind w:left="0" w:right="0" w:firstLine="420"/>
      </w:pPr>
      <w:r>
        <w:rPr>
          <w:rFonts w:ascii="Noto Serif CJK SC" w:hAnsi="Noto Serif CJK SC" w:eastAsia="Noto Serif CJK SC"/>
          <w:sz w:val="20"/>
        </w:rPr>
        <w:t xml:space="preserve">原因：各因素水平跨度、水平数、背景覆盖均不同，且同一因素效应存在温度与背景依赖。只允许在</w:t>
      </w:r>
      <w:r>
        <w:rPr>
          <w:rFonts w:ascii="Noto Serif CJK SC" w:hAnsi="Noto Serif CJK SC" w:eastAsia="Noto Serif CJK SC"/>
          <w:b/>
          <w:bCs/>
          <w:sz w:val="20"/>
        </w:rPr>
        <w:t xml:space="preserve">单个严格匹配块内部</w:t>
      </w:r>
      <w:r>
        <w:rPr>
          <w:rFonts w:ascii="Noto Serif CJK SC" w:hAnsi="Noto Serif CJK SC" w:eastAsia="Noto Serif CJK SC"/>
          <w:sz w:val="20"/>
        </w:rPr>
        <w:t xml:space="preserve">比较当前离散实验水平的相对表现，不能写成“Co 比装料方式重要多少倍”等结论。</w:t>
      </w:r>
    </w:p>
    <w:bookmarkEnd w:id="29"/>
    <w:bookmarkStart w:id="30" w:name="需要生成哪些图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3.3 需要生成哪些图</w:t>
      </w:r>
    </w:p>
    <w:p>
      <w:pPr>
        <w:pStyle w:val="Compact"/>
        <w:keepLines w:val="0"/>
        <w:widowControl/>
        <w:numPr>
          <w:ilvl w:val="0"/>
          <w:numId w:val="1010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21 个催化剂在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250</m:t>
        </m:r>
        <m:r>
          <m:rPr>
            <m:sty m:val="p"/>
          </m:rPr>
          <m:t>,</m:t>
        </m:r>
        <m:r>
          <m:t>275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,</m:t>
        </m:r>
        <m:r>
          <m:t>350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℃四共同温度上的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轨迹图（21 条细线 + 等权均值粗线）；</w:t>
      </w:r>
    </w:p>
    <w:p>
      <w:pPr>
        <w:pStyle w:val="Compact"/>
        <w:keepLines w:val="0"/>
        <w:widowControl/>
        <w:numPr>
          <w:ilvl w:val="0"/>
          <w:numId w:val="1010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同结构的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4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轨迹图；</w:t>
      </w:r>
    </w:p>
    <w:p>
      <w:pPr>
        <w:pStyle w:val="Compact"/>
        <w:keepLines w:val="0"/>
        <w:widowControl/>
        <w:numPr>
          <w:ilvl w:val="0"/>
          <w:numId w:val="1010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四个主要多水平严格匹配块的“温度-响应-因素水平”曲线图；</w:t>
      </w:r>
    </w:p>
    <w:p>
      <w:pPr>
        <w:pStyle w:val="Compact"/>
        <w:keepLines w:val="0"/>
        <w:widowControl/>
        <w:numPr>
          <w:ilvl w:val="0"/>
          <w:numId w:val="1010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6 类同对比族的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Δ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、</w:t>
      </w:r>
      <m:oMath>
        <m:sSub>
          <m:e>
            <m:r>
              <m:t>Δ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图，必须带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参考线；</w:t>
      </w:r>
    </w:p>
    <w:p>
      <w:pPr>
        <w:pStyle w:val="Compact"/>
        <w:keepLines w:val="0"/>
        <w:widowControl/>
        <w:numPr>
          <w:ilvl w:val="0"/>
          <w:numId w:val="1010"/>
        </w:numPr>
        <w:spacing w:before="0" w:after="20" w:line="269" w:lineRule="auto"/>
        <w:ind w:left="397" w:right="0"/>
      </w:pP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sub>
            </m:sSub>
          </m:e>
        </m:d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局部矩形的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I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、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图；</w:t>
      </w:r>
    </w:p>
    <w:p>
      <w:pPr>
        <w:pStyle w:val="Compact"/>
        <w:keepLines w:val="0"/>
        <w:widowControl/>
        <w:numPr>
          <w:ilvl w:val="0"/>
          <w:numId w:val="1010"/>
        </w:numPr>
        <w:spacing w:before="0" w:after="20" w:line="269" w:lineRule="auto"/>
        <w:ind w:left="397" w:right="0"/>
      </w:pP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q</m:t>
                </m:r>
              </m:e>
              <m:sub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sub>
            </m:sSub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局部矩形的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I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、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图；</w:t>
      </w:r>
    </w:p>
    <w:p>
      <w:pPr>
        <w:pStyle w:val="Compact"/>
        <w:keepLines w:val="0"/>
        <w:widowControl/>
        <w:numPr>
          <w:ilvl w:val="0"/>
          <w:numId w:val="1010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正文只保留最能支持结论的图，其余完整结果放附录。</w:t>
      </w:r>
    </w:p>
    <w:bookmarkEnd w:id="30"/>
    <w:bookmarkStart w:id="31" w:name="需要生成哪些表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3.4 需要生成哪些表</w:t>
      </w:r>
    </w:p>
    <w:p>
      <w:pPr>
        <w:pStyle w:val="Compact"/>
        <w:keepLines w:val="0"/>
        <w:widowControl/>
        <w:numPr>
          <w:ilvl w:val="0"/>
          <w:numId w:val="1011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实验因素解析表（21 组，A11 特殊标记）；</w:t>
      </w:r>
    </w:p>
    <w:p>
      <w:pPr>
        <w:pStyle w:val="Compact"/>
        <w:keepLines w:val="0"/>
        <w:widowControl/>
        <w:numPr>
          <w:ilvl w:val="0"/>
          <w:numId w:val="1011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严格匹配块清单；</w:t>
      </w:r>
    </w:p>
    <w:p>
      <w:pPr>
        <w:pStyle w:val="Compact"/>
        <w:keepLines w:val="0"/>
        <w:widowControl/>
        <w:numPr>
          <w:ilvl w:val="0"/>
          <w:numId w:val="1011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多水平匹配块的水平-平均响应表；</w:t>
      </w:r>
    </w:p>
    <w:p>
      <w:pPr>
        <w:pStyle w:val="Compact"/>
        <w:keepLines w:val="0"/>
        <w:widowControl/>
        <w:numPr>
          <w:ilvl w:val="0"/>
          <w:numId w:val="1011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6 类同对比族的逐温度差分与平均差表；</w:t>
      </w:r>
    </w:p>
    <w:p>
      <w:pPr>
        <w:pStyle w:val="Compact"/>
        <w:keepLines w:val="0"/>
        <w:widowControl/>
        <w:numPr>
          <w:ilvl w:val="0"/>
          <w:numId w:val="1011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两个局部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的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与删一温度敏感性表；</w:t>
      </w:r>
    </w:p>
    <w:p>
      <w:pPr>
        <w:pStyle w:val="Compact"/>
        <w:keepLines w:val="0"/>
        <w:widowControl/>
        <w:numPr>
          <w:ilvl w:val="0"/>
          <w:numId w:val="1011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最终“具体对比证据表”；</w:t>
      </w:r>
    </w:p>
    <w:p>
      <w:pPr>
        <w:pStyle w:val="Compact"/>
        <w:keepLines w:val="0"/>
        <w:widowControl/>
        <w:numPr>
          <w:ilvl w:val="0"/>
          <w:numId w:val="1011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最终“因素级结论表”。</w:t>
      </w:r>
    </w:p>
    <w:bookmarkEnd w:id="31"/>
    <w:bookmarkEnd w:id="32"/>
    <w:bookmarkStart w:id="35" w:name="符号与变量"/>
    <w:p>
      <w:pPr>
        <w:pStyle w:val="Heading1"/>
        <w:keepNext/>
        <w:keepLines w:val="0"/>
        <w:widowControl/>
        <w:spacing w:before="200" w:after="8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1F4E79"/>
          <w:sz w:val="29"/>
        </w:rPr>
        <w:t xml:space="preserve">4. 符号与变量</w:t>
      </w:r>
    </w:p>
    <w:bookmarkStart w:id="33" w:name="队内母符号表中直接使用的符号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4.1 队内母符号表中直接使用的符号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符号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含义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单位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m:oMath>
              <m:r>
                <m:t>T</m:t>
              </m:r>
            </m:oMath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反应温度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℃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sub>
              </m:sSub>
            </m:oMath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乙醇转化率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%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C4 烯烃选择性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%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m:oMath>
              <m:sSub>
                <m:e>
                  <m:r>
                    <m:t>ω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sub>
              </m:sSub>
            </m:oMath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Co 负载量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wt%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Co/SiO₂ 装料质量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mg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HAP 装料质量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mg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石英砂质量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mg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催化材料总装料量，</w:t>
            </w:r>
            <m:oMath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，不含石英砂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mg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m:oMath>
              <m:r>
                <m:t>ρ</m:t>
              </m:r>
            </m:oMath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Co/SiO₂ 与 HAP 装料质量比，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；A11 不定义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-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sub>
              </m:sSub>
            </m:oMath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乙醇进料条件（原题称“乙醇浓度”）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mL/min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m:oMath>
              <m:r>
                <m:t>z</m:t>
              </m:r>
            </m:oMath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装料方式哑变量：I 为 0，II 为 1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-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m:oMath>
              <m:r>
                <m:t>G</m:t>
              </m:r>
            </m:oMath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附件 1 催化剂组合数，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21</m:t>
              </m:r>
            </m:oMath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个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附件 1 原始记录数，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114</m:t>
              </m:r>
            </m:oMath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条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催化剂组合索引、组合内部温度观测索引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-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组合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m:oMath>
              <m:r>
                <m:t>i</m:t>
              </m:r>
            </m:oMath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第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m:oMath>
              <m:r>
                <m:t>j</m:t>
              </m:r>
            </m:oMath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个温度点及两个响应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℃ / %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m:oMath>
              <m:r>
                <m:t>R</m:t>
              </m:r>
            </m:oMath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本问局部通用响应占位符，</w:t>
            </w:r>
            <m:oMath>
              <m:r>
                <m:t>R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}</m:t>
              </m:r>
            </m:oMath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%</w:t>
            </w:r>
          </w:p>
        </w:tc>
      </w:tr>
    </w:tbl>
    <w:bookmarkEnd w:id="33"/>
    <w:bookmarkStart w:id="34" w:name="问题二局部定义参数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4.2 问题二局部定义参数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以下仅为本问内部参数，不改动母符号表：</w:t>
      </w:r>
    </w:p>
    <w:p>
      <w:pPr>
        <w:pStyle w:val="Compact"/>
        <w:keepLines w:val="0"/>
        <w:widowControl/>
        <w:numPr>
          <w:ilvl w:val="0"/>
          <w:numId w:val="1012"/>
        </w:numPr>
        <w:spacing w:before="0" w:after="20" w:line="269" w:lineRule="auto"/>
        <w:ind w:left="397" w:right="0"/>
      </w:pPr>
      <m:oMath>
        <m:r>
          <m:t>F</m:t>
        </m:r>
      </m:oMath>
      <w:r>
        <w:rPr>
          <w:rFonts w:ascii="Noto Serif CJK SC" w:hAnsi="Noto Serif CJK SC" w:eastAsia="Noto Serif CJK SC"/>
          <w:sz w:val="20"/>
        </w:rPr>
        <w:t xml:space="preserve">：当前研究的目标因素，</w:t>
      </w:r>
      <m:oMath>
        <m:r>
          <m:t>F</m:t>
        </m:r>
        <m:r>
          <m:rPr>
            <m:sty m:val="p"/>
          </m:rPr>
          <m:t>∈</m:t>
        </m:r>
        <m:r>
          <m:rPr>
            <m:sty m:val="p"/>
          </m:rPr>
          <m:t>{</m:t>
        </m:r>
        <m:sSub>
          <m:e>
            <m:r>
              <m:t>ω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,</m:t>
        </m:r>
        <m:r>
          <m:t>ρ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,</m:t>
        </m:r>
        <m:r>
          <m:t>z</m:t>
        </m:r>
        <m:r>
          <m:rPr>
            <m:sty m:val="p"/>
          </m:rPr>
          <m:t>}</m:t>
        </m:r>
      </m:oMath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12"/>
        </w:numPr>
        <w:spacing w:before="0" w:after="20" w:line="269" w:lineRule="auto"/>
        <w:ind w:left="397" w:right="0"/>
      </w:pPr>
      <m:oMath>
        <m:r>
          <m:t>b</m:t>
        </m:r>
      </m:oMath>
      <w:r>
        <w:rPr>
          <w:rFonts w:ascii="Noto Serif CJK SC" w:hAnsi="Noto Serif CJK SC" w:eastAsia="Noto Serif CJK SC"/>
          <w:sz w:val="20"/>
        </w:rPr>
        <w:t xml:space="preserve">：严格匹配背景/匹配块索引；</w:t>
      </w:r>
    </w:p>
    <w:p>
      <w:pPr>
        <w:pStyle w:val="Compact"/>
        <w:keepLines w:val="0"/>
        <w:widowControl/>
        <w:numPr>
          <w:ilvl w:val="0"/>
          <w:numId w:val="1012"/>
        </w:numPr>
        <w:spacing w:before="0" w:after="20" w:line="269" w:lineRule="auto"/>
        <w:ind w:left="397" w:right="0"/>
      </w:pPr>
      <m:oMath>
        <m:sSub>
          <m:e>
            <m:r>
              <m:rPr>
                <m:sty m:val="p"/>
                <m:scr m:val="script"/>
              </m:rPr>
              <m:t>B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：研究因素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F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时第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b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个严格匹配块；</w:t>
      </w:r>
    </w:p>
    <w:p>
      <w:pPr>
        <w:pStyle w:val="Compact"/>
        <w:keepLines w:val="0"/>
        <w:widowControl/>
        <w:numPr>
          <w:ilvl w:val="0"/>
          <w:numId w:val="1012"/>
        </w:numPr>
        <w:spacing w:before="0" w:after="20" w:line="269" w:lineRule="auto"/>
        <w:ind w:left="397" w:right="0"/>
      </w:pPr>
      <m:oMath>
        <m:r>
          <m:t>h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：该匹配块共同实测温度水平索引；</w:t>
      </w:r>
    </w:p>
    <w:p>
      <w:pPr>
        <w:pStyle w:val="Compact"/>
        <w:keepLines w:val="0"/>
        <w:widowControl/>
        <w:numPr>
          <w:ilvl w:val="0"/>
          <w:numId w:val="1012"/>
        </w:numPr>
        <w:spacing w:before="0" w:after="20" w:line="269" w:lineRule="auto"/>
        <w:ind w:left="397" w:right="0"/>
      </w:pPr>
      <m:oMath>
        <m:r>
          <m:rPr>
            <m:sty m:val="p"/>
          </m:rPr>
          <m:t>ℓ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：该匹配块内因素水平索引；</w:t>
      </w:r>
    </w:p>
    <w:p>
      <w:pPr>
        <w:pStyle w:val="Compact"/>
        <w:keepLines w:val="0"/>
        <w:widowControl/>
        <w:numPr>
          <w:ilvl w:val="0"/>
          <w:numId w:val="1012"/>
        </w:numPr>
        <w:spacing w:before="0" w:after="20" w:line="269" w:lineRule="auto"/>
        <w:ind w:left="397" w:right="0"/>
      </w:pPr>
      <m:oMath>
        <m:sSub>
          <m:e>
            <m:r>
              <m:t>μ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：匹配块整体平均响应；</w:t>
      </w:r>
    </w:p>
    <w:p>
      <w:pPr>
        <w:pStyle w:val="Compact"/>
        <w:keepLines w:val="0"/>
        <w:widowControl/>
        <w:numPr>
          <w:ilvl w:val="0"/>
          <w:numId w:val="1012"/>
        </w:numPr>
        <w:spacing w:before="0" w:after="20" w:line="269" w:lineRule="auto"/>
        <w:ind w:left="397" w:right="0"/>
      </w:pPr>
      <m:oMath>
        <m:sSubSup>
          <m:e>
            <m:r>
              <m:t>α</m:t>
            </m:r>
          </m:e>
          <m:sub>
            <m:r>
              <m:t>h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</m:sup>
        </m:sSubSup>
      </m:oMath>
      <w:r>
        <w:rPr>
          <w:rFonts w:ascii="Noto Serif CJK SC" w:hAnsi="Noto Serif CJK SC" w:eastAsia="Noto Serif CJK SC"/>
          <w:sz w:val="20"/>
        </w:rPr>
        <w:t xml:space="preserve">：共同温度层的加性偏离；</w:t>
      </w:r>
    </w:p>
    <w:p>
      <w:pPr>
        <w:pStyle w:val="Compact"/>
        <w:keepLines w:val="0"/>
        <w:widowControl/>
        <w:numPr>
          <w:ilvl w:val="0"/>
          <w:numId w:val="1012"/>
        </w:numPr>
        <w:spacing w:before="0" w:after="20" w:line="269" w:lineRule="auto"/>
        <w:ind w:left="397" w:right="0"/>
      </w:pPr>
      <m:oMath>
        <m:sSubSup>
          <m:e>
            <m:r>
              <m:t>γ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∣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</m:sup>
        </m:sSubSup>
      </m:oMath>
      <w:r>
        <w:rPr>
          <w:rFonts w:ascii="Noto Serif CJK SC" w:hAnsi="Noto Serif CJK SC" w:eastAsia="Noto Serif CJK SC"/>
          <w:sz w:val="20"/>
        </w:rPr>
        <w:t xml:space="preserve">：在背景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下第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rPr>
            <m:sty m:val="p"/>
          </m:rPr>
          <m:t>ℓ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个因素水平的等权平均条件响应差异；</w:t>
      </w:r>
    </w:p>
    <w:p>
      <w:pPr>
        <w:pStyle w:val="Compact"/>
        <w:keepLines w:val="0"/>
        <w:widowControl/>
        <w:numPr>
          <w:ilvl w:val="0"/>
          <w:numId w:val="1012"/>
        </w:numPr>
        <w:spacing w:before="0" w:after="20" w:line="269" w:lineRule="auto"/>
        <w:ind w:left="397" w:right="0"/>
      </w:pPr>
      <m:oMath>
        <m:sSubSup>
          <m:e>
            <m:r>
              <m:t>e</m:t>
            </m:r>
          </m:e>
          <m:sub>
            <m:r>
              <m:t>h</m:t>
            </m:r>
            <m:r>
              <m:rPr>
                <m:sty m:val="p"/>
              </m:rPr>
              <m:t>ℓ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</m:sup>
        </m:sSubSup>
      </m:oMath>
      <w:r>
        <w:rPr>
          <w:rFonts w:ascii="Noto Serif CJK SC" w:hAnsi="Noto Serif CJK SC" w:eastAsia="Noto Serif CJK SC"/>
          <w:sz w:val="20"/>
        </w:rPr>
        <w:t xml:space="preserve">：加性温度项与因素水平项未解释的非加性偏差；</w:t>
      </w:r>
    </w:p>
    <w:p>
      <w:pPr>
        <w:pStyle w:val="Compact"/>
        <w:keepLines w:val="0"/>
        <w:widowControl/>
        <w:numPr>
          <w:ilvl w:val="0"/>
          <w:numId w:val="1012"/>
        </w:numPr>
        <w:spacing w:before="0" w:after="20" w:line="269" w:lineRule="auto"/>
        <w:ind w:left="397" w:right="0"/>
      </w:pPr>
      <m:oMath>
        <m:r>
          <m:rPr>
            <m:sty m:val="p"/>
            <m:scr m:val="script"/>
          </m:rPr>
          <m:t>C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;</m:t>
            </m:r>
            <m:r>
              <m:t>u</m:t>
            </m:r>
            <m:r>
              <m:rPr>
                <m:sty m:val="p"/>
              </m:rPr>
              <m:t>→</m:t>
            </m:r>
            <m:r>
              <m:t>v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：因素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F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从水平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u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到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v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的同对比族；</w:t>
      </w:r>
    </w:p>
    <w:p>
      <w:pPr>
        <w:pStyle w:val="Compact"/>
        <w:keepLines w:val="0"/>
        <w:widowControl/>
        <w:numPr>
          <w:ilvl w:val="0"/>
          <w:numId w:val="1012"/>
        </w:numPr>
        <w:spacing w:before="0" w:after="20" w:line="269" w:lineRule="auto"/>
        <w:ind w:left="397" w:right="0"/>
      </w:pPr>
      <m:oMath>
        <m:sSub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  <m:scr m:val="script"/>
              </m:rPr>
              <m:t>C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：该同对比族所有背景共有的实测温度集合；</w:t>
      </w:r>
    </w:p>
    <w:p>
      <w:pPr>
        <w:pStyle w:val="Compact"/>
        <w:keepLines w:val="0"/>
        <w:widowControl/>
        <w:numPr>
          <w:ilvl w:val="0"/>
          <w:numId w:val="1012"/>
        </w:numPr>
        <w:spacing w:before="0" w:after="20" w:line="269" w:lineRule="auto"/>
        <w:ind w:left="397" w:right="0"/>
      </w:pPr>
      <m:oMath>
        <m:sSubSup>
          <m:e>
            <m:r>
              <m:t>Δ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b</m:t>
            </m:r>
          </m:sub>
          <m:sup>
            <m:r>
              <m:t>F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→</m:t>
            </m:r>
            <m:r>
              <m:t>v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：背景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b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下、温度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T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时因素从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u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到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v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的百分点条件响应差；</w:t>
      </w:r>
    </w:p>
    <w:p>
      <w:pPr>
        <w:pStyle w:val="Compact"/>
        <w:keepLines w:val="0"/>
        <w:widowControl/>
        <w:numPr>
          <w:ilvl w:val="0"/>
          <w:numId w:val="1012"/>
        </w:numPr>
        <w:spacing w:before="0" w:after="20" w:line="269" w:lineRule="auto"/>
        <w:ind w:left="397" w:right="0"/>
      </w:pPr>
      <m:oMath>
        <m:sSub>
          <m:e>
            <m:r>
              <m:t>I</m:t>
            </m:r>
          </m:e>
          <m:sub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：完整局部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结构中、温度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T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下的百分点加法尺度二阶非加性对比。</w:t>
      </w:r>
    </w:p>
    <w:bookmarkEnd w:id="34"/>
    <w:bookmarkEnd w:id="35"/>
    <w:bookmarkStart w:id="36" w:name="模型假设"/>
    <w:p>
      <w:pPr>
        <w:pStyle w:val="Heading1"/>
        <w:keepNext/>
        <w:keepLines w:val="0"/>
        <w:widowControl/>
        <w:spacing w:before="200" w:after="8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1F4E79"/>
          <w:sz w:val="29"/>
        </w:rPr>
        <w:t xml:space="preserve">5. 模型假设</w:t>
      </w:r>
    </w:p>
    <w:p>
      <w:pPr>
        <w:pStyle w:val="Compact"/>
        <w:keepLines w:val="0"/>
        <w:widowControl/>
        <w:numPr>
          <w:ilvl w:val="0"/>
          <w:numId w:val="1013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数据有效性假设</w:t>
      </w:r>
      <w:r>
        <w:rPr>
          <w:rFonts w:ascii="Noto Serif CJK SC" w:hAnsi="Noto Serif CJK SC" w:eastAsia="Noto Serif CJK SC"/>
          <w:sz w:val="20"/>
        </w:rPr>
        <w:t xml:space="preserve">：附件 1 记录的数值作为实验观测直接使用；未记录温度仅表示未实验，数值 0 为真实结果，不擅自补值或删值。</w:t>
      </w:r>
    </w:p>
    <w:p>
      <w:pPr>
        <w:pStyle w:val="Compact"/>
        <w:keepLines w:val="0"/>
        <w:widowControl/>
        <w:numPr>
          <w:ilvl w:val="0"/>
          <w:numId w:val="1013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条件比较假设</w:t>
      </w:r>
      <w:r>
        <w:rPr>
          <w:rFonts w:ascii="Noto Serif CJK SC" w:hAnsi="Noto Serif CJK SC" w:eastAsia="Noto Serif CJK SC"/>
          <w:sz w:val="20"/>
        </w:rPr>
        <w:t xml:space="preserve">：严格匹配仅针对题目给出且本文纳入的主要实验因素；由此得到的是条件响应差异，不额外假定原实验为完全随机化设计，也不作普遍因果外推。</w:t>
      </w:r>
    </w:p>
    <w:p>
      <w:pPr>
        <w:pStyle w:val="Compact"/>
        <w:keepLines w:val="0"/>
        <w:widowControl/>
        <w:numPr>
          <w:ilvl w:val="0"/>
          <w:numId w:val="1013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组内结构假设</w:t>
      </w:r>
      <w:r>
        <w:rPr>
          <w:rFonts w:ascii="Noto Serif CJK SC" w:hAnsi="Noto Serif CJK SC" w:eastAsia="Noto Serif CJK SC"/>
          <w:sz w:val="20"/>
        </w:rPr>
        <w:t xml:space="preserve">：同一催化剂组合的多个温度点属于同组重复温度观测，不视为相互独立的组间样本；所有跨组合比较只使用实际共同实测温度。</w:t>
      </w:r>
    </w:p>
    <w:p>
      <w:pPr>
        <w:pStyle w:val="Compact"/>
        <w:keepLines w:val="0"/>
        <w:widowControl/>
        <w:numPr>
          <w:ilvl w:val="0"/>
          <w:numId w:val="1013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尺度与误差假设</w:t>
      </w:r>
      <w:r>
        <w:rPr>
          <w:rFonts w:ascii="Noto Serif CJK SC" w:hAnsi="Noto Serif CJK SC" w:eastAsia="Noto Serif CJK SC"/>
          <w:sz w:val="20"/>
        </w:rPr>
        <w:t xml:space="preserve">：所有差分与局部非加性均在“百分点加法尺度”上定义。由于同一“温度×因素水平”基本无独立重复，</w:t>
      </w:r>
      <m:oMath>
        <m:sSub>
          <m:e>
            <m:r>
              <m:t>e</m:t>
            </m:r>
          </m:e>
          <m:sub>
            <m:r>
              <m:t>h</m:t>
            </m:r>
            <m:r>
              <m:rPr>
                <m:sty m:val="p"/>
              </m:rPr>
              <m:t>ℓ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不解释为纯实验随机误差，不做无重复条件下的交互显著性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p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值推断。</w:t>
      </w:r>
    </w:p>
    <w:bookmarkEnd w:id="36"/>
    <w:bookmarkStart w:id="41" w:name="使用模型"/>
    <w:p>
      <w:pPr>
        <w:pStyle w:val="Heading1"/>
        <w:keepNext/>
        <w:keepLines w:val="0"/>
        <w:widowControl/>
        <w:spacing w:before="200" w:after="8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1F4E79"/>
          <w:sz w:val="29"/>
        </w:rPr>
        <w:t xml:space="preserve">6. 使用模型</w:t>
      </w:r>
    </w:p>
    <w:bookmarkStart w:id="37" w:name="模型名称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6.1 模型名称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b/>
          <w:bCs/>
          <w:sz w:val="20"/>
        </w:rPr>
        <w:t xml:space="preserve">基于温度分层匹配与跨背景效应对比的催化因素影响分析模型。</w:t>
      </w:r>
    </w:p>
    <w:p>
      <w:pPr>
        <w:pStyle w:val="BodyText"/>
        <w:keepLines w:val="0"/>
        <w:widowControl/>
        <w:spacing w:before="0" w:after="60" w:line="276" w:lineRule="auto"/>
        <w:ind w:left="0" w:right="0" w:firstLine="420"/>
      </w:pPr>
      <w:r>
        <w:rPr>
          <w:rFonts w:ascii="Noto Serif CJK SC" w:hAnsi="Noto Serif CJK SC" w:eastAsia="Noto Serif CJK SC"/>
          <w:sz w:val="20"/>
        </w:rPr>
        <w:t xml:space="preserve">该模型不是一个单一回归方程，而是一套与现有实验设计结构对应的四层证据链：</w:t>
      </w:r>
    </w:p>
    <w:p>
      <w:pPr>
        <w:pStyle w:val="BodyText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共同温度组内比较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严格匹配块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同对比跨背景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完整局部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非加性</m:t>
              </m:r>
            </m:e>
          </m:borderBox>
        </m:oMath>
      </m:oMathPara>
    </w:p>
    <w:bookmarkEnd w:id="37"/>
    <w:bookmarkStart w:id="38" w:name="选择原因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6.2 选择原因</w:t>
      </w:r>
    </w:p>
    <w:p>
      <w:pPr>
        <w:pStyle w:val="Compact"/>
        <w:keepLines w:val="0"/>
        <w:widowControl/>
        <w:numPr>
          <w:ilvl w:val="0"/>
          <w:numId w:val="1014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直接对应题目目标</w:t>
      </w:r>
      <w:r>
        <w:rPr>
          <w:rFonts w:ascii="Noto Serif CJK SC" w:hAnsi="Noto Serif CJK SC" w:eastAsia="Noto Serif CJK SC"/>
          <w:sz w:val="20"/>
        </w:rPr>
        <w:t xml:space="preserve">：问题二要求“探讨影响”，核心是解释因素方向、非线性和条件依赖，不是建立统一预测器。</w:t>
      </w:r>
    </w:p>
    <w:p>
      <w:pPr>
        <w:pStyle w:val="Compact"/>
        <w:keepLines w:val="0"/>
        <w:widowControl/>
        <w:numPr>
          <w:ilvl w:val="0"/>
          <w:numId w:val="1014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尊重有效样本量</w:t>
      </w:r>
      <w:r>
        <w:rPr>
          <w:rFonts w:ascii="Noto Serif CJK SC" w:hAnsi="Noto Serif CJK SC" w:eastAsia="Noto Serif CJK SC"/>
          <w:sz w:val="20"/>
        </w:rPr>
        <w:t xml:space="preserve">：附件 1 虽有 114 行，但只有 21 个催化剂组合；组级因素的信息量来自催化剂设计，而不是温度重复行数。</w:t>
      </w:r>
    </w:p>
    <w:p>
      <w:pPr>
        <w:pStyle w:val="Compact"/>
        <w:keepLines w:val="0"/>
        <w:widowControl/>
        <w:numPr>
          <w:ilvl w:val="0"/>
          <w:numId w:val="1014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充分利用实验控制结构</w:t>
      </w:r>
      <w:r>
        <w:rPr>
          <w:rFonts w:ascii="Noto Serif CJK SC" w:hAnsi="Noto Serif CJK SC" w:eastAsia="Noto Serif CJK SC"/>
          <w:sz w:val="20"/>
        </w:rPr>
        <w:t xml:space="preserve">：附件中存在多组其它主要条件相同、仅改变一个因素的严格匹配块，设计证据强于混杂严重的全局相关性。</w:t>
      </w:r>
    </w:p>
    <w:p>
      <w:pPr>
        <w:pStyle w:val="Compact"/>
        <w:keepLines w:val="0"/>
        <w:widowControl/>
        <w:numPr>
          <w:ilvl w:val="0"/>
          <w:numId w:val="1014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允许真实的效应异质性</w:t>
      </w:r>
      <w:r>
        <w:rPr>
          <w:rFonts w:ascii="Noto Serif CJK SC" w:hAnsi="Noto Serif CJK SC" w:eastAsia="Noto Serif CJK SC"/>
          <w:sz w:val="20"/>
        </w:rPr>
        <w:t xml:space="preserve">：现有数据已经显示相同因素变化可能随温度或背景反向，用单一全局系数会把重要信息压平。</w:t>
      </w:r>
    </w:p>
    <w:p>
      <w:pPr>
        <w:pStyle w:val="Compact"/>
        <w:keepLines w:val="0"/>
        <w:widowControl/>
        <w:numPr>
          <w:ilvl w:val="0"/>
          <w:numId w:val="1014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低复杂度、透明可复现</w:t>
      </w:r>
      <w:r>
        <w:rPr>
          <w:rFonts w:ascii="Noto Serif CJK SC" w:hAnsi="Noto Serif CJK SC" w:eastAsia="Noto Serif CJK SC"/>
          <w:sz w:val="20"/>
        </w:rPr>
        <w:t xml:space="preserve">：块内分解、差分和二阶对比都可直接由原始数据计算，不依赖高自由度拟合，符合当前样本的信息量。</w:t>
      </w:r>
    </w:p>
    <w:bookmarkEnd w:id="38"/>
    <w:bookmarkStart w:id="39" w:name="不选择其他模型的原因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6.3 不选择其他模型的原因</w:t>
      </w:r>
    </w:p>
    <w:p>
      <w:pPr>
        <w:pStyle w:val="Compact"/>
        <w:keepLines w:val="0"/>
        <w:widowControl/>
        <w:numPr>
          <w:ilvl w:val="0"/>
          <w:numId w:val="1015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不使用全局 OLS 作为主模型</w:t>
      </w:r>
      <w:r>
        <w:rPr>
          <w:rFonts w:ascii="Noto Serif CJK SC" w:hAnsi="Noto Serif CJK SC" w:eastAsia="Noto Serif CJK SC"/>
          <w:sz w:val="20"/>
        </w:rPr>
        <w:t xml:space="preserve">：实验非正交、组级因素覆盖不均、效应明显非线性且存在背景反转；单一平均主效应容易误导。</w:t>
      </w:r>
    </w:p>
    <w:p>
      <w:pPr>
        <w:pStyle w:val="Compact"/>
        <w:keepLines w:val="0"/>
        <w:widowControl/>
        <w:numPr>
          <w:ilvl w:val="0"/>
          <w:numId w:val="1015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不使用随机森林/XGBoost/神经网络</w:t>
      </w:r>
      <w:r>
        <w:rPr>
          <w:rFonts w:ascii="Noto Serif CJK SC" w:hAnsi="Noto Serif CJK SC" w:eastAsia="Noto Serif CJK SC"/>
          <w:sz w:val="20"/>
        </w:rPr>
        <w:t xml:space="preserve">：有效组级样本仅 21，且问题二重解释而非黑箱预测，复杂模型难以获得可靠验证。</w:t>
      </w:r>
    </w:p>
    <w:p>
      <w:pPr>
        <w:pStyle w:val="Compact"/>
        <w:keepLines w:val="0"/>
        <w:widowControl/>
        <w:numPr>
          <w:ilvl w:val="0"/>
          <w:numId w:val="1015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不使用 PCA</w:t>
      </w:r>
      <w:r>
        <w:rPr>
          <w:rFonts w:ascii="Noto Serif CJK SC" w:hAnsi="Noto Serif CJK SC" w:eastAsia="Noto Serif CJK SC"/>
          <w:sz w:val="20"/>
        </w:rPr>
        <w:t xml:space="preserve">：实验因素本身具有明确物理意义，降维会损失可解释性。</w:t>
      </w:r>
    </w:p>
    <w:p>
      <w:pPr>
        <w:pStyle w:val="Compact"/>
        <w:keepLines w:val="0"/>
        <w:widowControl/>
        <w:numPr>
          <w:ilvl w:val="0"/>
          <w:numId w:val="1015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不使用普通双因素 ANOVA 宣布交互显著</w:t>
      </w:r>
      <w:r>
        <w:rPr>
          <w:rFonts w:ascii="Noto Serif CJK SC" w:hAnsi="Noto Serif CJK SC" w:eastAsia="Noto Serif CJK SC"/>
          <w:sz w:val="20"/>
        </w:rPr>
        <w:t xml:space="preserve">：多数单元格无重复，无法独立估计纯误差。</w:t>
      </w:r>
    </w:p>
    <w:p>
      <w:pPr>
        <w:pStyle w:val="Compact"/>
        <w:keepLines w:val="0"/>
        <w:widowControl/>
        <w:numPr>
          <w:ilvl w:val="0"/>
          <w:numId w:val="1015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不使用随机行划分训练/测试集</w:t>
      </w:r>
      <w:r>
        <w:rPr>
          <w:rFonts w:ascii="Noto Serif CJK SC" w:hAnsi="Noto Serif CJK SC" w:eastAsia="Noto Serif CJK SC"/>
          <w:sz w:val="20"/>
        </w:rPr>
        <w:t xml:space="preserve">：会把同一催化剂不同温度拆入训练与验证，产生虚高泛化评价；本问本身也不是预测任务。</w:t>
      </w:r>
    </w:p>
    <w:bookmarkEnd w:id="39"/>
    <w:bookmarkStart w:id="40" w:name="模型复杂度与有效信息量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6.4 模型复杂度与有效信息量</w:t>
      </w:r>
    </w:p>
    <w:p>
      <w:pPr>
        <w:pStyle w:val="Compact"/>
        <w:keepLines w:val="0"/>
        <w:widowControl/>
        <w:numPr>
          <w:ilvl w:val="0"/>
          <w:numId w:val="1016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温度总体效应：21 个催化剂均可作组内共同温度比较；</w:t>
      </w:r>
    </w:p>
    <w:p>
      <w:pPr>
        <w:pStyle w:val="Compact"/>
        <w:keepLines w:val="0"/>
        <w:widowControl/>
        <w:numPr>
          <w:ilvl w:val="0"/>
          <w:numId w:val="1016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多水平匹配块：每块仅使用 3-5 个真实因素水平，不拟合高阶连续曲线；</w:t>
      </w:r>
    </w:p>
    <w:p>
      <w:pPr>
        <w:pStyle w:val="Compact"/>
        <w:keepLines w:val="0"/>
        <w:widowControl/>
        <w:numPr>
          <w:ilvl w:val="0"/>
          <w:numId w:val="1016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同对比跨背景：真正可复现背景仅 2-3 个，故只报告方向、曲线与条件稳定性，不做总体显著性推断；</w:t>
      </w:r>
    </w:p>
    <w:p>
      <w:pPr>
        <w:pStyle w:val="Compact"/>
        <w:keepLines w:val="0"/>
        <w:widowControl/>
        <w:numPr>
          <w:ilvl w:val="0"/>
          <w:numId w:val="1016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局部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Noto Serif CJK SC" w:hAnsi="Noto Serif CJK SC" w:eastAsia="Noto Serif CJK SC"/>
          <w:sz w:val="20"/>
        </w:rPr>
        <w:t xml:space="preserve">：每个结构只有 4 个催化剂组合，故只做二阶对比及删一温度敏感性，不增加三阶交互或复杂回归。</w:t>
      </w:r>
    </w:p>
    <w:bookmarkEnd w:id="40"/>
    <w:bookmarkEnd w:id="41"/>
    <w:bookmarkStart w:id="48" w:name="数学公式"/>
    <w:p>
      <w:pPr>
        <w:pStyle w:val="Heading1"/>
        <w:keepNext/>
        <w:keepLines w:val="0"/>
        <w:widowControl/>
        <w:spacing w:before="200" w:after="8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1F4E79"/>
          <w:sz w:val="29"/>
        </w:rPr>
        <w:t xml:space="preserve">7. 数学公式</w:t>
      </w:r>
    </w:p>
    <w:bookmarkStart w:id="42" w:name="温度端点组内差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7.1 温度端点组内差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对组合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i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和响应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R</m:t>
        </m:r>
      </m:oMath>
      <w:r>
        <w:rPr>
          <w:rFonts w:ascii="Noto Serif CJK SC" w:hAnsi="Noto Serif CJK SC" w:eastAsia="Noto Serif CJK SC"/>
          <w:sz w:val="20"/>
        </w:rPr>
        <w:t xml:space="preserve">，定义：</w:t>
      </w:r>
    </w:p>
    <w:p>
      <w:pPr>
        <w:pStyle w:val="BodyText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350</m:t>
              </m:r>
            </m:e>
          </m:d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250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该指标表示同一催化剂在 250→350 ℃的端点净变化，不意味着中间每一小段均严格单调。</w:t>
      </w:r>
    </w:p>
    <w:bookmarkEnd w:id="42"/>
    <w:bookmarkStart w:id="43" w:name="严格匹配关系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7.2 严格匹配关系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对普通含 HAP 组合定义实验因素向量：</w:t>
      </w:r>
    </w:p>
    <w:p>
      <w:pPr>
        <w:pStyle w:val="BodyText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研究目标因素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F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时：</w:t>
      </w:r>
    </w:p>
    <w:p>
      <w:pPr>
        <w:pStyle w:val="BodyText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r>
            <m:t>i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t>F</m:t>
              </m:r>
            </m:sub>
          </m:sSub>
          <m:r>
            <m:t>j</m:t>
          </m:r>
          <m:r>
            <m:rPr>
              <m:sty m:val="p"/>
            </m:rPr>
            <m:t>⇔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F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据此形成严格匹配块：</w:t>
      </w:r>
    </w:p>
    <w:p>
      <w:pPr>
        <w:pStyle w:val="BodyText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B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i</m:t>
          </m:r>
          <m:r>
            <m:rPr>
              <m:sty m:val="p"/>
            </m:rPr>
            <m:t>: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仅保留块内至少存在两个不同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F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水平的等价类。</w:t>
      </w:r>
    </w:p>
    <w:bookmarkEnd w:id="43"/>
    <w:bookmarkStart w:id="44" w:name="多水平匹配块的温度分层加性分解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7.3 多水平匹配块的温度分层加性分解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设块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B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有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个共同温度、</w:t>
      </w:r>
      <m:oMath>
        <m:sSub>
          <m:e>
            <m:r>
              <m:t>L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个因素水平：</w:t>
      </w:r>
    </w:p>
    <w:p>
      <w:pPr>
        <w:pStyle w:val="BodyText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h</m:t>
              </m:r>
              <m:r>
                <m:rPr>
                  <m:sty m:val="p"/>
                </m:rPr>
                <m:t>ℓ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h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sup>
          </m:sSubSup>
          <m:r>
            <m:rPr>
              <m:sty m:val="p"/>
            </m:rPr>
            <m:t>+</m:t>
          </m:r>
          <m:sSubSup>
            <m:e>
              <m:r>
                <m:t>γ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sup>
          </m:sSubSup>
          <m:r>
            <m:rPr>
              <m:sty m:val="p"/>
            </m:rPr>
            <m:t>+</m:t>
          </m:r>
          <m:sSubSup>
            <m:e>
              <m:r>
                <m:t>e</m:t>
              </m:r>
            </m:e>
            <m:sub>
              <m:r>
                <m:t>h</m:t>
              </m:r>
              <m:r>
                <m:rPr>
                  <m:sty m:val="p"/>
                </m:rPr>
                <m:t>ℓ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各量直接由边际均值定义：</w:t>
      </w:r>
    </w:p>
    <w:p>
      <w:pPr>
        <w:pStyle w:val="BodyText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e>
            <m: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⋅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sSubSup>
            <m:e>
              <m:r>
                <m:t>α</m:t>
              </m:r>
            </m:e>
            <m:sub>
              <m:r>
                <m:t>h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e>
            <m:sub>
              <m:r>
                <m:t>h</m:t>
              </m:r>
              <m:r>
                <m:rPr>
                  <m:sty m:val="p"/>
                </m:rPr>
                <m:t>⋅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e>
            <m: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⋅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e>
            <m: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ℓ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e>
            <m: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⋅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h</m:t>
              </m:r>
              <m:r>
                <m:rPr>
                  <m:sty m:val="p"/>
                </m:rPr>
                <m:t>ℓ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h</m:t>
              </m:r>
              <m:r>
                <m:rPr>
                  <m:sty m:val="p"/>
                </m:rPr>
                <m:t>ℓ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e>
            <m:sub>
              <m:r>
                <m:t>h</m:t>
              </m:r>
              <m:r>
                <m:rPr>
                  <m:sty m:val="p"/>
                </m:rPr>
                <m:t>⋅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e>
            <m: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ℓ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e>
            <m: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⋅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从而满足：</w:t>
      </w:r>
    </w:p>
    <w:p>
      <w:pPr>
        <w:pStyle w:val="BodyText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h</m:t>
              </m:r>
            </m:sub>
            <m:sup>
              <m:r>
                <m:t>​</m:t>
              </m:r>
            </m:sup>
            <m:e>
              <m:sSubSup>
                <m:e>
                  <m:r>
                    <m:t>α</m:t>
                  </m:r>
                </m:e>
                <m:sub>
                  <m:r>
                    <m:t>h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ℓ</m:t>
              </m:r>
            </m:sub>
            <m:sup>
              <m:r>
                <m:t>​</m:t>
              </m:r>
            </m:sup>
            <m:e>
              <m:sSubSup>
                <m:e>
                  <m:r>
                    <m:t>γ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b</m:t>
                      </m:r>
                    </m:sub>
                  </m:sSub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b/>
          <w:bCs/>
          <w:sz w:val="20"/>
        </w:rPr>
        <w:t xml:space="preserve">解释</w:t>
      </w:r>
      <w:r>
        <w:rPr>
          <w:rFonts w:ascii="Noto Serif CJK SC" w:hAnsi="Noto Serif CJK SC" w:eastAsia="Noto Serif CJK SC"/>
          <w:sz w:val="20"/>
        </w:rPr>
        <w:t xml:space="preserve">：</w:t>
      </w:r>
      <m:oMath>
        <m:r>
          <m:t>γ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只是“该块共同实测温度水平上的等权平均条件差异”；逐温度响应曲线仍是主证据。</w:t>
      </w:r>
      <m:oMath>
        <m:r>
          <m:t>e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只称“非加性偏差”，不称纯实验误差。</w:t>
      </w:r>
    </w:p>
    <w:bookmarkEnd w:id="44"/>
    <w:bookmarkStart w:id="45" w:name="二水平条件差与同对比族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7.4 二水平条件差与同对比族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对连续因素统一规定“高水平减低水平”，装料方式统一规定“II-I”：</w:t>
      </w:r>
    </w:p>
    <w:p>
      <w:pPr>
        <w:pStyle w:val="BodyText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sSubSup>
            <m:e>
              <m:r>
                <m:t>Δ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  <m:sup>
              <m:r>
                <m:t>F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v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跨背景只允许比较完全相同的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F</m:t>
        </m:r>
        <m:r>
          <m:rPr>
            <m:sty m:val="p"/>
          </m:rPr>
          <m:t>:</m:t>
        </m:r>
        <m:r>
          <m:t>u</m:t>
        </m:r>
        <m:r>
          <m:rPr>
            <m:sty m:val="p"/>
          </m:rPr>
          <m:t>→</m:t>
        </m:r>
        <m:r>
          <m:t>v</m:t>
        </m:r>
      </m:oMath>
      <w:r>
        <w:rPr>
          <w:rFonts w:ascii="Noto Serif CJK SC" w:hAnsi="Noto Serif CJK SC" w:eastAsia="Noto Serif CJK SC"/>
          <w:sz w:val="20"/>
        </w:rPr>
        <w:t xml:space="preserve">。若其背景集合为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rPr>
            <m:sty m:val="p"/>
            <m:scr m:val="script"/>
          </m:rPr>
          <m:t>C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;</m:t>
            </m:r>
            <m:r>
              <m:t>u</m:t>
            </m:r>
            <m:r>
              <m:rPr>
                <m:sty m:val="p"/>
              </m:rPr>
              <m:t>→</m:t>
            </m:r>
            <m:r>
              <m:t>v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，则统一使用：</w:t>
      </w:r>
    </w:p>
    <w:p>
      <w:pPr>
        <w:pStyle w:val="BodyText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>
                  <m:sty m:val="p"/>
                  <m:scr m:val="script"/>
                </m:rPr>
                <m:t>C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⋂</m:t>
              </m:r>
            </m:e>
            <m:lim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C</m:t>
              </m:r>
            </m:lim>
          </m:limLow>
          <m:sSub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平均差仅作摘要：</w:t>
      </w:r>
    </w:p>
    <w:p>
      <w:pPr>
        <w:pStyle w:val="BodyText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sSubSup>
            <m:e>
              <m:bar>
                <m:barPr>
                  <m:pos m:val="top"/>
                </m:barPr>
                <m:e>
                  <m:r>
                    <m:t>Δ</m:t>
                  </m:r>
                </m:e>
              </m:ba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  <m:sup>
              <m:r>
                <m:t>F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v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T</m:t>
                      </m:r>
                    </m:e>
                    <m:sub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  <m:scr m:val="script"/>
                    </m:rPr>
                    <m:t>C</m:t>
                  </m:r>
                </m:sub>
              </m:sSub>
            </m:sub>
            <m:sup>
              <m:r>
                <m:t>​</m:t>
              </m:r>
            </m:sup>
            <m:e>
              <m:sSubSup>
                <m:e>
                  <m:r>
                    <m:t>Δ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  <m:sup>
                  <m:r>
                    <m:t>F</m:t>
                  </m:r>
                  <m:r>
                    <m:rPr>
                      <m:sty m:val="p"/>
                    </m:rPr>
                    <m:t>:</m:t>
                  </m:r>
                  <m:r>
                    <m:t>u</m:t>
                  </m:r>
                  <m:r>
                    <m:rPr>
                      <m:sty m:val="p"/>
                    </m:rPr>
                    <m:t>→</m:t>
                  </m:r>
                  <m:r>
                    <m:t>v</m:t>
                  </m:r>
                </m:sup>
              </m:sSubSup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最终判读优先看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Δ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是否穿过 0、不同背景是否位于 0 的同侧。</w:t>
      </w:r>
    </w:p>
    <w:bookmarkEnd w:id="45"/>
    <w:bookmarkStart w:id="46" w:name="局部-2times2-二阶非加性对比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7.5 局部</w:t>
      </w:r>
      <w:r>
        <w:rPr>
          <w:rFonts w:ascii="Noto Sans CJK SC" w:hAnsi="Noto Sans CJK SC" w:eastAsia="Noto Sans CJK SC"/>
          <w:b/>
          <w:color w:val="2D506E"/>
          <w:sz w:val="24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Noto Sans CJK SC" w:hAnsi="Noto Sans CJK SC" w:eastAsia="Noto Sans CJK SC"/>
          <w:b/>
          <w:color w:val="2D506E"/>
          <w:sz w:val="24"/>
        </w:rPr>
        <w:t xml:space="preserve"> </w:t>
      </w:r>
      <w:r>
        <w:rPr>
          <w:rFonts w:ascii="Noto Sans CJK SC" w:hAnsi="Noto Sans CJK SC" w:eastAsia="Noto Sans CJK SC"/>
          <w:b/>
          <w:color w:val="2D506E"/>
          <w:sz w:val="24"/>
        </w:rPr>
        <w:t xml:space="preserve">二阶非加性对比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若两个因素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各取两个水平，且其余三个因素严格一致、四格齐全，则在温度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T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下定义：</w:t>
      </w:r>
    </w:p>
    <w:p>
      <w:pPr>
        <w:pStyle w:val="BodyText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11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10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−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01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00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表示在</w:t>
      </w:r>
      <w:r>
        <w:rPr>
          <w:rFonts w:ascii="Noto Serif CJK SC" w:hAnsi="Noto Serif CJK SC" w:eastAsia="Noto Serif CJK SC"/>
          <w:b/>
          <w:bCs/>
          <w:sz w:val="20"/>
        </w:rPr>
        <w:t xml:space="preserve">百分点加法尺度</w:t>
      </w:r>
      <w:r>
        <w:rPr>
          <w:rFonts w:ascii="Noto Serif CJK SC" w:hAnsi="Noto Serif CJK SC" w:eastAsia="Noto Serif CJK SC"/>
          <w:sz w:val="20"/>
        </w:rPr>
        <w:t xml:space="preserve">下，两因素在该局部四格中恰为加性；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≠</m:t>
        </m:r>
        <m:r>
          <m:t>0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表示存在局部非加性。不得据此直接作“统计显著交互”推断。</w:t>
      </w:r>
    </w:p>
    <w:p>
      <w:pPr>
        <w:pStyle w:val="BodyText"/>
        <w:keepLines w:val="0"/>
        <w:widowControl/>
        <w:spacing w:before="0" w:after="60" w:line="276" w:lineRule="auto"/>
        <w:ind w:left="0" w:right="0" w:firstLine="420"/>
      </w:pPr>
      <w:r>
        <w:rPr>
          <w:rFonts w:ascii="Noto Serif CJK SC" w:hAnsi="Noto Serif CJK SC" w:eastAsia="Noto Serif CJK SC"/>
          <w:sz w:val="20"/>
        </w:rPr>
        <w:t xml:space="preserve">本题两套具体定义为：</w:t>
      </w:r>
    </w:p>
    <w:p>
      <w:pPr>
        <w:pStyle w:val="BodyText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400</m:t>
                  </m:r>
                  <m:r>
                    <m:rPr>
                      <m:sty m:val="p"/>
                    </m:rPr>
                    <m:t>,</m:t>
                  </m:r>
                  <m:r>
                    <m:t>1.68</m:t>
                  </m:r>
                </m:e>
              </m:d>
              <m:r>
                <m:rPr>
                  <m:sty m:val="p"/>
                </m:rPr>
                <m:t>−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1.68</m:t>
                  </m:r>
                </m:e>
              </m:d>
            </m:e>
          </m:d>
          <m:r>
            <m:rPr>
              <m:sty m:val="p"/>
            </m:rPr>
            <m:t>−</m:t>
          </m:r>
          <m:d>
            <m:dPr>
              <m:begChr m:val="["/>
              <m:endChr m:val="]"/>
              <m:sepChr m:val=""/>
              <m:grow/>
            </m:dPr>
            <m:e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400</m:t>
                  </m:r>
                  <m:r>
                    <m:rPr>
                      <m:sty m:val="p"/>
                    </m:rPr>
                    <m:t>,</m:t>
                  </m:r>
                  <m:r>
                    <m:t>0.9</m:t>
                  </m:r>
                </m:e>
              </m:d>
              <m:r>
                <m:rPr>
                  <m:sty m:val="p"/>
                </m:rPr>
                <m:t>−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0.9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对应 A8/A12/A3/A1；以及</w:t>
      </w:r>
    </w:p>
    <w:p>
      <w:pPr>
        <w:pStyle w:val="BodyText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q</m:t>
              </m:r>
              <m:r>
                <m:t>z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2.1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I</m:t>
                  </m:r>
                </m:e>
              </m:d>
              <m:r>
                <m:rPr>
                  <m:sty m:val="p"/>
                </m:rPr>
                <m:t>−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2.1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I</m:t>
                  </m:r>
                </m:e>
              </m:d>
            </m:e>
          </m:d>
          <m:r>
            <m:rPr>
              <m:sty m:val="p"/>
            </m:rPr>
            <m:t>−</m:t>
          </m:r>
          <m:d>
            <m:dPr>
              <m:begChr m:val="["/>
              <m:endChr m:val="]"/>
              <m:sepChr m:val=""/>
              <m:grow/>
            </m:dPr>
            <m:e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1.68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I</m:t>
                  </m:r>
                </m:e>
              </m:d>
              <m:r>
                <m:rPr>
                  <m:sty m:val="p"/>
                </m:rPr>
                <m:t>−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1.68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I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对应 A12/A9/B1/B5。</w:t>
      </w:r>
    </w:p>
    <w:bookmarkEnd w:id="46"/>
    <w:bookmarkStart w:id="47" w:name="删一温度敏感性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7.6 删一温度敏感性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若局部矩形共有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K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个温度，依次删去第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h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个温度后计算：</w:t>
      </w:r>
    </w:p>
    <w:p>
      <w:pPr>
        <w:pStyle w:val="BodyText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I</m:t>
                  </m:r>
                </m:e>
              </m:acc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  <m:r>
                <m:rPr>
                  <m:sty m:val="p"/>
                </m:rPr>
                <m:t>≠</m:t>
              </m:r>
              <m:r>
                <m:t>h</m:t>
              </m:r>
            </m:sub>
            <m:sup>
              <m:r>
                <m:t>​</m:t>
              </m:r>
            </m:sup>
            <m:e>
              <m:r>
                <m:t>I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只检查方向是否由某一个温度点驱动，不将其称作 LOOCV。</w:t>
      </w:r>
    </w:p>
    <w:bookmarkEnd w:id="47"/>
    <w:bookmarkEnd w:id="48"/>
    <w:bookmarkStart w:id="49" w:name="算法步骤"/>
    <w:p>
      <w:pPr>
        <w:pStyle w:val="Heading1"/>
        <w:keepNext/>
        <w:keepLines w:val="0"/>
        <w:widowControl/>
        <w:spacing w:before="200" w:after="8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1F4E79"/>
          <w:sz w:val="29"/>
        </w:rPr>
        <w:t xml:space="preserve">8. 算法步骤</w:t>
      </w:r>
    </w:p>
    <w:p>
      <w:pPr>
        <w:pStyle w:val="Compact"/>
        <w:keepLines w:val="0"/>
        <w:widowControl/>
        <w:numPr>
          <w:ilvl w:val="0"/>
          <w:numId w:val="101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读取数据</w:t>
      </w:r>
      <w:r>
        <w:rPr>
          <w:rFonts w:ascii="Noto Serif CJK SC" w:hAnsi="Noto Serif CJK SC" w:eastAsia="Noto Serif CJK SC"/>
          <w:sz w:val="20"/>
        </w:rPr>
        <w:t xml:space="preserve">：读取附件 1“性能数据表”，恢复每行所属催化剂组合；读取原始数值而非截图/OCR。</w:t>
      </w:r>
    </w:p>
    <w:p>
      <w:pPr>
        <w:pStyle w:val="Compact"/>
        <w:keepLines w:val="0"/>
        <w:widowControl/>
        <w:numPr>
          <w:ilvl w:val="0"/>
          <w:numId w:val="101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数据预处理</w:t>
      </w:r>
      <w:r>
        <w:rPr>
          <w:rFonts w:ascii="Noto Serif CJK SC" w:hAnsi="Noto Serif CJK SC" w:eastAsia="Noto Serif CJK SC"/>
          <w:sz w:val="20"/>
        </w:rPr>
        <w:t xml:space="preserve">：解析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ω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h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,</m:t>
        </m:r>
        <m:r>
          <m:t>ρ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,</m:t>
        </m:r>
        <m:r>
          <m:t>z</m:t>
        </m:r>
      </m:oMath>
      <w:r>
        <w:rPr>
          <w:rFonts w:ascii="Noto Serif CJK SC" w:hAnsi="Noto Serif CJK SC" w:eastAsia="Noto Serif CJK SC"/>
          <w:sz w:val="20"/>
        </w:rPr>
        <w:t xml:space="preserve">；A11 特殊标记；未实测温度保持缺失。</w:t>
      </w:r>
    </w:p>
    <w:p>
      <w:pPr>
        <w:pStyle w:val="Compact"/>
        <w:keepLines w:val="0"/>
        <w:widowControl/>
        <w:numPr>
          <w:ilvl w:val="0"/>
          <w:numId w:val="101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范围与组成检查</w:t>
      </w:r>
      <w:r>
        <w:rPr>
          <w:rFonts w:ascii="Noto Serif CJK SC" w:hAnsi="Noto Serif CJK SC" w:eastAsia="Noto Serif CJK SC"/>
          <w:sz w:val="20"/>
        </w:rPr>
        <w:t xml:space="preserve">：验证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≤</m:t>
        </m:r>
        <m:r>
          <m:t>100</m:t>
        </m:r>
      </m:oMath>
      <w:r>
        <w:rPr>
          <w:rFonts w:ascii="Noto Serif CJK SC" w:hAnsi="Noto Serif CJK SC" w:eastAsia="Noto Serif CJK SC"/>
          <w:sz w:val="20"/>
        </w:rPr>
        <w:t xml:space="preserve">；同一行各产物选择性之和约为 100%；禁止把其它选择性用作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4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的预测变量。</w:t>
      </w:r>
    </w:p>
    <w:p>
      <w:pPr>
        <w:pStyle w:val="Compact"/>
        <w:keepLines w:val="0"/>
        <w:widowControl/>
        <w:numPr>
          <w:ilvl w:val="0"/>
          <w:numId w:val="101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温度总体模块</w:t>
      </w:r>
      <w:r>
        <w:rPr>
          <w:rFonts w:ascii="Noto Serif CJK SC" w:hAnsi="Noto Serif CJK SC" w:eastAsia="Noto Serif CJK SC"/>
          <w:sz w:val="20"/>
        </w:rPr>
        <w:t xml:space="preserve">：确认 21 个组合共同温度为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rPr>
            <m:sty m:val="p"/>
          </m:rPr>
          <m:t>{</m:t>
        </m:r>
        <m:r>
          <m:t>250</m:t>
        </m:r>
        <m:r>
          <m:rPr>
            <m:sty m:val="p"/>
          </m:rPr>
          <m:t>,</m:t>
        </m:r>
        <m:r>
          <m:t>275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,</m:t>
        </m:r>
        <m:r>
          <m:t>350</m:t>
        </m:r>
        <m:r>
          <m:rPr>
            <m:sty m:val="p"/>
          </m:rPr>
          <m:t>}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℃；计算每组轨迹、</w:t>
      </w:r>
      <m:oMath>
        <m:sSubSup>
          <m:e>
            <m:r>
              <m:t>D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sup>
        </m:sSubSup>
      </m:oMath>
      <w:r>
        <w:rPr>
          <w:rFonts w:ascii="Noto Serif CJK SC" w:hAnsi="Noto Serif CJK SC" w:eastAsia="Noto Serif CJK SC"/>
          <w:sz w:val="20"/>
        </w:rPr>
        <w:t xml:space="preserve">、</w:t>
      </w:r>
      <m:oMath>
        <m:sSubSup>
          <m:e>
            <m:r>
              <m:t>D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bSup>
      </m:oMath>
      <w:r>
        <w:rPr>
          <w:rFonts w:ascii="Noto Serif CJK SC" w:hAnsi="Noto Serif CJK SC" w:eastAsia="Noto Serif CJK SC"/>
          <w:sz w:val="20"/>
        </w:rPr>
        <w:t xml:space="preserve">、正增量数、均值与中位数。</w:t>
      </w:r>
    </w:p>
    <w:p>
      <w:pPr>
        <w:pStyle w:val="Compact"/>
        <w:keepLines w:val="0"/>
        <w:widowControl/>
        <w:numPr>
          <w:ilvl w:val="0"/>
          <w:numId w:val="101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严格匹配块自动枚举</w:t>
      </w:r>
      <w:r>
        <w:rPr>
          <w:rFonts w:ascii="Noto Serif CJK SC" w:hAnsi="Noto Serif CJK SC" w:eastAsia="Noto Serif CJK SC"/>
          <w:sz w:val="20"/>
        </w:rPr>
        <w:t xml:space="preserve">：对每个因素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F</m:t>
        </m:r>
      </m:oMath>
      <w:r>
        <w:rPr>
          <w:rFonts w:ascii="Noto Serif CJK SC" w:hAnsi="Noto Serif CJK SC" w:eastAsia="Noto Serif CJK SC"/>
          <w:sz w:val="20"/>
        </w:rPr>
        <w:t xml:space="preserve">，按“除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F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外所有因素”分组，保留至少两个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F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水平的等价类。</w:t>
      </w:r>
      <w:r>
        <w:rPr>
          <w:rFonts w:ascii="Noto Serif CJK SC" w:hAnsi="Noto Serif CJK SC" w:eastAsia="Noto Serif CJK SC"/>
          <w:b/>
          <w:bCs/>
          <w:sz w:val="20"/>
        </w:rPr>
        <w:t xml:space="preserve">不能人工只挑结论漂亮的组合。</w:t>
      </w:r>
    </w:p>
    <w:p>
      <w:pPr>
        <w:pStyle w:val="Compact"/>
        <w:keepLines w:val="0"/>
        <w:widowControl/>
        <w:numPr>
          <w:ilvl w:val="0"/>
          <w:numId w:val="101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块内分析</w:t>
      </w:r>
      <w:r>
        <w:rPr>
          <w:rFonts w:ascii="Noto Serif CJK SC" w:hAnsi="Noto Serif CJK SC" w:eastAsia="Noto Serif CJK SC"/>
          <w:sz w:val="20"/>
        </w:rPr>
        <w:t xml:space="preserve">：多水平块使用温度分层加性分解，并以逐温度曲线为主、</w:t>
      </w:r>
      <m:oMath>
        <m:r>
          <m:t>γ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为摘要；二水平块直接计算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Δ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。</w:t>
      </w:r>
    </w:p>
    <w:p>
      <w:pPr>
        <w:pStyle w:val="Compact"/>
        <w:keepLines w:val="0"/>
        <w:widowControl/>
        <w:numPr>
          <w:ilvl w:val="0"/>
          <w:numId w:val="101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同对比族自动枚举</w:t>
      </w:r>
      <w:r>
        <w:rPr>
          <w:rFonts w:ascii="Noto Serif CJK SC" w:hAnsi="Noto Serif CJK SC" w:eastAsia="Noto Serif CJK SC"/>
          <w:sz w:val="20"/>
        </w:rPr>
        <w:t xml:space="preserve">：将块内 pairwise contrast 按完全相同的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F</m:t>
        </m:r>
        <m:r>
          <m:rPr>
            <m:sty m:val="p"/>
          </m:rPr>
          <m:t>:</m:t>
        </m:r>
        <m:r>
          <m:t>u</m:t>
        </m:r>
        <m:r>
          <m:rPr>
            <m:sty m:val="p"/>
          </m:rPr>
          <m:t>→</m:t>
        </m:r>
        <m:r>
          <m:t>v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合并；只保留至少两个不同背景的对比族；计算共同温度交集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  <m:scr m:val="script"/>
              </m:rPr>
              <m:t>C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后再比较。</w:t>
      </w:r>
    </w:p>
    <w:p>
      <w:pPr>
        <w:pStyle w:val="Compact"/>
        <w:keepLines w:val="0"/>
        <w:widowControl/>
        <w:numPr>
          <w:ilvl w:val="0"/>
          <w:numId w:val="101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跨背景判读</w:t>
      </w:r>
      <w:r>
        <w:rPr>
          <w:rFonts w:ascii="Noto Serif CJK SC" w:hAnsi="Noto Serif CJK SC" w:eastAsia="Noto Serif CJK SC"/>
          <w:sz w:val="20"/>
        </w:rPr>
        <w:t xml:space="preserve">：</w:t>
      </w:r>
    </w:p>
    <w:p>
      <w:pPr>
        <w:pStyle w:val="Compact"/>
        <w:keepLines w:val="0"/>
        <w:widowControl/>
        <w:numPr>
          <w:ilvl w:val="1"/>
          <w:numId w:val="1018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同背景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穿 0 → 温度条件依赖/方向反转；</w:t>
      </w:r>
    </w:p>
    <w:p>
      <w:pPr>
        <w:pStyle w:val="Compact"/>
        <w:keepLines w:val="0"/>
        <w:widowControl/>
        <w:numPr>
          <w:ilvl w:val="1"/>
          <w:numId w:val="1018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同一对比在不同背景位于 0 两侧 → 跨背景方向不一致；</w:t>
      </w:r>
    </w:p>
    <w:p>
      <w:pPr>
        <w:pStyle w:val="Compact"/>
        <w:keepLines w:val="0"/>
        <w:widowControl/>
        <w:numPr>
          <w:ilvl w:val="1"/>
          <w:numId w:val="1018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方向一致但幅度不同 → 方向较稳定、幅度背景依赖。</w:t>
      </w:r>
    </w:p>
    <w:p>
      <w:pPr>
        <w:pStyle w:val="Compact"/>
        <w:keepLines w:val="0"/>
        <w:widowControl/>
        <w:numPr>
          <w:ilvl w:val="0"/>
          <w:numId w:val="101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完整局部</w:t>
      </w:r>
      <w:r>
        <w:rPr>
          <w:rFonts w:ascii="Noto Serif CJK SC" w:hAnsi="Noto Serif CJK SC" w:eastAsia="Noto Serif CJK SC"/>
          <w:b/>
          <w:bCs/>
          <w:sz w:val="20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Noto Serif CJK SC" w:hAnsi="Noto Serif CJK SC" w:eastAsia="Noto Serif CJK SC"/>
          <w:b/>
          <w:bCs/>
          <w:sz w:val="20"/>
        </w:rPr>
        <w:t xml:space="preserve"> </w:t>
      </w:r>
      <w:r>
        <w:rPr>
          <w:rFonts w:ascii="Noto Serif CJK SC" w:hAnsi="Noto Serif CJK SC" w:eastAsia="Noto Serif CJK SC"/>
          <w:b/>
          <w:bCs/>
          <w:sz w:val="20"/>
        </w:rPr>
        <w:t xml:space="preserve">自动枚举</w:t>
      </w:r>
      <w:r>
        <w:rPr>
          <w:rFonts w:ascii="Noto Serif CJK SC" w:hAnsi="Noto Serif CJK SC" w:eastAsia="Noto Serif CJK SC"/>
          <w:sz w:val="20"/>
        </w:rPr>
        <w:t xml:space="preserve">：固定其余三个因素，搜索两因素各取两个水平且四格齐全的结构；不得事先人为指定交互。</w:t>
      </w:r>
    </w:p>
    <w:p>
      <w:pPr>
        <w:pStyle w:val="Compact"/>
        <w:keepLines w:val="0"/>
        <w:widowControl/>
        <w:numPr>
          <w:ilvl w:val="0"/>
          <w:numId w:val="101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二阶对比与敏感性</w:t>
      </w:r>
      <w:r>
        <w:rPr>
          <w:rFonts w:ascii="Noto Serif CJK SC" w:hAnsi="Noto Serif CJK SC" w:eastAsia="Noto Serif CJK SC"/>
          <w:sz w:val="20"/>
        </w:rPr>
        <w:t xml:space="preserve">：计算两个矩形的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I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；逐温度作图；做删一温度敏感性。</w:t>
      </w:r>
    </w:p>
    <w:p>
      <w:pPr>
        <w:pStyle w:val="Compact"/>
        <w:keepLines w:val="0"/>
        <w:widowControl/>
        <w:numPr>
          <w:ilvl w:val="0"/>
          <w:numId w:val="101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结果综合</w:t>
      </w:r>
      <w:r>
        <w:rPr>
          <w:rFonts w:ascii="Noto Serif CJK SC" w:hAnsi="Noto Serif CJK SC" w:eastAsia="Noto Serif CJK SC"/>
          <w:sz w:val="20"/>
        </w:rPr>
        <w:t xml:space="preserve">：以“具体因素对比”为基本行形成证据表，再上升为因素级结论；不得把共享 A12 等组合的多个分析当成独立重复实验数。</w:t>
      </w:r>
    </w:p>
    <w:p>
      <w:pPr>
        <w:pStyle w:val="Compact"/>
        <w:keepLines w:val="0"/>
        <w:widowControl/>
        <w:numPr>
          <w:ilvl w:val="0"/>
          <w:numId w:val="101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输出图表与论文结论</w:t>
      </w:r>
      <w:r>
        <w:rPr>
          <w:rFonts w:ascii="Noto Serif CJK SC" w:hAnsi="Noto Serif CJK SC" w:eastAsia="Noto Serif CJK SC"/>
          <w:sz w:val="20"/>
        </w:rPr>
        <w:t xml:space="preserve">：所有结论注明适用背景和实验范围；不做全局因果化、重要性排名或统一平均主效应回归。</w:t>
      </w:r>
    </w:p>
    <w:bookmarkEnd w:id="49"/>
    <w:bookmarkStart w:id="50" w:name="参数设置"/>
    <w:p>
      <w:pPr>
        <w:pStyle w:val="Heading1"/>
        <w:keepNext/>
        <w:keepLines w:val="0"/>
        <w:widowControl/>
        <w:spacing w:before="200" w:after="8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1F4E79"/>
          <w:sz w:val="29"/>
        </w:rPr>
        <w:t xml:space="preserve">9. 参数设置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本问没有需要通过数据训练的超参数。所有设置由原题、附件结构和统一分析口径确定。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 w:val="true"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设置项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固定值/规则</w:t>
            </w:r>
          </w:p>
        </w:tc>
        <w:tc>
          <w:tcPr>
            <w:tcW w:type="dxa" w:w="4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设置依据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两个响应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sub>
              </m:sSub>
            </m:oMath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、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分开分析</w:t>
            </w:r>
          </w:p>
        </w:tc>
        <w:tc>
          <w:tcPr>
            <w:tcW w:type="dxa" w:w="4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原题问题二直接要求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温度总体共同集合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m:oMath>
              <m:r>
                <m:rPr>
                  <m:sty m:val="p"/>
                </m:rPr>
                <m:t>{</m:t>
              </m:r>
              <m:r>
                <m:t>250</m:t>
              </m:r>
              <m:r>
                <m:rPr>
                  <m:sty m:val="p"/>
                </m:rPr>
                <m:t>,</m:t>
              </m:r>
              <m:r>
                <m:t>275</m:t>
              </m:r>
              <m:r>
                <m:rPr>
                  <m:sty m:val="p"/>
                </m:rPr>
                <m:t>,</m:t>
              </m:r>
              <m:r>
                <m:t>300</m:t>
              </m:r>
              <m:r>
                <m:rPr>
                  <m:sty m:val="p"/>
                </m:rPr>
                <m:t>,</m:t>
              </m:r>
              <m:r>
                <m:t>350</m:t>
              </m:r>
              <m:r>
                <m:rPr>
                  <m:sty m:val="p"/>
                </m:rPr>
                <m:t>}</m:t>
              </m:r>
            </m:oMath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℃</w:t>
            </w:r>
          </w:p>
        </w:tc>
        <w:tc>
          <w:tcPr>
            <w:tcW w:type="dxa" w:w="4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21 个组合全部实际观测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普通匹配池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排除 A11 后的 20 个含 HAP 组合</w:t>
            </w:r>
          </w:p>
        </w:tc>
        <w:tc>
          <w:tcPr>
            <w:tcW w:type="dxa" w:w="4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A11 无 HAP 且含石英砂，</w:t>
            </w:r>
            <m:oMath>
              <m:r>
                <m:t>ρ</m:t>
              </m:r>
            </m:oMath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不定义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连续因素差分方向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高水平 - 低水平</w:t>
            </w:r>
          </w:p>
        </w:tc>
        <w:tc>
          <w:tcPr>
            <w:tcW w:type="dxa" w:w="4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保证跨背景符号一致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装料方式差分方向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II - I</w:t>
            </w:r>
          </w:p>
        </w:tc>
        <w:tc>
          <w:tcPr>
            <w:tcW w:type="dxa" w:w="4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统一编码方向；不代表 II 更优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跨背景温度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各背景实际温度集合的交集</w:t>
            </w:r>
          </w:p>
        </w:tc>
        <w:tc>
          <w:tcPr>
            <w:tcW w:type="dxa" w:w="4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防止温度覆盖差异混入背景比较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差分尺度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百分点加法尺度</w:t>
            </w:r>
          </w:p>
        </w:tc>
        <w:tc>
          <w:tcPr>
            <w:tcW w:type="dxa" w:w="4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对百分比响应最直观；避免相对变化在小值附近不稳定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m:oMath>
              <m:r>
                <m:t>ρ</m:t>
              </m:r>
            </m:oMath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的工程匹配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使用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或约分后精确整数比，不用浮点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w:r>
              <w:rPr>
                <w:rStyle w:val="VerbatimChar"/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==</w:t>
            </w:r>
          </w:p>
        </w:tc>
        <w:tc>
          <w:tcPr>
            <w:tcW w:type="dxa" w:w="4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防止 67/33 等浮点误差漏匹配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输出精度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内部保留原始精度，论文统一两位小数</w:t>
            </w:r>
          </w:p>
        </w:tc>
        <w:tc>
          <w:tcPr>
            <w:tcW w:type="dxa" w:w="4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保证计算稳定与论文可读性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显著性检验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不做无重复单元格的普通交互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m:oMath>
              <m:r>
                <m:t>p</m:t>
              </m:r>
            </m:oMath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值</w:t>
            </w:r>
          </w:p>
        </w:tc>
        <w:tc>
          <w:tcPr>
            <w:tcW w:type="dxa" w:w="4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无纯实验误差独立估计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全局回归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正文不建立</w:t>
            </w:r>
          </w:p>
        </w:tc>
        <w:tc>
          <w:tcPr>
            <w:tcW w:type="dxa" w:w="4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非正交、非线性、背景依赖明显，平均系数会压平真实结构</w:t>
            </w:r>
          </w:p>
        </w:tc>
      </w:tr>
    </w:tbl>
    <w:bookmarkEnd w:id="50"/>
    <w:bookmarkStart w:id="57" w:name="正确性检查"/>
    <w:p>
      <w:pPr>
        <w:pStyle w:val="Heading1"/>
        <w:keepNext/>
        <w:keepLines w:val="0"/>
        <w:widowControl/>
        <w:spacing w:before="200" w:after="8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1F4E79"/>
          <w:sz w:val="29"/>
        </w:rPr>
        <w:t xml:space="preserve">10. 正确性检查</w:t>
      </w:r>
    </w:p>
    <w:bookmarkStart w:id="51" w:name="哪些结果范围才合理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10.1 哪些结果范围才合理</w:t>
      </w:r>
    </w:p>
    <w:p>
      <w:pPr>
        <w:pStyle w:val="Compact"/>
        <w:keepLines w:val="0"/>
        <w:widowControl/>
        <w:numPr>
          <w:ilvl w:val="0"/>
          <w:numId w:val="1019"/>
        </w:numPr>
        <w:spacing w:before="0" w:after="20" w:line="269" w:lineRule="auto"/>
        <w:ind w:left="397" w:right="0"/>
      </w:pP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≤</m:t>
        </m:r>
        <m:r>
          <m:t>100</m:t>
        </m:r>
      </m:oMath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19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每行各产物选择性之和应约为 100%；</w:t>
      </w:r>
    </w:p>
    <w:p>
      <w:pPr>
        <w:pStyle w:val="Compact"/>
        <w:keepLines w:val="0"/>
        <w:widowControl/>
        <w:numPr>
          <w:ilvl w:val="0"/>
          <w:numId w:val="1019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未记录温度不得出现在计算数据中；</w:t>
      </w:r>
    </w:p>
    <w:p>
      <w:pPr>
        <w:pStyle w:val="Compact"/>
        <w:keepLines w:val="0"/>
        <w:widowControl/>
        <w:numPr>
          <w:ilvl w:val="0"/>
          <w:numId w:val="1019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A11 的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ρ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必须为空/未定义，而不是 0 或 1:0；</w:t>
      </w:r>
    </w:p>
    <w:p>
      <w:pPr>
        <w:pStyle w:val="Compact"/>
        <w:keepLines w:val="0"/>
        <w:widowControl/>
        <w:numPr>
          <w:ilvl w:val="0"/>
          <w:numId w:val="1019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A/B 编号只能作组标签，不能替代物理因素。</w:t>
      </w:r>
    </w:p>
    <w:bookmarkEnd w:id="51"/>
    <w:bookmarkStart w:id="52" w:name="结构单元测试必须全部通过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10.2 结构单元测试（必须全部通过）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严格匹配块必须程序性得到：</w:t>
      </w:r>
    </w:p>
    <w:p>
      <w:pPr>
        <w:pStyle w:val="Compact"/>
        <w:keepLines w:val="0"/>
        <w:widowControl/>
        <w:numPr>
          <w:ilvl w:val="0"/>
          <w:numId w:val="1020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Co 负载量：A4/A1/A2/A6；A9/A10；</w:t>
      </w:r>
    </w:p>
    <w:p>
      <w:pPr>
        <w:pStyle w:val="Compact"/>
        <w:keepLines w:val="0"/>
        <w:widowControl/>
        <w:numPr>
          <w:ilvl w:val="0"/>
          <w:numId w:val="1020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总装料量：A1/A12；A3/A8；B3/B4/B1/B6/B2；</w:t>
      </w:r>
    </w:p>
    <w:p>
      <w:pPr>
        <w:pStyle w:val="Compact"/>
        <w:keepLines w:val="0"/>
        <w:widowControl/>
        <w:numPr>
          <w:ilvl w:val="0"/>
          <w:numId w:val="1020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配比：A14/A12/A13；</w:t>
      </w:r>
    </w:p>
    <w:p>
      <w:pPr>
        <w:pStyle w:val="Compact"/>
        <w:keepLines w:val="0"/>
        <w:widowControl/>
        <w:numPr>
          <w:ilvl w:val="0"/>
          <w:numId w:val="1020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乙醇进料：A1/A3；A2/A5；A7/A8/A12/A9；B1/B5；B2/B7；</w:t>
      </w:r>
    </w:p>
    <w:p>
      <w:pPr>
        <w:pStyle w:val="Compact"/>
        <w:keepLines w:val="0"/>
        <w:widowControl/>
        <w:numPr>
          <w:ilvl w:val="0"/>
          <w:numId w:val="1020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装料方式：A12/B1；A9/B5。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数量应为：</w:t>
      </w:r>
    </w:p>
    <w:p>
      <w:pPr>
        <w:pStyle w:val="BodyText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borderBox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nor/>
                  <m:sty m:val="p"/>
                </m:rPr>
                <m:t> 个严格匹配块</m:t>
              </m:r>
            </m:e>
          </m:borderBox>
        </m:oMath>
      </m:oMathPara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具有至少两个背景复现的同对比族必须恰好为 6 类：</w:t>
      </w:r>
    </w:p>
    <w:p>
      <w:pPr>
        <w:pStyle w:val="BodyText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t>ω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sub>
              </m:sSub>
              <m:r>
                <m:rPr>
                  <m:sty m:val="p"/>
                </m:rPr>
                <m:t>: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:</m:t>
              </m:r>
              <m:r>
                <m:t>100</m:t>
              </m:r>
              <m:r>
                <m:rPr>
                  <m:sty m:val="p"/>
                </m:rPr>
                <m:t>→</m:t>
              </m:r>
              <m:r>
                <m:t>400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:</m:t>
              </m:r>
              <m:r>
                <m:t>0.9</m:t>
              </m:r>
              <m:r>
                <m:rPr>
                  <m:sty m:val="p"/>
                </m:rPr>
                <m:t>→</m:t>
              </m:r>
              <m:r>
                <m:t>1.68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:</m:t>
              </m:r>
              <m:r>
                <m:t>0.3</m:t>
              </m:r>
              <m:r>
                <m:rPr>
                  <m:sty m:val="p"/>
                </m:rPr>
                <m:t>→</m:t>
              </m:r>
              <m:r>
                <m:t>1.68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:</m:t>
              </m:r>
              <m:r>
                <m:t>1.68</m:t>
              </m:r>
              <m:r>
                <m:rPr>
                  <m:sty m:val="p"/>
                </m:rPr>
                <m:t>→</m:t>
              </m:r>
              <m:r>
                <m:t>2.1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z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</m:e>
          </m:borderBox>
        </m:oMath>
      </m:oMathPara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完整局部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矩形必须恰好为：</w:t>
      </w:r>
    </w:p>
    <w:p>
      <w:pPr>
        <w:pStyle w:val="BodyText"/>
        <w:keepLines w:val="0"/>
        <w:widowControl/>
        <w:spacing w:before="60" w:after="60" w:line="276" w:lineRule="auto"/>
        <w:ind w:left="0" w:right="0" w:firstLine="0"/>
        <w:jc w:val="center"/>
      </w:pPr>
      <m:oMathPara>
        <m:oMathParaPr>
          <m:jc m:val="center"/>
        </m:oMathParaPr>
        <m:oMath>
          <m:borderBox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H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  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H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b/>
          <w:bCs/>
          <w:sz w:val="20"/>
        </w:rPr>
        <w:t xml:space="preserve">若上述三个结构测试任何一项不符，先检查催化剂字符串解析、A11 处理、</w:t>
      </w:r>
      <m:oMath>
        <m:r>
          <m:t>ρ</m:t>
        </m:r>
      </m:oMath>
      <w:r>
        <w:rPr>
          <w:rFonts w:ascii="Noto Serif CJK SC" w:hAnsi="Noto Serif CJK SC" w:eastAsia="Noto Serif CJK SC"/>
          <w:b/>
          <w:bCs/>
          <w:sz w:val="20"/>
        </w:rPr>
        <w:t xml:space="preserve"> </w:t>
      </w:r>
      <w:r>
        <w:rPr>
          <w:rFonts w:ascii="Noto Serif CJK SC" w:hAnsi="Noto Serif CJK SC" w:eastAsia="Noto Serif CJK SC"/>
          <w:b/>
          <w:bCs/>
          <w:sz w:val="20"/>
        </w:rPr>
        <w:t xml:space="preserve">精确匹配和 A/B 装料方式编码，不得擅自修改模型结构后继续计算。</w:t>
      </w:r>
    </w:p>
    <w:bookmarkEnd w:id="52"/>
    <w:bookmarkStart w:id="53" w:name="人工可核验小样本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10.3 人工可核验小样本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以 350 ℃为例：</w:t>
      </w:r>
    </w:p>
    <w:p>
      <w:pPr>
        <w:pStyle w:val="Compact"/>
        <w:keepLines w:val="0"/>
        <w:widowControl/>
        <w:numPr>
          <w:ilvl w:val="0"/>
          <w:numId w:val="1021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A12→B1（II-I，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1.68</m:t>
        </m:r>
      </m:oMath>
      <w:r>
        <w:rPr>
          <w:rFonts w:ascii="Noto Serif CJK SC" w:hAnsi="Noto Serif CJK SC" w:eastAsia="Noto Serif CJK SC"/>
          <w:sz w:val="20"/>
        </w:rPr>
        <w:t xml:space="preserve">）：</w:t>
      </w:r>
      <m:oMath>
        <m:r>
          <m:t>Δ</m:t>
        </m:r>
        <m:r>
          <m:t>X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0.60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个百分点，</w:t>
      </w:r>
      <m:oMath>
        <m:r>
          <m:t>Δ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3.71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个百分点；</w:t>
      </w:r>
    </w:p>
    <w:p>
      <w:pPr>
        <w:pStyle w:val="Compact"/>
        <w:keepLines w:val="0"/>
        <w:widowControl/>
        <w:numPr>
          <w:ilvl w:val="0"/>
          <w:numId w:val="1021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A9→B5（II-I，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2.1</m:t>
        </m:r>
      </m:oMath>
      <w:r>
        <w:rPr>
          <w:rFonts w:ascii="Noto Serif CJK SC" w:hAnsi="Noto Serif CJK SC" w:eastAsia="Noto Serif CJK SC"/>
          <w:sz w:val="20"/>
        </w:rPr>
        <w:t xml:space="preserve">）：</w:t>
      </w:r>
      <m:oMath>
        <m:r>
          <m:t>Δ</m:t>
        </m:r>
        <m:r>
          <m:t>X</m:t>
        </m:r>
        <m:r>
          <m:rPr>
            <m:sty m:val="p"/>
          </m:rPr>
          <m:t>≈</m:t>
        </m:r>
        <m:r>
          <m:rPr>
            <m:sty m:val="p"/>
          </m:rPr>
          <m:t>+</m:t>
        </m:r>
        <m:r>
          <m:t>2.47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个百分点，</w:t>
      </w:r>
      <m:oMath>
        <m:r>
          <m:t>Δ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15.70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个百分点；</w:t>
      </w:r>
    </w:p>
    <w:p>
      <w:pPr>
        <w:pStyle w:val="Compact"/>
        <w:keepLines w:val="0"/>
        <w:widowControl/>
        <w:numPr>
          <w:ilvl w:val="0"/>
          <w:numId w:val="1021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因而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q</m:t>
        </m:r>
        <m:r>
          <m:rPr>
            <m:sty m:val="p"/>
          </m:rPr>
          <m:t>−</m:t>
        </m:r>
        <m:r>
          <m:t>z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局部二阶对比在 350 ℃应约为：</w:t>
      </w:r>
    </w:p>
    <w:p>
      <w:pPr>
        <w:pStyle w:val="Compact"/>
        <w:keepLines w:val="0"/>
        <w:widowControl/>
        <w:spacing w:before="60" w:after="60" w:line="269" w:lineRule="auto"/>
        <w:ind w:left="0" w:right="0" w:firstLine="0"/>
        <w:jc w:val="center"/>
      </w:pPr>
      <m:oMathPara>
        <m:oMathParaPr>
          <m:jc m:val="center"/>
        </m:oMathParaPr>
        <m:oMath>
          <m:sSubSup>
            <m:e>
              <m:r>
                <m:t>I</m:t>
              </m:r>
            </m:e>
            <m:sub>
              <m:r>
                <m:t>q</m:t>
              </m:r>
              <m:r>
                <m:t>z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350</m:t>
              </m:r>
            </m:e>
          </m:d>
          <m:r>
            <m:rPr>
              <m:sty m:val="p"/>
            </m:rPr>
            <m:t>≈</m:t>
          </m:r>
          <m:r>
            <m:t>3.07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I</m:t>
              </m:r>
            </m:e>
            <m:sub>
              <m:r>
                <m:t>q</m:t>
              </m:r>
              <m:r>
                <m:t>z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350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19.41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这是非常适合人工复核的四格小样本。</w:t>
      </w:r>
    </w:p>
    <w:bookmarkEnd w:id="53"/>
    <w:bookmarkStart w:id="54" w:name="关键数值检查点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10.4 关键数值检查点</w:t>
      </w:r>
    </w:p>
    <w:p>
      <w:pPr>
        <w:pStyle w:val="Compact"/>
        <w:keepLines w:val="0"/>
        <w:widowControl/>
        <w:numPr>
          <w:ilvl w:val="0"/>
          <w:numId w:val="1022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250→350 ℃：</w:t>
      </w:r>
      <m:oMath>
        <m:r>
          <m:t>X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与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S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均为 21/21 正增量；按底层原始值，平均增量约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24.46</m:t>
        </m:r>
      </m:oMath>
      <w:r>
        <w:rPr>
          <w:rFonts w:ascii="Noto Serif CJK SC" w:hAnsi="Noto Serif CJK SC" w:eastAsia="Noto Serif CJK SC"/>
          <w:sz w:val="20"/>
        </w:rPr>
        <w:t xml:space="preserve">、</w:t>
      </w:r>
      <m:oMath>
        <m:r>
          <m:t>15.30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个百分点；</w:t>
      </w:r>
    </w:p>
    <w:p>
      <w:pPr>
        <w:pStyle w:val="Compact"/>
        <w:keepLines w:val="0"/>
        <w:widowControl/>
        <w:numPr>
          <w:ilvl w:val="0"/>
          <w:numId w:val="1022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Co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1</m:t>
        </m:r>
        <m:r>
          <m:rPr>
            <m:sty m:val="p"/>
          </m:rPr>
          <m:t>→</m:t>
        </m:r>
        <m:r>
          <m:t>5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wt%：A1→A6 的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X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平均差约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rPr>
            <m:sty m:val="p"/>
          </m:rPr>
          <m:t>+</m:t>
        </m:r>
        <m:r>
          <m:t>11.93</m:t>
        </m:r>
      </m:oMath>
      <w:r>
        <w:rPr>
          <w:rFonts w:ascii="Noto Serif CJK SC" w:hAnsi="Noto Serif CJK SC" w:eastAsia="Noto Serif CJK SC"/>
          <w:sz w:val="20"/>
        </w:rPr>
        <w:t xml:space="preserve">，A9→A10 约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rPr>
            <m:sty m:val="p"/>
          </m:rPr>
          <m:t>−</m:t>
        </m:r>
        <m:r>
          <m:t>2.78</m:t>
        </m:r>
      </m:oMath>
      <w:r>
        <w:rPr>
          <w:rFonts w:ascii="Noto Serif CJK SC" w:hAnsi="Noto Serif CJK SC" w:eastAsia="Noto Serif CJK SC"/>
          <w:sz w:val="20"/>
        </w:rPr>
        <w:t xml:space="preserve">，应出现跨背景反转；两背景的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S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差均为负；</w:t>
      </w:r>
    </w:p>
    <w:p>
      <w:pPr>
        <w:pStyle w:val="Compact"/>
        <w:keepLines w:val="0"/>
        <w:widowControl/>
        <w:numPr>
          <w:ilvl w:val="0"/>
          <w:numId w:val="1022"/>
        </w:numPr>
        <w:spacing w:before="0" w:after="20" w:line="269" w:lineRule="auto"/>
        <w:ind w:left="397" w:right="0"/>
      </w:pPr>
      <m:oMath>
        <m:r>
          <m:t>q</m:t>
        </m:r>
        <m:r>
          <m:rPr>
            <m:sty m:val="p"/>
          </m:rPr>
          <m:t>:</m:t>
        </m:r>
        <m:r>
          <m:t>0.3</m:t>
        </m:r>
        <m:r>
          <m:rPr>
            <m:sty m:val="p"/>
          </m:rPr>
          <m:t>→</m:t>
        </m:r>
        <m:r>
          <m:t>1.68</m:t>
        </m:r>
      </m:oMath>
      <w:r>
        <w:rPr>
          <w:rFonts w:ascii="Noto Serif CJK SC" w:hAnsi="Noto Serif CJK SC" w:eastAsia="Noto Serif CJK SC"/>
          <w:sz w:val="20"/>
        </w:rPr>
        <w:t xml:space="preserve">：A5→A2 的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X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逐温度差应从负转正，A7→A12 则保持为负；</w:t>
      </w:r>
    </w:p>
    <w:p>
      <w:pPr>
        <w:pStyle w:val="Compact"/>
        <w:keepLines w:val="0"/>
        <w:widowControl/>
        <w:numPr>
          <w:ilvl w:val="0"/>
          <w:numId w:val="1022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装料方式：A12→B1 的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S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差五个共同温度均为正，A9→B5 均为负；</w:t>
      </w:r>
    </w:p>
    <w:p>
      <w:pPr>
        <w:pStyle w:val="Compact"/>
        <w:keepLines w:val="0"/>
        <w:widowControl/>
        <w:numPr>
          <w:ilvl w:val="0"/>
          <w:numId w:val="1022"/>
        </w:numPr>
        <w:spacing w:before="0" w:after="20" w:line="269" w:lineRule="auto"/>
        <w:ind w:left="397" w:right="0"/>
      </w:pP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sub>
            </m:sSub>
          </m:e>
        </m:d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的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四个共同温度均为正；</w:t>
      </w:r>
    </w:p>
    <w:p>
      <w:pPr>
        <w:pStyle w:val="Compact"/>
        <w:keepLines w:val="0"/>
        <w:widowControl/>
        <w:numPr>
          <w:ilvl w:val="0"/>
          <w:numId w:val="1022"/>
        </w:numPr>
        <w:spacing w:before="0" w:after="20" w:line="269" w:lineRule="auto"/>
        <w:ind w:left="397" w:right="0"/>
      </w:pP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q</m:t>
                </m:r>
              </m:e>
              <m:sub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sub>
            </m:sSub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的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五个共同温度均为负，且绝对值随高温段明显增大。</w:t>
      </w:r>
    </w:p>
    <w:bookmarkEnd w:id="54"/>
    <w:bookmarkStart w:id="55" w:name="是否与另一种方法对照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10.5 是否与另一种方法对照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不需要再增加全局回归作为“主模型对照”。本问的对照机制本身就是：</w:t>
      </w:r>
    </w:p>
    <w:p>
      <w:pPr>
        <w:pStyle w:val="Compact"/>
        <w:keepLines w:val="0"/>
        <w:widowControl/>
        <w:numPr>
          <w:ilvl w:val="0"/>
          <w:numId w:val="1023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多水平块内曲线 vs. 等权摘要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γ</m:t>
        </m:r>
      </m:oMath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23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同一因素对比在多个背景中的复现；</w:t>
      </w:r>
    </w:p>
    <w:p>
      <w:pPr>
        <w:pStyle w:val="Compact"/>
        <w:keepLines w:val="0"/>
        <w:widowControl/>
        <w:numPr>
          <w:ilvl w:val="0"/>
          <w:numId w:val="1023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背景依赖是否能由完整局部四格进一步定位到具体二因素非加性。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若为附录做探索性回归，只能标明“条件关联核验”，不得推翻严格匹配结果。</w:t>
      </w:r>
    </w:p>
    <w:bookmarkEnd w:id="55"/>
    <w:bookmarkStart w:id="56" w:name="是否需要敏感性分析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10.6 是否需要敏感性分析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需要，但保持低复杂度：</w:t>
      </w:r>
    </w:p>
    <w:p>
      <w:pPr>
        <w:pStyle w:val="Compact"/>
        <w:keepLines w:val="0"/>
        <w:widowControl/>
        <w:numPr>
          <w:ilvl w:val="0"/>
          <w:numId w:val="1024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两个完整局部矩形做</w:t>
      </w:r>
      <w:r>
        <w:rPr>
          <w:rFonts w:ascii="Noto Serif CJK SC" w:hAnsi="Noto Serif CJK SC" w:eastAsia="Noto Serif CJK SC"/>
          <w:b/>
          <w:bCs/>
          <w:sz w:val="20"/>
        </w:rPr>
        <w:t xml:space="preserve">删一温度敏感性分析</w:t>
      </w:r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24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预期平均二阶对比删一温度后保持原符号；</w:t>
      </w:r>
    </w:p>
    <w:p>
      <w:pPr>
        <w:pStyle w:val="Compact"/>
        <w:keepLines w:val="0"/>
        <w:widowControl/>
        <w:numPr>
          <w:ilvl w:val="0"/>
          <w:numId w:val="1024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参考范围（按附件底层数值）：</w:t>
      </w:r>
    </w:p>
    <w:p>
      <w:pPr>
        <w:pStyle w:val="Compact"/>
        <w:keepLines w:val="0"/>
        <w:widowControl/>
        <w:numPr>
          <w:ilvl w:val="1"/>
          <w:numId w:val="1025"/>
        </w:numPr>
        <w:spacing w:before="0" w:after="20" w:line="269" w:lineRule="auto"/>
        <w:ind w:left="397" w:right="0"/>
      </w:pPr>
      <m:oMath>
        <m:sSubSup>
          <m:e>
            <m:acc>
              <m:accPr>
                <m:chr m:val="‾"/>
              </m:accPr>
              <m:e>
                <m:r>
                  <m:t>I</m:t>
                </m:r>
              </m:e>
            </m:acc>
          </m:e>
          <m:sub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</m:sub>
            </m:sSub>
            <m:r>
              <m:t>q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sup>
        </m:sSubSup>
        <m:r>
          <m:rPr>
            <m:sty m:val="p"/>
          </m:rPr>
          <m:t>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6.30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3.71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1"/>
          <w:numId w:val="1025"/>
        </w:numPr>
        <w:spacing w:before="0" w:after="20" w:line="269" w:lineRule="auto"/>
        <w:ind w:left="397" w:right="0"/>
      </w:pPr>
      <m:oMath>
        <m:sSubSup>
          <m:e>
            <m:acc>
              <m:accPr>
                <m:chr m:val="‾"/>
              </m:accPr>
              <m:e>
                <m:r>
                  <m:t>I</m:t>
                </m:r>
              </m:e>
            </m:acc>
          </m:e>
          <m:sub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</m:sub>
            </m:sSub>
            <m:r>
              <m:t>q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bSup>
        <m:r>
          <m:rPr>
            <m:sty m:val="p"/>
          </m:rPr>
          <m:t>≈</m:t>
        </m:r>
        <m:d>
          <m:dPr>
            <m:begChr m:val="["/>
            <m:endChr m:val="]"/>
            <m:sepChr m:val=""/>
            <m:grow/>
          </m:dPr>
          <m:e>
            <m:r>
              <m:t>23.93</m:t>
            </m:r>
            <m:r>
              <m:rPr>
                <m:sty m:val="p"/>
              </m:rPr>
              <m:t>,</m:t>
            </m:r>
            <m:r>
              <m:t>30.11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1"/>
          <w:numId w:val="1025"/>
        </w:numPr>
        <w:spacing w:before="0" w:after="20" w:line="269" w:lineRule="auto"/>
        <w:ind w:left="397" w:right="0"/>
      </w:pPr>
      <m:oMath>
        <m:sSubSup>
          <m:e>
            <m:acc>
              <m:accPr>
                <m:chr m:val="‾"/>
              </m:accPr>
              <m:e>
                <m:r>
                  <m:t>I</m:t>
                </m:r>
              </m:e>
            </m:acc>
          </m:e>
          <m:sub>
            <m:r>
              <m:t>q</m:t>
            </m:r>
            <m:r>
              <m:t>z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sup>
        </m:sSubSup>
        <m:r>
          <m:rPr>
            <m:sty m:val="p"/>
          </m:rPr>
          <m:t>≈</m:t>
        </m:r>
        <m:d>
          <m:dPr>
            <m:begChr m:val="["/>
            <m:endChr m:val="]"/>
            <m:sepChr m:val=""/>
            <m:grow/>
          </m:dPr>
          <m:e>
            <m:r>
              <m:t>1.33</m:t>
            </m:r>
            <m:r>
              <m:rPr>
                <m:sty m:val="p"/>
              </m:rPr>
              <m:t>,</m:t>
            </m:r>
            <m:r>
              <m:t>2.59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1"/>
          <w:numId w:val="1025"/>
        </w:numPr>
        <w:spacing w:before="0" w:after="20" w:line="269" w:lineRule="auto"/>
        <w:ind w:left="397" w:right="0"/>
      </w:pPr>
      <m:oMath>
        <m:sSubSup>
          <m:e>
            <m:acc>
              <m:accPr>
                <m:chr m:val="‾"/>
              </m:accPr>
              <m:e>
                <m:r>
                  <m:t>I</m:t>
                </m:r>
              </m:e>
            </m:acc>
          </m:e>
          <m:sub>
            <m:r>
              <m:t>q</m:t>
            </m:r>
            <m:r>
              <m:t>z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bSup>
        <m:r>
          <m:rPr>
            <m:sty m:val="p"/>
          </m:rPr>
          <m:t>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13.60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8.66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。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该检查只回答“是否被单个温度点主导”，不叫 LOOCV，也不用于预测评价。</w:t>
      </w:r>
    </w:p>
    <w:bookmarkEnd w:id="56"/>
    <w:bookmarkEnd w:id="57"/>
    <w:bookmarkStart w:id="67" w:name="论文解释"/>
    <w:p>
      <w:pPr>
        <w:pStyle w:val="Heading1"/>
        <w:keepNext/>
        <w:keepLines w:val="0"/>
        <w:widowControl/>
        <w:spacing w:before="200" w:after="8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1F4E79"/>
          <w:sz w:val="29"/>
        </w:rPr>
        <w:t xml:space="preserve">11. 论文解释</w:t>
      </w:r>
    </w:p>
    <w:bookmarkStart w:id="58" w:name="最终结果可能说明什么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11.1 最终结果可能说明什么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因素</w:t>
            </w:r>
          </w:p>
        </w:tc>
        <w:tc>
          <w:tcPr>
            <w:tcW w:type="dxa" w:w="3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对乙醇转化率</w:t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sub>
              </m:sSub>
            </m:oMath>
          </w:p>
        </w:tc>
        <w:tc>
          <w:tcPr>
            <w:tcW w:type="dxa" w:w="3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对 C4 烯烃选择性</w:t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温度</w:t>
            </w:r>
          </w:p>
        </w:tc>
        <w:tc>
          <w:tcPr>
            <w:tcW w:type="dxa" w:w="3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bCs/>
                <w:color w:val="1E1E1E"/>
                <w:sz w:val="18"/>
              </w:rPr>
              <w:t xml:space="preserve">总体促进方向最稳定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；250→350 ℃在 21 个已实验组合中全部为正增量</w:t>
            </w:r>
          </w:p>
        </w:tc>
        <w:tc>
          <w:tcPr>
            <w:tcW w:type="dxa" w:w="3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总体明显促进，但局部温区允许回落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Co 负载量</w:t>
            </w:r>
          </w:p>
        </w:tc>
        <w:tc>
          <w:tcPr>
            <w:tcW w:type="dxa" w:w="3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明显非线性；</w:t>
            </w:r>
            <m:oMath>
              <m:r>
                <m:t>1</m:t>
              </m:r>
              <m:r>
                <m:rPr>
                  <m:sty m:val="p"/>
                </m:rPr>
                <m:t>→</m:t>
              </m:r>
              <m:r>
                <m:t>5</m:t>
              </m:r>
            </m:oMath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wt% 在两个匹配背景中发生方向反转</w:t>
            </w:r>
          </w:p>
        </w:tc>
        <w:tc>
          <w:tcPr>
            <w:tcW w:type="dxa" w:w="3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→</m:t>
              </m:r>
              <m:r>
                <m:t>5</m:t>
              </m:r>
            </m:oMath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wt% 在两个背景均降低选择性，高负载不利方向相对稳定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乙醇进料条件</w:t>
            </w:r>
          </w:p>
        </w:tc>
        <w:tc>
          <w:tcPr>
            <w:tcW w:type="dxa" w:w="3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不同水平区间结果不同，可同时存在温度条件依赖和跨背景不一致</w:t>
            </w:r>
          </w:p>
        </w:tc>
        <w:tc>
          <w:tcPr>
            <w:tcW w:type="dxa" w:w="3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高度背景依赖，不存在统一正/负主效应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Co/SiO₂:HAP 配比</w:t>
            </w:r>
          </w:p>
        </w:tc>
        <w:tc>
          <w:tcPr>
            <w:tcW w:type="dxa" w:w="3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固定 100 mg 总装料量时，当前三个水平中 HAP 占比较高对应更高转化率</w:t>
            </w:r>
          </w:p>
        </w:tc>
        <w:tc>
          <w:tcPr>
            <w:tcW w:type="dxa" w:w="3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明显非单调，当前三水平中 50:50 的等权平均选择性最高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总装料量</w:t>
            </w:r>
          </w:p>
        </w:tc>
        <w:tc>
          <w:tcPr>
            <w:tcW w:type="dxa" w:w="3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明显非线性；方式 II 主块中 150 mg 的等权平均转化率最高</w:t>
            </w:r>
          </w:p>
        </w:tc>
        <w:tc>
          <w:tcPr>
            <w:tcW w:type="dxa" w:w="3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明显非线性；方式 II 主块中 100 mg 的等权平均选择性最高，且响应幅度受进料背景影响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装料方式</w:t>
            </w:r>
          </w:p>
        </w:tc>
        <w:tc>
          <w:tcPr>
            <w:tcW w:type="dxa" w:w="3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随进料条件改变，方式 I/II 无统一优劣</w:t>
            </w:r>
          </w:p>
        </w:tc>
        <w:tc>
          <w:tcPr>
            <w:tcW w:type="dxa" w:w="3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条件依赖尤其明显；在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1.68</m:t>
              </m:r>
            </m:oMath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与 2.1 时方向反转</w:t>
            </w:r>
          </w:p>
        </w:tc>
      </w:tr>
    </w:tbl>
    <w:bookmarkEnd w:id="58"/>
    <w:bookmarkStart w:id="63" w:name="四个主要多水平块的数值摘要代码结果校验用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11.2 四个主要多水平块的数值摘要（代码结果校验用）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sz w:val="20"/>
        </w:rPr>
        <w:t xml:space="preserve">这些数字只描述各自固定背景和共同实测温度上的等权平均，不作跨因素重要性排名。</w:t>
      </w:r>
    </w:p>
    <w:bookmarkStart w:id="59" w:name="co-负载量块-a4a1a2a6共同温度-250275300350"/>
    <w:p>
      <w:pPr>
        <w:pStyle w:val="Heading3"/>
        <w:keepNext/>
        <w:keepLines w:val="0"/>
        <w:widowControl/>
        <w:spacing w:before="100" w:after="4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3C3C3C"/>
          <w:sz w:val="22"/>
        </w:rPr>
        <w:t xml:space="preserve">Co 负载量块 A4/A1/A2/A6（共同温度 250/275/300/350 ℃）</w:t>
      </w:r>
    </w:p>
    <w:tbl>
      <w:tblPr>
        <w:tblStyle w:val="TableGrid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 w:val="true"/>
        </w:trP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m:oMath>
              <m:sSub>
                <m:e>
                  <m:r>
                    <m:t>ω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sub>
              </m:sSub>
            </m:oMath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平均</w:t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 </w:t>
            </w:r>
            <m:oMath>
              <m:r>
                <m:t>X</m:t>
              </m:r>
            </m:oMath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/%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平均</w:t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/%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0.5 wt%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约 26.52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14.05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1 wt%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约 14.92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bCs/>
                <w:color w:val="1E1E1E"/>
                <w:sz w:val="18"/>
              </w:rPr>
              <w:t xml:space="preserve">41.41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2 wt%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bCs/>
                <w:color w:val="1E1E1E"/>
                <w:sz w:val="18"/>
              </w:rPr>
              <w:t xml:space="preserve">约 32.15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23.51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5 wt%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约 26.85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7.06</w:t>
            </w:r>
          </w:p>
        </w:tc>
      </w:tr>
    </w:tbl>
    <w:p>
      <w:pPr>
        <w:pStyle w:val="BodyText"/>
        <w:keepLines w:val="0"/>
        <w:widowControl/>
        <w:spacing w:before="0" w:after="60" w:line="276" w:lineRule="auto"/>
        <w:ind w:left="0" w:right="0" w:firstLine="420"/>
      </w:pPr>
      <w:r>
        <w:rPr>
          <w:rFonts w:ascii="Noto Serif CJK SC" w:hAnsi="Noto Serif CJK SC" w:eastAsia="Noto Serif CJK SC"/>
          <w:sz w:val="20"/>
        </w:rPr>
        <w:t xml:space="preserve">说明：该背景下 2 wt% 的转化率平均最高，而 1 wt% 的选择性最高，两个响应存在权衡；5 wt% 对选择性明显不利。</w:t>
      </w:r>
    </w:p>
    <w:bookmarkEnd w:id="59"/>
    <w:bookmarkStart w:id="60" w:name="乙醇进料块-a7a8a12a9共同温度-250275300350400"/>
    <w:p>
      <w:pPr>
        <w:pStyle w:val="Heading3"/>
        <w:keepNext/>
        <w:keepLines w:val="0"/>
        <w:widowControl/>
        <w:spacing w:before="100" w:after="4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3C3C3C"/>
          <w:sz w:val="22"/>
        </w:rPr>
        <w:t xml:space="preserve">乙醇进料块 A7/A8/A12/A9（共同温度 250/275/300/350/400 ℃）</w:t>
      </w:r>
    </w:p>
    <w:tbl>
      <w:tblPr>
        <w:tblStyle w:val="TableGrid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 w:val="true"/>
        </w:trP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sub>
              </m:sSub>
            </m:oMath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/(mL/min)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平均</w:t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 </w:t>
            </w:r>
            <m:oMath>
              <m:r>
                <m:t>X</m:t>
              </m:r>
            </m:oMath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/%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平均</w:t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/%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0.3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bCs/>
                <w:color w:val="1E1E1E"/>
                <w:sz w:val="18"/>
              </w:rPr>
              <w:t xml:space="preserve">约 44.66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14.61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0.9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约 23.21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19.06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1.68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约 15.26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16.81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2.1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约 12.79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bCs/>
                <w:color w:val="1E1E1E"/>
                <w:sz w:val="18"/>
              </w:rPr>
              <w:t xml:space="preserve">20.85</w:t>
            </w:r>
          </w:p>
        </w:tc>
      </w:tr>
    </w:tbl>
    <w:p>
      <w:pPr>
        <w:pStyle w:val="BodyText"/>
        <w:keepLines w:val="0"/>
        <w:widowControl/>
        <w:spacing w:before="0" w:after="60" w:line="276" w:lineRule="auto"/>
        <w:ind w:left="0" w:right="0" w:firstLine="420"/>
      </w:pPr>
      <w:r>
        <w:rPr>
          <w:rFonts w:ascii="Noto Serif CJK SC" w:hAnsi="Noto Serif CJK SC" w:eastAsia="Noto Serif CJK SC"/>
          <w:sz w:val="20"/>
        </w:rPr>
        <w:t xml:space="preserve">说明：在该背景中进料提高总体对应转化率降低，而 C4 选择性并非简单单调。</w:t>
      </w:r>
    </w:p>
    <w:bookmarkEnd w:id="60"/>
    <w:bookmarkStart w:id="61" w:name="配比块-a14a12a13共同温度-250275300350400"/>
    <w:p>
      <w:pPr>
        <w:pStyle w:val="Heading3"/>
        <w:keepNext/>
        <w:keepLines w:val="0"/>
        <w:widowControl/>
        <w:spacing w:before="100" w:after="4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3C3C3C"/>
          <w:sz w:val="22"/>
        </w:rPr>
        <w:t xml:space="preserve">配比块 A14/A12/A13（共同温度 250/275/300/350/400 ℃）</w:t>
      </w:r>
    </w:p>
    <w:tbl>
      <w:tblPr>
        <w:tblStyle w:val="TableGrid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 w:val="true"/>
        </w:trP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Co/SiO₂:HAP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平均</w:t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 </w:t>
            </w:r>
            <m:oMath>
              <m:r>
                <m:t>X</m:t>
              </m:r>
            </m:oMath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/%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平均</w:t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/%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33:67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bCs/>
                <w:color w:val="1E1E1E"/>
                <w:sz w:val="18"/>
              </w:rPr>
              <w:t xml:space="preserve">约 19.13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8.24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50:50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约 15.26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bCs/>
                <w:color w:val="1E1E1E"/>
                <w:sz w:val="18"/>
              </w:rPr>
              <w:t xml:space="preserve">16.81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67:33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约 12.48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15.38</w:t>
            </w:r>
          </w:p>
        </w:tc>
      </w:tr>
    </w:tbl>
    <w:p>
      <w:pPr>
        <w:pStyle w:val="BodyText"/>
        <w:keepLines w:val="0"/>
        <w:widowControl/>
        <w:spacing w:before="0" w:after="60" w:line="276" w:lineRule="auto"/>
        <w:ind w:left="0" w:right="0" w:firstLine="420"/>
      </w:pPr>
      <w:r>
        <w:rPr>
          <w:rFonts w:ascii="Noto Serif CJK SC" w:hAnsi="Noto Serif CJK SC" w:eastAsia="Noto Serif CJK SC"/>
          <w:sz w:val="20"/>
        </w:rPr>
        <w:t xml:space="preserve">说明：固定 100 mg 总量时，提高 HAP 占比与转化率呈稳定正向条件关联；选择性非单调，50:50 当前平均最好。</w:t>
      </w:r>
    </w:p>
    <w:bookmarkEnd w:id="61"/>
    <w:bookmarkStart w:id="62" w:name="总装料量块-b3b4b1b6b2共同温度-250275300350400"/>
    <w:p>
      <w:pPr>
        <w:pStyle w:val="Heading3"/>
        <w:keepNext/>
        <w:keepLines w:val="0"/>
        <w:widowControl/>
        <w:spacing w:before="100" w:after="4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3C3C3C"/>
          <w:sz w:val="22"/>
        </w:rPr>
        <w:t xml:space="preserve">总装料量块 B3/B4/B1/B6/B2（共同温度 250/275/300/350/400 ℃）</w:t>
      </w:r>
    </w:p>
    <w:tbl>
      <w:tblPr>
        <w:tblStyle w:val="TableGrid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 w:val="true"/>
        </w:trP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/mg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平均</w:t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 </w:t>
            </w:r>
            <m:oMath>
              <m:r>
                <m:t>X</m:t>
              </m:r>
            </m:oMath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/%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F5F87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平均</w:t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/%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20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约 5.85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10.17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50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约 9.56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10.57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100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约 14.89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bCs/>
                <w:color w:val="1E1E1E"/>
                <w:sz w:val="18"/>
              </w:rPr>
              <w:t xml:space="preserve">18.78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150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bCs/>
                <w:color w:val="1E1E1E"/>
                <w:sz w:val="18"/>
              </w:rPr>
              <w:t xml:space="preserve">约 22.63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14.19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200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约 14.94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18"/>
              </w:rPr>
              <w:t xml:space="preserve">15.83</w:t>
            </w:r>
          </w:p>
        </w:tc>
      </w:tr>
    </w:tbl>
    <w:p>
      <w:pPr>
        <w:pStyle w:val="BodyText"/>
        <w:keepLines w:val="0"/>
        <w:widowControl/>
        <w:spacing w:before="0" w:after="60" w:line="276" w:lineRule="auto"/>
        <w:ind w:left="0" w:right="0" w:firstLine="420"/>
      </w:pPr>
      <w:r>
        <w:rPr>
          <w:rFonts w:ascii="Noto Serif CJK SC" w:hAnsi="Noto Serif CJK SC" w:eastAsia="Noto Serif CJK SC"/>
          <w:sz w:val="20"/>
        </w:rPr>
        <w:t xml:space="preserve">说明：总装料量不是越大越好；使两个响应分别达到较好表现的水平并不一致。</w:t>
      </w:r>
    </w:p>
    <w:bookmarkEnd w:id="62"/>
    <w:bookmarkEnd w:id="63"/>
    <w:bookmarkStart w:id="64" w:name="跨背景与局部非加性的论文级结论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11.3 跨背景与局部非加性的论文级结论</w:t>
      </w:r>
    </w:p>
    <w:p>
      <w:pPr>
        <w:pStyle w:val="Compact"/>
        <w:keepLines w:val="0"/>
        <w:widowControl/>
        <w:numPr>
          <w:ilvl w:val="0"/>
          <w:numId w:val="1026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温度</w:t>
      </w:r>
      <w:r>
        <w:rPr>
          <w:rFonts w:ascii="Noto Serif CJK SC" w:hAnsi="Noto Serif CJK SC" w:eastAsia="Noto Serif CJK SC"/>
          <w:sz w:val="20"/>
        </w:rPr>
        <w:t xml:space="preserve">：在现有 21 种组合中，250→350 ℃的两个响应端点净变化均为正，是方向最一致的因素；但局部温区仍可能回落。</w:t>
      </w:r>
    </w:p>
    <w:p>
      <w:pPr>
        <w:pStyle w:val="Compact"/>
        <w:keepLines w:val="0"/>
        <w:widowControl/>
        <w:numPr>
          <w:ilvl w:val="0"/>
          <w:numId w:val="1026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Co 负载量</w:t>
      </w:r>
      <w:r>
        <w:rPr>
          <w:rFonts w:ascii="Noto Serif CJK SC" w:hAnsi="Noto Serif CJK SC" w:eastAsia="Noto Serif CJK SC"/>
          <w:sz w:val="20"/>
        </w:rPr>
        <w:t xml:space="preserve">：同样的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1</m:t>
        </m:r>
        <m:r>
          <m:rPr>
            <m:sty m:val="p"/>
          </m:rPr>
          <m:t>→</m:t>
        </m:r>
        <m:r>
          <m:t>5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wt% 变化对转化率在 A1/A6 与 A9/A10 两个背景中方向相反，说明其转化率效应不具有跨背景不变性；而对 C4 选择性两个背景均为负，表明高负载不利方向相对稳定。</w:t>
      </w:r>
    </w:p>
    <w:p>
      <w:pPr>
        <w:pStyle w:val="Compact"/>
        <w:keepLines w:val="0"/>
        <w:widowControl/>
        <w:numPr>
          <w:ilvl w:val="0"/>
          <w:numId w:val="1026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乙醇进料</w:t>
      </w:r>
      <w:r>
        <w:rPr>
          <w:rFonts w:ascii="Noto Serif CJK SC" w:hAnsi="Noto Serif CJK SC" w:eastAsia="Noto Serif CJK SC"/>
          <w:sz w:val="20"/>
        </w:rPr>
        <w:t xml:space="preserve">：</w:t>
      </w:r>
      <m:oMath>
        <m:r>
          <m:t>0.9</m:t>
        </m:r>
        <m:r>
          <m:rPr>
            <m:sty m:val="p"/>
          </m:rPr>
          <m:t>→</m:t>
        </m:r>
        <m:r>
          <m:t>1.68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对转化率在三个背景中均为负，但对选择性不一致；</w:t>
      </w:r>
      <m:oMath>
        <m:r>
          <m:t>0.3</m:t>
        </m:r>
        <m:r>
          <m:rPr>
            <m:sty m:val="p"/>
          </m:rPr>
          <m:t>→</m:t>
        </m:r>
        <m:r>
          <m:t>1.68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的转化率甚至在同一背景中随温度反向；</w:t>
      </w:r>
      <m:oMath>
        <m:r>
          <m:t>1.68</m:t>
        </m:r>
        <m:r>
          <m:rPr>
            <m:sty m:val="p"/>
          </m:rPr>
          <m:t>→</m:t>
        </m:r>
        <m:r>
          <m:t>2.1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的选择性在方式 I 与 II 下方向相反。因此不能给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一个脱离背景和温度的统一主效应。</w:t>
      </w:r>
    </w:p>
    <w:p>
      <w:pPr>
        <w:pStyle w:val="Compact"/>
        <w:keepLines w:val="0"/>
        <w:widowControl/>
        <w:numPr>
          <w:ilvl w:val="0"/>
          <w:numId w:val="1026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总装料量</w:t>
      </w:r>
      <w:r>
        <w:rPr>
          <w:rFonts w:ascii="Noto Serif CJK SC" w:hAnsi="Noto Serif CJK SC" w:eastAsia="Noto Serif CJK SC"/>
          <w:sz w:val="20"/>
        </w:rPr>
        <w:t xml:space="preserve">：</w:t>
      </w:r>
      <m:oMath>
        <m:r>
          <m:t>100</m:t>
        </m:r>
        <m:r>
          <m:rPr>
            <m:sty m:val="p"/>
          </m:rPr>
          <m:t>→</m:t>
        </m:r>
        <m:r>
          <m:t>400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mg 在两个方式 I 背景中均提高转化率，但对 C4 选择性的增益幅度差别很大；结合五水平 B 组块可确认明显非线性。</w:t>
      </w:r>
    </w:p>
    <w:p>
      <w:pPr>
        <w:pStyle w:val="Compact"/>
        <w:keepLines w:val="0"/>
        <w:widowControl/>
        <w:numPr>
          <w:ilvl w:val="0"/>
          <w:numId w:val="1026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装料方式</w:t>
      </w:r>
      <w:r>
        <w:rPr>
          <w:rFonts w:ascii="Noto Serif CJK SC" w:hAnsi="Noto Serif CJK SC" w:eastAsia="Noto Serif CJK SC"/>
          <w:sz w:val="20"/>
        </w:rPr>
        <w:t xml:space="preserve">：A12/B1 与 A9/B5 两个严格背景表明，方式 I/II 的相对表现依赖乙醇进料条件；尤其 C4 选择性在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1.68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与 2.1 下方向反转，不能写“方式 II 更优”。原题未说明方式 I/II 的具体结构，论文不得脑补成“分层/混合”等装填方式。</w:t>
      </w:r>
    </w:p>
    <w:p>
      <w:pPr>
        <w:pStyle w:val="Compact"/>
        <w:keepLines w:val="0"/>
        <w:widowControl/>
        <w:numPr>
          <w:ilvl w:val="0"/>
          <w:numId w:val="1026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b/>
          <w:bCs/>
          <w:sz w:val="20"/>
        </w:rPr>
        <w:t xml:space="preserve">局部二因素非加性</w:t>
      </w:r>
      <w:r>
        <w:rPr>
          <w:rFonts w:ascii="Noto Serif CJK SC" w:hAnsi="Noto Serif CJK SC" w:eastAsia="Noto Serif CJK SC"/>
          <w:sz w:val="20"/>
        </w:rPr>
        <w:t xml:space="preserve">：在当前五因素定义与严格匹配规则下，仅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sub>
            </m:sSub>
          </m:e>
        </m:d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与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q</m:t>
                </m:r>
              </m:e>
              <m:sub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sub>
            </m:sSub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两个完整局部四格可直接识别二阶非加性；该结论只针对所用的具体水平和百分点加法尺度，不作普遍交互强度比较。</w:t>
      </w:r>
    </w:p>
    <w:bookmarkEnd w:id="64"/>
    <w:bookmarkStart w:id="65" w:name="论文中建议使用的总括表述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11.4 论文中建议使用的总括表述</w:t>
      </w:r>
    </w:p>
    <w:p>
      <w:pPr>
        <w:pStyle w:val="FirstParagraph"/>
        <w:keepLines w:val="0"/>
        <w:widowControl/>
        <w:spacing w:before="0" w:after="60" w:line="276" w:lineRule="auto"/>
        <w:ind w:left="0" w:right="0" w:firstLine="0"/>
      </w:pPr>
      <w:r>
        <w:rPr>
          <w:rFonts w:ascii="Noto Serif CJK SC" w:hAnsi="Noto Serif CJK SC" w:eastAsia="Noto Serif CJK SC"/>
          <w:b/>
          <w:bCs/>
          <w:sz w:val="20"/>
        </w:rPr>
        <w:t xml:space="preserve">温度是现有实验中影响方向最稳定的因素；相比之下，催化剂组成与装料条件普遍表现出非线性、响应权衡和不同程度的条件依赖。Co 负载量对乙醇转化率的作用可随实验背景反转，而高 Co 负载量对 C4 烯烃选择性的不利方向在两个可复现背景中相对稳定；乙醇进料条件对两个响应均不存在脱离背景与温度的统一主效应；固定总装料量时，组分质量分配对转化率和选择性的影响方向不同；总装料规模亦不存在越大越优的规律。装料方式 I、II 的相对表现明显依赖乙醇进料条件。进一步利用完整局部四格结构可在百分点加法尺度上识别</w:t>
      </w:r>
      <w:r>
        <w:rPr>
          <w:rFonts w:ascii="Noto Serif CJK SC" w:hAnsi="Noto Serif CJK SC" w:eastAsia="Noto Serif CJK SC"/>
          <w:b/>
          <w:bCs/>
          <w:sz w:val="20"/>
        </w:rP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</m:oMath>
      <w:r>
        <w:rPr>
          <w:rFonts w:ascii="Noto Serif CJK SC" w:hAnsi="Noto Serif CJK SC" w:eastAsia="Noto Serif CJK SC"/>
          <w:b/>
          <w:bCs/>
          <w:sz w:val="20"/>
        </w:rPr>
        <w:t xml:space="preserve"> </w:t>
      </w:r>
      <w:r>
        <w:rPr>
          <w:rFonts w:ascii="Noto Serif CJK SC" w:hAnsi="Noto Serif CJK SC" w:eastAsia="Noto Serif CJK SC"/>
          <w:b/>
          <w:bCs/>
          <w:sz w:val="20"/>
        </w:rPr>
        <w:t xml:space="preserve">与</w:t>
      </w:r>
      <w:r>
        <w:rPr>
          <w:rFonts w:ascii="Noto Serif CJK SC" w:hAnsi="Noto Serif CJK SC" w:eastAsia="Noto Serif CJK SC"/>
          <w:b/>
          <w:bCs/>
          <w:sz w:val="20"/>
        </w:rP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−</m:t>
        </m:r>
        <m:r>
          <m:t>z</m:t>
        </m:r>
      </m:oMath>
      <w:r>
        <w:rPr>
          <w:rFonts w:ascii="Noto Serif CJK SC" w:hAnsi="Noto Serif CJK SC" w:eastAsia="Noto Serif CJK SC"/>
          <w:b/>
          <w:bCs/>
          <w:sz w:val="20"/>
        </w:rPr>
        <w:t xml:space="preserve"> </w:t>
      </w:r>
      <w:r>
        <w:rPr>
          <w:rFonts w:ascii="Noto Serif CJK SC" w:hAnsi="Noto Serif CJK SC" w:eastAsia="Noto Serif CJK SC"/>
          <w:b/>
          <w:bCs/>
          <w:sz w:val="20"/>
        </w:rPr>
        <w:t xml:space="preserve">两类局部二因素非加性。</w:t>
      </w:r>
    </w:p>
    <w:bookmarkEnd w:id="65"/>
    <w:bookmarkStart w:id="66" w:name="论文禁写结论"/>
    <w:p>
      <w:pPr>
        <w:pStyle w:val="Heading2"/>
        <w:keepNext/>
        <w:keepLines w:val="0"/>
        <w:widowControl/>
        <w:spacing w:before="140" w:after="60" w:line="240" w:lineRule="auto"/>
        <w:ind w:left="0" w:right="0" w:firstLine="0"/>
      </w:pPr>
      <w:r>
        <w:rPr>
          <w:rFonts w:ascii="Noto Sans CJK SC" w:hAnsi="Noto Sans CJK SC" w:eastAsia="Noto Sans CJK SC"/>
          <w:b/>
          <w:color w:val="2D506E"/>
          <w:sz w:val="24"/>
        </w:rPr>
        <w:t xml:space="preserve">11.5 论文禁写结论</w:t>
      </w:r>
    </w:p>
    <w:p>
      <w:pPr>
        <w:pStyle w:val="Compact"/>
        <w:keepLines w:val="0"/>
        <w:widowControl/>
        <w:numPr>
          <w:ilvl w:val="0"/>
          <w:numId w:val="102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“</w:t>
      </w:r>
      <w:r>
        <w:rPr>
          <w:rFonts w:ascii="Noto Serif CJK SC" w:hAnsi="Noto Serif CJK SC" w:eastAsia="Noto Serif CJK SC"/>
          <w:sz w:val="20"/>
        </w:rPr>
        <w:t xml:space="preserve">Co 负载量越高越好/越差</w:t>
      </w:r>
      <w:r>
        <w:rPr>
          <w:rFonts w:ascii="Noto Serif CJK SC" w:hAnsi="Noto Serif CJK SC" w:eastAsia="Noto Serif CJK SC"/>
          <w:sz w:val="20"/>
        </w:rPr>
        <w:t xml:space="preserve">”</w:t>
      </w:r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2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“</w:t>
      </w:r>
      <w:r>
        <w:rPr>
          <w:rFonts w:ascii="Noto Serif CJK SC" w:hAnsi="Noto Serif CJK SC" w:eastAsia="Noto Serif CJK SC"/>
          <w:sz w:val="20"/>
        </w:rPr>
        <w:t xml:space="preserve">乙醇进料越高，选择性必然越高/越低</w:t>
      </w:r>
      <w:r>
        <w:rPr>
          <w:rFonts w:ascii="Noto Serif CJK SC" w:hAnsi="Noto Serif CJK SC" w:eastAsia="Noto Serif CJK SC"/>
          <w:sz w:val="20"/>
        </w:rPr>
        <w:t xml:space="preserve">”</w:t>
      </w:r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2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“</w:t>
      </w:r>
      <w:r>
        <w:rPr>
          <w:rFonts w:ascii="Noto Serif CJK SC" w:hAnsi="Noto Serif CJK SC" w:eastAsia="Noto Serif CJK SC"/>
          <w:sz w:val="20"/>
        </w:rPr>
        <w:t xml:space="preserve">方式 II 优于方式 I</w:t>
      </w:r>
      <w:r>
        <w:rPr>
          <w:rFonts w:ascii="Noto Serif CJK SC" w:hAnsi="Noto Serif CJK SC" w:eastAsia="Noto Serif CJK SC"/>
          <w:sz w:val="20"/>
        </w:rPr>
        <w:t xml:space="preserve">”</w:t>
      </w:r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2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“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q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的交互比</w:t>
      </w:r>
      <w:r>
        <w:rPr>
          <w:rFonts w:ascii="Noto Serif CJK SC" w:hAnsi="Noto Serif CJK SC" w:eastAsia="Noto Serif CJK SC"/>
          <w:sz w:val="20"/>
        </w:rPr>
        <w:t xml:space="preserve"> </w:t>
      </w:r>
      <m:oMath>
        <m:r>
          <m:t>q</m:t>
        </m:r>
        <m:r>
          <m:rPr>
            <m:sty m:val="p"/>
          </m:rPr>
          <m:t>−</m:t>
        </m:r>
        <m:r>
          <m:t>z</m:t>
        </m:r>
      </m:oMath>
      <w:r>
        <w:rPr>
          <w:rFonts w:ascii="Noto Serif CJK SC" w:hAnsi="Noto Serif CJK SC" w:eastAsia="Noto Serif CJK SC"/>
          <w:sz w:val="20"/>
        </w:rPr>
        <w:t xml:space="preserve"> </w:t>
      </w:r>
      <w:r>
        <w:rPr>
          <w:rFonts w:ascii="Noto Serif CJK SC" w:hAnsi="Noto Serif CJK SC" w:eastAsia="Noto Serif CJK SC"/>
          <w:sz w:val="20"/>
        </w:rPr>
        <w:t xml:space="preserve">更强</w:t>
      </w:r>
      <w:r>
        <w:rPr>
          <w:rFonts w:ascii="Noto Serif CJK SC" w:hAnsi="Noto Serif CJK SC" w:eastAsia="Noto Serif CJK SC"/>
          <w:sz w:val="20"/>
        </w:rPr>
        <w:t xml:space="preserve">”</w:t>
      </w:r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2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“</w:t>
      </w:r>
      <w:r>
        <w:rPr>
          <w:rFonts w:ascii="Noto Serif CJK SC" w:hAnsi="Noto Serif CJK SC" w:eastAsia="Noto Serif CJK SC"/>
          <w:sz w:val="20"/>
        </w:rPr>
        <w:t xml:space="preserve">通过显著性检验证明某因素具有因果作用</w:t>
      </w:r>
      <w:r>
        <w:rPr>
          <w:rFonts w:ascii="Noto Serif CJK SC" w:hAnsi="Noto Serif CJK SC" w:eastAsia="Noto Serif CJK SC"/>
          <w:sz w:val="20"/>
        </w:rPr>
        <w:t xml:space="preserve">”</w:t>
      </w:r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2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“</w:t>
      </w:r>
      <w:r>
        <w:rPr>
          <w:rFonts w:ascii="Noto Serif CJK SC" w:hAnsi="Noto Serif CJK SC" w:eastAsia="Noto Serif CJK SC"/>
          <w:sz w:val="20"/>
        </w:rPr>
        <w:t xml:space="preserve">114 条记录说明组级样本充足</w:t>
      </w:r>
      <w:r>
        <w:rPr>
          <w:rFonts w:ascii="Noto Serif CJK SC" w:hAnsi="Noto Serif CJK SC" w:eastAsia="Noto Serif CJK SC"/>
          <w:sz w:val="20"/>
        </w:rPr>
        <w:t xml:space="preserve">”</w:t>
      </w:r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2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“</w:t>
      </w:r>
      <w:r>
        <w:rPr>
          <w:rFonts w:ascii="Noto Serif CJK SC" w:hAnsi="Noto Serif CJK SC" w:eastAsia="Noto Serif CJK SC"/>
          <w:sz w:val="20"/>
        </w:rPr>
        <w:t xml:space="preserve">A11 是普通 1:0 配比</w:t>
      </w:r>
      <w:r>
        <w:rPr>
          <w:rFonts w:ascii="Noto Serif CJK SC" w:hAnsi="Noto Serif CJK SC" w:eastAsia="Noto Serif CJK SC"/>
          <w:sz w:val="20"/>
        </w:rPr>
        <w:t xml:space="preserve">”</w:t>
      </w:r>
      <w:r>
        <w:rPr>
          <w:rFonts w:ascii="Noto Serif CJK SC" w:hAnsi="Noto Serif CJK SC" w:eastAsia="Noto Serif CJK SC"/>
          <w:sz w:val="20"/>
        </w:rPr>
        <w:t xml:space="preserve">；</w:t>
      </w:r>
    </w:p>
    <w:p>
      <w:pPr>
        <w:pStyle w:val="Compact"/>
        <w:keepLines w:val="0"/>
        <w:widowControl/>
        <w:numPr>
          <w:ilvl w:val="0"/>
          <w:numId w:val="1027"/>
        </w:numPr>
        <w:spacing w:before="0" w:after="20" w:line="269" w:lineRule="auto"/>
        <w:ind w:left="397" w:right="0"/>
      </w:pPr>
      <w:r>
        <w:rPr>
          <w:rFonts w:ascii="Noto Serif CJK SC" w:hAnsi="Noto Serif CJK SC" w:eastAsia="Noto Serif CJK SC"/>
          <w:sz w:val="20"/>
        </w:rPr>
        <w:t xml:space="preserve">“</w:t>
      </w:r>
      <w:r>
        <w:rPr>
          <w:rFonts w:ascii="Noto Serif CJK SC" w:hAnsi="Noto Serif CJK SC" w:eastAsia="Noto Serif CJK SC"/>
          <w:sz w:val="20"/>
        </w:rPr>
        <w:t xml:space="preserve">附件 2 对应某个已知 A/B 催化剂编号</w:t>
      </w:r>
      <w:r>
        <w:rPr>
          <w:rFonts w:ascii="Noto Serif CJK SC" w:hAnsi="Noto Serif CJK SC" w:eastAsia="Noto Serif CJK SC"/>
          <w:sz w:val="20"/>
        </w:rPr>
        <w:t xml:space="preserve">”</w:t>
      </w:r>
      <w:r>
        <w:rPr>
          <w:rFonts w:ascii="Noto Serif CJK SC" w:hAnsi="Noto Serif CJK SC" w:eastAsia="Noto Serif CJK SC"/>
          <w:sz w:val="20"/>
        </w:rPr>
        <w:t xml:space="preserve">。</w:t>
      </w:r>
    </w:p>
    <w:bookmarkEnd w:id="66"/>
    <w:bookmarkEnd w:id="67"/>
    <w:sectPr w:rsidR="00FC693F" w:rsidRPr="0006063C" w:rsidSect="00034616">
      <w:headerReference w:type="default" r:id="rId9"/>
      <w:footerReference w:type="default" r:id="rId10"/>
      <w:pgSz w:h="16838" w:w="11906"/>
      <w:pgMar w:bottom="992" w:footer="425" w:gutter="0" w:header="425" w:left="1077" w:right="1077" w:top="99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787878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CUMCM 2021 B 题 · 问题二模型交接单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60" w:line="276" w:lineRule="auto"/>
    </w:pPr>
    <w:rPr>
      <w:rFonts w:ascii="Noto Serif CJK SC" w:eastAsia="Noto Serif CJK SC" w:hAnsi="Noto Serif CJK SC"/>
      <w:b w:val="0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60" w:before="16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F4E79"/>
      <w:sz w:val="29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6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D506E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6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3C3C3C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line="240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val="163F69"/>
      <w:spacing w:val="5"/>
      <w:kern w:val="28"/>
      <w:sz w:val="3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Noto Serif CJK SC" w:eastAsia="Noto Serif CJK SC" w:hAnsi="Noto Serif CJK SC"/>
      <w:b w:val="0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mpact" w:type="paragraph">
    <w:name w:val="Compact"/>
    <w:pPr>
      <w:spacing w:after="20" w:line="269" w:lineRule="auto"/>
    </w:pPr>
    <w:rPr>
      <w:rFonts w:ascii="Noto Serif CJK SC" w:eastAsia="Noto Serif CJK SC" w:hAnsi="Noto Serif CJK SC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2026-08-09T11:07:35Z</dcterms:created>
  <dcterms:modified xsi:type="dcterms:W3CDTF">2026-08-09T11:07:35Z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