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9E"/>
          <w:sz w:val="36"/>
          <w:szCs w:val="36"/>
        </w:rPr>
        <w:t xml:space="preserve">CPS Digital Intake</w:t>
      </w:r>
    </w:p>
    <w:p>
      <w:pPr>
        <w:spacing w:after="40"/>
      </w:pPr>
      <w:r>
        <w:rPr>
          <w:b/>
          <w:bCs/>
          <w:sz w:val="30"/>
          <w:szCs w:val="30"/>
        </w:rPr>
        <w:t xml:space="preserve">Production Readiness &amp; Security Checklist</w:t>
      </w:r>
    </w:p>
    <w:p>
      <w:pPr>
        <w:spacing w:after="200"/>
      </w:pPr>
      <w:r>
        <w:rPr>
          <w:i/>
          <w:iCs/>
          <w:color w:val="555555"/>
        </w:rPr>
        <w:t xml:space="preserve">Prepared for Stony Brook Medicine IT Security &amp; Compliance</w:t>
      </w:r>
    </w:p>
    <w:p>
      <w:pPr>
        <w:pBdr>
          <w:bottom w:val="single" w:color="1F4E9E" w:sz="6" w:space="1"/>
        </w:pBdr>
        <w:spacing w:after="200"/>
      </w:pPr>
    </w:p>
    <w:p>
      <w:pPr>
        <w:spacing w:after="120"/>
      </w:pPr>
      <w:r>
        <w:rPr>
          <w:sz w:val="21"/>
          <w:szCs w:val="21"/>
        </w:rPr>
        <w:t xml:space="preserve">This checklist accompanies a working prototype of a digital intake tool for the New York State LDSS-2221A child abuse / maltreatment report. The prototype captures a report through a web form, stores the structured data, and archives a completed copy of the official PDF. Because LDSS-2221A data is Protected Health Information (PHI), the system cannot be used with real reports until the items in the “Must fix before production” section are completed. Several of those items are institutional (agreements, access provisioning, audit policy) rather than code changes, and are flagged accordingly.</w:t>
      </w:r>
    </w:p>
    <w:p>
      <w:pPr>
        <w:pStyle w:val="Heading1"/>
      </w:pPr>
      <w:r>
        <w:t xml:space="preserve">1. What the system is</w:t>
      </w:r>
    </w:p>
    <w:p>
      <w:pPr>
        <w:spacing w:after="120"/>
      </w:pPr>
      <w:r>
        <w:t xml:space="preserve">A social worker opens a web form, fills in the report, and submits. On submit the backend records the structured data and saves a completed copy of the official PDF to secure storage. The social worker receives only an on-screen confirmation — no copy of the form is downloaded to their device. Authorized staff can later view or download any archived PDF from a separate records page.</w:t>
      </w:r>
    </w:p>
    <w:p>
      <w:pPr>
        <w:pStyle w:val="Heading1"/>
      </w:pPr>
      <w:r>
        <w:t xml:space="preserve">2. Where the data lives</w:t>
      </w:r>
    </w:p>
    <w:p>
      <w:pPr>
        <w:spacing w:after="120"/>
      </w:pPr>
      <w:r>
        <w:t xml:space="preserve">Nothing is stored on any individual’s computer. All data resides in the organization’s Microsoft Azure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D5E3F5" w:val="clear"/>
            <w:tcMar>
              <w:top w:type="dxa" w:w="80"/>
              <w:left w:type="dxa" w:w="120"/>
              <w:bottom w:type="dxa" w:w="80"/>
              <w:right w:type="dxa" w:w="120"/>
            </w:tcMar>
          </w:tcPr>
          <w:p>
            <w:r>
              <w:rPr>
                <w:b/>
                <w:bCs/>
                <w:color w:val="1F4E9E"/>
              </w:rPr>
              <w:t xml:space="preserve">Component</w:t>
            </w:r>
          </w:p>
        </w:tc>
        <w:tc>
          <w:tcPr>
            <w:tcW w:type="dxa" w:w="3600"/>
            <w:tcBorders>
              <w:top w:val="single" w:color="CCCCCC" w:sz="1"/>
              <w:left w:val="single" w:color="CCCCCC" w:sz="1"/>
              <w:bottom w:val="single" w:color="CCCCCC" w:sz="1"/>
              <w:right w:val="single" w:color="CCCCCC" w:sz="1"/>
            </w:tcBorders>
            <w:shd w:fill="D5E3F5" w:val="clear"/>
            <w:tcMar>
              <w:top w:type="dxa" w:w="80"/>
              <w:left w:type="dxa" w:w="120"/>
              <w:bottom w:type="dxa" w:w="80"/>
              <w:right w:type="dxa" w:w="120"/>
            </w:tcMar>
          </w:tcPr>
          <w:p>
            <w:r>
              <w:rPr>
                <w:b/>
                <w:bCs/>
                <w:color w:val="1F4E9E"/>
              </w:rPr>
              <w:t xml:space="preserve">Azure resource</w:t>
            </w:r>
          </w:p>
        </w:tc>
        <w:tc>
          <w:tcPr>
            <w:tcW w:type="dxa" w:w="2760"/>
            <w:tcBorders>
              <w:top w:val="single" w:color="CCCCCC" w:sz="1"/>
              <w:left w:val="single" w:color="CCCCCC" w:sz="1"/>
              <w:bottom w:val="single" w:color="CCCCCC" w:sz="1"/>
              <w:right w:val="single" w:color="CCCCCC" w:sz="1"/>
            </w:tcBorders>
            <w:shd w:fill="D5E3F5" w:val="clear"/>
            <w:tcMar>
              <w:top w:type="dxa" w:w="80"/>
              <w:left w:type="dxa" w:w="120"/>
              <w:bottom w:type="dxa" w:w="80"/>
              <w:right w:type="dxa" w:w="120"/>
            </w:tcMar>
          </w:tcPr>
          <w:p>
            <w:r>
              <w:rPr>
                <w:b/>
                <w:bCs/>
                <w:color w:val="1F4E9E"/>
              </w:rPr>
              <w:t xml:space="preserve">Holds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form + records page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website (storage account cpsform21603)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HTML pages users open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Function app cps-intake-rg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 records 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intake data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Table Storage, table CPSIntakes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row per submitted report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PDFs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Blob Storage, container </w:t>
            </w:r>
            <w:r>
              <w:rPr>
                <w:b/>
                <w:bCs/>
              </w:rPr>
              <w:t xml:space="preserve">cps-pdfs</w:t>
            </w:r>
            <w:r>
              <w:t xml:space="preserve"> (account cpsintakerga706)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Archived copy of each form</w:t>
            </w:r>
          </w:p>
        </w:tc>
      </w:tr>
    </w:tbl>
    <w:p>
      <w:pPr>
        <w:spacing w:after="120"/>
      </w:pPr>
    </w:p>
    <w:p>
      <w:pPr>
        <w:spacing w:after="120"/>
      </w:pPr>
      <w:r>
        <w:rPr>
          <w:sz w:val="21"/>
          <w:szCs w:val="21"/>
        </w:rPr>
        <w:t xml:space="preserve">The PDFs are organized into dated folders inside the container, for example 2026-07-10/, with each file named by its intake ID (e.g. 20260710T170658-d85c0cc8.pdf). The backend writes and reads this storage using the Function app’s managed identity — there is no stored password or connection string.</w:t>
      </w:r>
    </w:p>
    <w:p>
      <w:pPr>
        <w:pStyle w:val="Heading1"/>
      </w:pPr>
      <w:r>
        <w:t xml:space="preserve">3. How to browse the archived PDFs as folders</w:t>
      </w:r>
    </w:p>
    <w:p>
      <w:pPr>
        <w:pStyle w:val="Heading2"/>
      </w:pPr>
      <w:r>
        <w:t xml:space="preserve">Option A — Azure Storage Explorer (recommended, feels like Finder)</w:t>
      </w:r>
    </w:p>
    <w:p>
      <w:pPr>
        <w:pStyle w:val="ListParagraph"/>
        <w:numPr>
          <w:ilvl w:val="0"/>
          <w:numId w:val="2"/>
        </w:numPr>
        <w:spacing w:after="80"/>
      </w:pPr>
      <w:r>
        <w:t xml:space="preserve">Download the free Microsoft app </w:t>
      </w:r>
      <w:r>
        <w:rPr>
          <w:b/>
          <w:bCs/>
        </w:rPr>
        <w:t xml:space="preserve">Azure Storage Explorer</w:t>
      </w:r>
      <w:r>
        <w:t xml:space="preserve"> (available for macOS) and sign in with the organization Azure account.</w:t>
      </w:r>
    </w:p>
    <w:p>
      <w:pPr>
        <w:pStyle w:val="ListParagraph"/>
        <w:numPr>
          <w:ilvl w:val="0"/>
          <w:numId w:val="2"/>
        </w:numPr>
        <w:spacing w:after="80"/>
      </w:pPr>
      <w:r>
        <w:t xml:space="preserve">In the left tree, expand the subscription → Storage Accounts → cpsintakerga706 → Blob Containers → cps-pdfs.</w:t>
      </w:r>
    </w:p>
    <w:p>
      <w:pPr>
        <w:pStyle w:val="ListParagraph"/>
        <w:numPr>
          <w:ilvl w:val="0"/>
          <w:numId w:val="2"/>
        </w:numPr>
        <w:spacing w:after="80"/>
      </w:pPr>
      <w:r>
        <w:t xml:space="preserve">You will see the dated folders. Double-click a folder to open it, then double-click any PDF to preview, or right-click → Download to save it locally.</w:t>
      </w:r>
    </w:p>
    <w:p>
      <w:pPr>
        <w:pStyle w:val="Heading2"/>
      </w:pPr>
      <w:r>
        <w:t xml:space="preserve">Option B — Azure Portal (nothing to install)</w:t>
      </w:r>
    </w:p>
    <w:p>
      <w:pPr>
        <w:pStyle w:val="ListParagraph"/>
        <w:numPr>
          <w:ilvl w:val="0"/>
          <w:numId w:val="3"/>
        </w:numPr>
        <w:spacing w:after="80"/>
      </w:pPr>
      <w:r>
        <w:t xml:space="preserve">Go to portal.azure.com and open storage account cpsintakerga706.</w:t>
      </w:r>
    </w:p>
    <w:p>
      <w:pPr>
        <w:pStyle w:val="ListParagraph"/>
        <w:numPr>
          <w:ilvl w:val="0"/>
          <w:numId w:val="3"/>
        </w:numPr>
        <w:spacing w:after="80"/>
      </w:pPr>
      <w:r>
        <w:t xml:space="preserve">Select Containers → cps-pdfs. Click into a dated folder, click a PDF, then use the Download button.</w:t>
      </w:r>
    </w:p>
    <w:p>
      <w:pPr>
        <w:spacing w:after="120"/>
      </w:pPr>
      <w:r>
        <w:rPr>
          <w:i/>
          <w:iCs/>
          <w:sz w:val="21"/>
          <w:szCs w:val="21"/>
        </w:rPr>
        <w:t xml:space="preserve">Both options require the person to have been granted a blob-data role on the storage account. Granting that access to specific staff is part of item 4.2 below.</w:t>
      </w:r>
    </w:p>
    <w:p>
      <w:pPr>
        <w:pStyle w:val="Heading1"/>
      </w:pPr>
      <w:r>
        <w:t xml:space="preserve">4. Must fix before production (PHI)</w:t>
      </w:r>
    </w:p>
    <w:p>
      <w:pPr>
        <w:spacing w:after="120"/>
      </w:pPr>
      <w:r>
        <w:rPr>
          <w:i/>
          <w:iCs/>
          <w:sz w:val="21"/>
          <w:szCs w:val="21"/>
        </w:rPr>
        <w:t xml:space="preserve">These are required before any real child-abuse report is entered. Items marked (institutional) are handled by IT/compliance, not by changing the application code.</w:t>
      </w:r>
    </w:p>
    <w:p>
      <w:pPr>
        <w:pStyle w:val="Heading2"/>
      </w:pPr>
      <w:r>
        <w:t xml:space="preserve">4.1  Identity-based authentication</w:t>
      </w:r>
    </w:p>
    <w:p>
      <w:pPr>
        <w:spacing w:after="120"/>
      </w:pPr>
      <w:r>
        <w:t xml:space="preserve">The form and API are currently protected only by a shared function key. Replace this with per-user sign-in (Microsoft Entra ID / SSO) so that only authorized staff can reach the form or the data, and every action is tied to a named user.</w:t>
      </w:r>
    </w:p>
    <w:p>
      <w:pPr>
        <w:pStyle w:val="Heading2"/>
      </w:pPr>
      <w:r>
        <w:t xml:space="preserve">4.2  Restrict the records page and PDF download to authorized staff</w:t>
      </w:r>
    </w:p>
    <w:p>
      <w:pPr>
        <w:spacing w:after="120"/>
      </w:pPr>
      <w:r>
        <w:t xml:space="preserve">The records page (intakes.html) and the endpoints behind it (the intake list and the per-intake PDF download) are reachable by anyone who has the site link and the function key. Today, “backend only” is enforced by the submit flow, not by real access control. Once Entra sign-in is in place, the records list and PDF download must be limited to a specific records/supervisor group — the reporting social worker should not be able to retrieve archived PDFs.</w:t>
      </w:r>
    </w:p>
    <w:p>
      <w:pPr>
        <w:pStyle w:val="Heading2"/>
      </w:pPr>
      <w:r>
        <w:t xml:space="preserve">4.3  Business Associate Agreement with Microsoft (institutional)</w:t>
      </w:r>
    </w:p>
    <w:p>
      <w:pPr>
        <w:spacing w:after="120"/>
      </w:pPr>
      <w:r>
        <w:t xml:space="preserve">Storing PHI in Azure requires a signed BAA with Microsoft and use of BAA-covered services. This is a procurement/compliance step that must be confirmed in place before go-live.</w:t>
      </w:r>
    </w:p>
    <w:p>
      <w:pPr>
        <w:pStyle w:val="Heading2"/>
      </w:pPr>
      <w:r>
        <w:t xml:space="preserve">4.4  Audit logging of PHI access (institutional + code)</w:t>
      </w:r>
    </w:p>
    <w:p>
      <w:pPr>
        <w:spacing w:after="120"/>
      </w:pPr>
      <w:r>
        <w:t xml:space="preserve">HIPAA requires a record of who viewed or modified PHI and when. The system needs logging that captures each form submission and each records/PDF access by named user, retained per policy.</w:t>
      </w:r>
    </w:p>
    <w:p>
      <w:pPr>
        <w:pStyle w:val="Heading2"/>
      </w:pPr>
      <w:r>
        <w:t xml:space="preserve">4.5  Rotate the function key</w:t>
      </w:r>
    </w:p>
    <w:p>
      <w:pPr>
        <w:spacing w:after="120"/>
      </w:pPr>
      <w:r>
        <w:t xml:space="preserve">The function key used during development has been visible in the build process, so it should be treated as compromised and rotated before real use — regardless of the move to Entra sign-in.</w:t>
      </w:r>
    </w:p>
    <w:p>
      <w:pPr>
        <w:pStyle w:val="Heading1"/>
      </w:pPr>
      <w:r>
        <w:t xml:space="preserve">5. Verify or resolve before go-live</w:t>
      </w:r>
    </w:p>
    <w:p>
      <w:pPr>
        <w:pStyle w:val="ListParagraph"/>
        <w:numPr>
          <w:ilvl w:val="0"/>
          <w:numId w:val="4"/>
        </w:numPr>
        <w:spacing w:after="60"/>
      </w:pPr>
      <w:r>
        <w:t xml:space="preserve">Remove local PHI copies (for example any exported intake spreadsheets) from personal devices; keep PHI only in the secured Azure resources.</w:t>
      </w:r>
    </w:p>
    <w:p>
      <w:pPr>
        <w:pStyle w:val="ListParagraph"/>
        <w:numPr>
          <w:ilvl w:val="0"/>
          <w:numId w:val="4"/>
        </w:numPr>
        <w:spacing w:after="60"/>
      </w:pPr>
      <w:r>
        <w:t xml:space="preserve">Confirm encryption settings: Azure encrypts data at rest by default and the endpoints use TLS, but IT should verify the storage account and Function are configured to require HTTPS/TLS 1.2+ and, if required, customer-managed keys.</w:t>
      </w:r>
    </w:p>
    <w:p>
      <w:pPr>
        <w:pStyle w:val="ListParagraph"/>
        <w:numPr>
          <w:ilvl w:val="0"/>
          <w:numId w:val="4"/>
        </w:numPr>
        <w:spacing w:after="60"/>
      </w:pPr>
      <w:r>
        <w:t xml:space="preserve">Define a retention and deletion policy for the archived PDFs and intake rows, and configure lifecycle rules to match.</w:t>
      </w:r>
    </w:p>
    <w:p>
      <w:pPr>
        <w:pStyle w:val="ListParagraph"/>
        <w:numPr>
          <w:ilvl w:val="0"/>
          <w:numId w:val="4"/>
        </w:numPr>
        <w:spacing w:after="60"/>
      </w:pPr>
      <w:r>
        <w:t xml:space="preserve">Decide on backup / geo-redundancy for the storage account in line with records-retention requirements.</w:t>
      </w:r>
    </w:p>
    <w:p>
      <w:pPr>
        <w:pStyle w:val="ListParagraph"/>
        <w:numPr>
          <w:ilvl w:val="0"/>
          <w:numId w:val="4"/>
        </w:numPr>
        <w:spacing w:after="60"/>
      </w:pPr>
      <w:r>
        <w:t xml:space="preserve">Restrict network access to the storage account and Function (private endpoints or IP rules) if organization policy requires it.</w:t>
      </w:r>
    </w:p>
    <w:p>
      <w:pPr>
        <w:pStyle w:val="Heading1"/>
      </w:pPr>
      <w:r>
        <w:t xml:space="preserve">6. Controls already in place</w:t>
      </w:r>
    </w:p>
    <w:p>
      <w:pPr>
        <w:pStyle w:val="ListParagraph"/>
        <w:numPr>
          <w:ilvl w:val="0"/>
          <w:numId w:val="4"/>
        </w:numPr>
        <w:spacing w:after="60"/>
      </w:pPr>
      <w:r>
        <w:t xml:space="preserve">All data is stored in Azure (Table + Blob), not on any individual’s computer.</w:t>
      </w:r>
    </w:p>
    <w:p>
      <w:pPr>
        <w:pStyle w:val="ListParagraph"/>
        <w:numPr>
          <w:ilvl w:val="0"/>
          <w:numId w:val="4"/>
        </w:numPr>
        <w:spacing w:after="60"/>
      </w:pPr>
      <w:r>
        <w:t xml:space="preserve">The backend authenticates to storage with a managed identity — no stored passwords or connection strings.</w:t>
      </w:r>
    </w:p>
    <w:p>
      <w:pPr>
        <w:pStyle w:val="ListParagraph"/>
        <w:numPr>
          <w:ilvl w:val="0"/>
          <w:numId w:val="4"/>
        </w:numPr>
        <w:spacing w:after="60"/>
      </w:pPr>
      <w:r>
        <w:t xml:space="preserve">On submit, the completed PDF is archived to the backend and is not downloaded to the social worker’s device; they receive only a confirmation message.</w:t>
      </w:r>
    </w:p>
    <w:p>
      <w:pPr>
        <w:pStyle w:val="ListParagraph"/>
        <w:numPr>
          <w:ilvl w:val="0"/>
          <w:numId w:val="4"/>
        </w:numPr>
        <w:spacing w:after="60"/>
      </w:pPr>
      <w:r>
        <w:t xml:space="preserve">The per-intake PDF download route strictly validates the intake ID format, so it cannot be manipulated to reach other files (path-traversal protected).</w:t>
      </w:r>
    </w:p>
    <w:p>
      <w:pPr>
        <w:pStyle w:val="ListParagraph"/>
        <w:numPr>
          <w:ilvl w:val="0"/>
          <w:numId w:val="4"/>
        </w:numPr>
        <w:spacing w:after="60"/>
      </w:pPr>
      <w:r>
        <w:t xml:space="preserve">Application secrets are kept out of the source code (the real key lives only in an ignored local config file).</w:t>
      </w:r>
    </w:p>
    <w:p>
      <w:pPr>
        <w:pBdr>
          <w:top w:val="single" w:color="CCCCCC" w:sz="4" w:space="1"/>
        </w:pBdr>
        <w:spacing w:before="240"/>
      </w:pPr>
      <w:r>
        <w:rPr>
          <w:i/>
          <w:iCs/>
          <w:color w:val="555555"/>
          <w:sz w:val="20"/>
          <w:szCs w:val="20"/>
        </w:rPr>
        <w:t xml:space="preserve">This checklist reflects the prototype as built. The “must fix” items — particularly identity-based authentication, records-page access control, the BAA, and audit logging — are the standard controls a covered entity requires before a PHI system goes live and should be reviewed and signed off by Stony Brook Medicine IT Security and Compliance.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9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2026-07-10T18:36:20.072Z</dcterms:created>
  <dcterms:modified xsi:type="dcterms:W3CDTF">2026-07-10T18:36:20.072Z</dcterms:modified>
</cp:coreProperties>
</file>

<file path=docProps/custom.xml><?xml version="1.0" encoding="utf-8"?>
<Properties xmlns="http://schemas.openxmlformats.org/officeDocument/2006/custom-properties" xmlns:vt="http://schemas.openxmlformats.org/officeDocument/2006/docPropsVTypes"/>
</file>