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Inter" w:cs="Inter" w:eastAsia="Inter" w:hAnsi="Inter"/>
          <w:b/>
          <w:bCs/>
          <w:color w:val="2E6B82"/>
          <w:sz w:val="56"/>
          <w:szCs w:val="56"/>
        </w:rPr>
        <w:t xml:space="preserve">ARKOVA</w:t>
      </w:r>
    </w:p>
    <w:p>
      <w:pPr>
        <w:pBdr>
          <w:top w:val="single" w:color="2E6B82" w:sz="2" w:space="8"/>
        </w:pBdr>
        <w:spacing w:before="200"/>
        <w:jc w:val="center"/>
      </w:pPr>
      <w:r>
        <w:rPr>
          <w:rFonts w:ascii="Inter" w:cs="Inter" w:eastAsia="Inter" w:hAnsi="Inter"/>
          <w:sz w:val="32"/>
          <w:szCs w:val="32"/>
        </w:rPr>
        <w:t xml:space="preserve">Vulnerability Disclosure Policy</w:t>
      </w:r>
    </w:p>
    <w:p>
      <w:pPr>
        <w:pBdr>
          <w:top w:val="single" w:color="2E6B82" w:sz="2" w:space="8"/>
        </w:pBdr>
        <w:jc w:val="center"/>
      </w:pPr>
      <w:r>
        <w:rPr>
          <w:rFonts w:ascii="Inter" w:cs="Inter" w:eastAsia="Inter" w:hAnsi="Inter"/>
          <w:sz w:val="32"/>
          <w:szCs w:val="32"/>
        </w:rPr>
        <w:t xml:space="preserve">&amp; Bug Bounty Program</w:t>
      </w:r>
    </w:p>
    <w:p>
      <w:pPr>
        <w:spacing w:before="600"/>
      </w:pPr>
    </w:p>
    <w:p>
      <w:pPr>
        <w:jc w:val="center"/>
      </w:pPr>
      <w:r>
        <w:rPr>
          <w:rFonts w:ascii="Inter" w:cs="Inter" w:eastAsia="Inter" w:hAnsi="Inter"/>
          <w:color w:val="666666"/>
          <w:sz w:val="22"/>
          <w:szCs w:val="22"/>
        </w:rPr>
        <w:t xml:space="preserve">Version 2.0  |  Effective: April 2026</w:t>
      </w:r>
    </w:p>
    <w:p>
      <w:pPr>
        <w:jc w:val="center"/>
      </w:pPr>
      <w:r>
        <w:rPr>
          <w:rFonts w:ascii="Inter" w:cs="Inter" w:eastAsia="Inter" w:hAnsi="Inter"/>
          <w:color w:val="666666"/>
          <w:sz w:val="20"/>
          <w:szCs w:val="20"/>
        </w:rPr>
        <w:t xml:space="preserve">Bloc Doc Inc. (d/b/a Arkova)</w:t>
      </w:r>
    </w:p>
    <w:p>
      <w:pPr>
        <w:jc w:val="center"/>
      </w:pPr>
      <w:hyperlink w:history="1" r:id="rIdipxgosekgsdeojuimvehe">
        <w:r>
          <w:rPr>
            <w:rFonts w:ascii="Inter" w:cs="Inter" w:eastAsia="Inter" w:hAnsi="Inter"/>
            <w:color w:val="2E6B82"/>
            <w:sz w:val="20"/>
            <w:szCs w:val="20"/>
            <w:u w:val="single"/>
          </w:rPr>
          <w:t xml:space="preserve">arkova.ai</w:t>
        </w:r>
      </w:hyperlink>
    </w:p>
    <w:p>
      <w:r>
        <w:br w:type="page"/>
      </w:r>
    </w:p>
    <w:p>
      <w:pPr>
        <w:spacing w:after="200" w:before="360"/>
      </w:pPr>
      <w:r>
        <w:rPr>
          <w:rFonts w:ascii="Inter" w:cs="Inter" w:eastAsia="Inter" w:hAnsi="Inter"/>
          <w:b/>
          <w:bCs/>
          <w:color w:val="2E6B82"/>
          <w:sz w:val="32"/>
          <w:szCs w:val="32"/>
        </w:rPr>
        <w:t xml:space="preserve">1. Introduction</w:t>
      </w:r>
    </w:p>
    <w:p>
      <w:pPr>
        <w:spacing w:after="120"/>
      </w:pPr>
      <w:r>
        <w:rPr>
          <w:rFonts w:ascii="Inter" w:cs="Inter" w:eastAsia="Inter" w:hAnsi="Inter"/>
          <w:sz w:val="22"/>
          <w:szCs w:val="22"/>
        </w:rPr>
        <w:t xml:space="preserve">Arkova (Bloc Doc Inc.) is committed to the security of our platform, our users, and the integrity of every credential anchored through our system. We recognize that independent security researchers play a vital role in keeping the internet safe.</w:t>
      </w:r>
    </w:p>
    <w:p>
      <w:pPr>
        <w:spacing w:after="120"/>
      </w:pPr>
      <w:r>
        <w:rPr>
          <w:rFonts w:ascii="Inter" w:cs="Inter" w:eastAsia="Inter" w:hAnsi="Inter"/>
          <w:sz w:val="22"/>
          <w:szCs w:val="22"/>
        </w:rPr>
        <w:t xml:space="preserve">This policy provides clear guidelines for conducting security research against Arkova systems and describes how to submit discovered vulnerabilities. It also outlines our Bug Bounty Program, which offers financial rewards for qualifying reports.</w:t>
      </w:r>
    </w:p>
    <w:p>
      <w:pPr>
        <w:spacing w:after="120"/>
      </w:pPr>
      <w:r>
        <w:rPr>
          <w:rFonts w:ascii="Inter" w:cs="Inter" w:eastAsia="Inter" w:hAnsi="Inter"/>
          <w:sz w:val="22"/>
          <w:szCs w:val="22"/>
        </w:rPr>
        <w:t xml:space="preserve">We welcome reports from anyone: independent researchers, industry partners, university students, and our own users.</w:t>
      </w:r>
    </w:p>
    <w:p>
      <w:pPr>
        <w:spacing w:after="200" w:before="360"/>
      </w:pPr>
      <w:r>
        <w:rPr>
          <w:rFonts w:ascii="Inter" w:cs="Inter" w:eastAsia="Inter" w:hAnsi="Inter"/>
          <w:b/>
          <w:bCs/>
          <w:color w:val="2E6B82"/>
          <w:sz w:val="32"/>
          <w:szCs w:val="32"/>
        </w:rPr>
        <w:t xml:space="preserve">2. Safe Harbor</w:t>
      </w:r>
    </w:p>
    <w:p>
      <w:pPr>
        <w:spacing w:after="120"/>
      </w:pPr>
      <w:r>
        <w:rPr>
          <w:rFonts w:ascii="Inter" w:cs="Inter" w:eastAsia="Inter" w:hAnsi="Inter"/>
          <w:sz w:val="22"/>
          <w:szCs w:val="22"/>
        </w:rPr>
        <w:t xml:space="preserve">If you conduct security research in compliance with this policy, we consider your research to be:</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Authorized</w:t>
      </w:r>
      <w:r>
        <w:rPr>
          <w:rFonts w:ascii="Inter" w:cs="Inter" w:eastAsia="Inter" w:hAnsi="Inter"/>
          <w:sz w:val="22"/>
          <w:szCs w:val="22"/>
        </w:rPr>
        <w:t xml:space="preserve"> under the Computer Fraud and Abuse Act (CFAA) and analogous state laws.</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Exempt</w:t>
      </w:r>
      <w:r>
        <w:rPr>
          <w:rFonts w:ascii="Inter" w:cs="Inter" w:eastAsia="Inter" w:hAnsi="Inter"/>
          <w:sz w:val="22"/>
          <w:szCs w:val="22"/>
        </w:rPr>
        <w:t xml:space="preserve"> from DMCA restrictions on circumvention of technology controls, to the extent your activities are conducted in good faith under this policy.</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Lawful and welcome.</w:t>
      </w:r>
      <w:r>
        <w:rPr>
          <w:rFonts w:ascii="Inter" w:cs="Inter" w:eastAsia="Inter" w:hAnsi="Inter"/>
          <w:sz w:val="22"/>
          <w:szCs w:val="22"/>
        </w:rPr>
        <w:t xml:space="preserve"> We will not initiate or support legal action against you for security research conducted in accordance with this policy.</w:t>
      </w:r>
    </w:p>
    <w:p>
      <w:pPr>
        <w:spacing w:after="120"/>
      </w:pPr>
      <w:r>
        <w:rPr>
          <w:rFonts w:ascii="Inter" w:cs="Inter" w:eastAsia="Inter" w:hAnsi="Inter"/>
          <w:sz w:val="22"/>
          <w:szCs w:val="22"/>
        </w:rPr>
        <w:t xml:space="preserve">If legal action is initiated by a third party against you for activities conducted in compliance with this policy, we will take steps to make it known that your actions were authorized.</w:t>
      </w:r>
    </w:p>
    <w:p>
      <w:pPr>
        <w:spacing w:after="200" w:before="360"/>
      </w:pPr>
      <w:r>
        <w:rPr>
          <w:rFonts w:ascii="Inter" w:cs="Inter" w:eastAsia="Inter" w:hAnsi="Inter"/>
          <w:b/>
          <w:bCs/>
          <w:color w:val="2E6B82"/>
          <w:sz w:val="32"/>
          <w:szCs w:val="32"/>
        </w:rPr>
        <w:t xml:space="preserve">3. Scope</w:t>
      </w:r>
    </w:p>
    <w:p>
      <w:pPr>
        <w:spacing w:after="160" w:before="280"/>
      </w:pPr>
      <w:r>
        <w:rPr>
          <w:rFonts w:ascii="Inter" w:cs="Inter" w:eastAsia="Inter" w:hAnsi="Inter"/>
          <w:b/>
          <w:bCs/>
          <w:sz w:val="26"/>
          <w:szCs w:val="26"/>
        </w:rPr>
        <w:t xml:space="preserve">3.1 In-Scope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Asset</w:t>
            </w:r>
          </w:p>
        </w:tc>
        <w:tc>
          <w:tcPr>
            <w:tcW w:type="dxa" w:w="320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Domain / Endpoint</w:t>
            </w:r>
          </w:p>
        </w:tc>
        <w:tc>
          <w:tcPr>
            <w:tcW w:type="dxa" w:w="396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Web Application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app.arkova.ai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Primary user-facing application (React SPA)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Marketing Site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arkova.ai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Public website and documentation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Verification API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api.arkova.ai (when live)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REST verification endpoints (/api/v1/*)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Edge Workers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*.arkova.ai edge routes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Cloudflare Worker endpoints (x402, MCP, AI fallback)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Public Search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search.arkova.ai (when live)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Public credential search portal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Worker API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app.arkova.ai/api/*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Backend Express service (auth, billing, anchoring, AI)</w:t>
            </w:r>
          </w:p>
        </w:tc>
      </w:tr>
    </w:tbl>
    <w:p>
      <w:pPr>
        <w:spacing w:after="160" w:before="280"/>
      </w:pPr>
      <w:r>
        <w:rPr>
          <w:rFonts w:ascii="Inter" w:cs="Inter" w:eastAsia="Inter" w:hAnsi="Inter"/>
          <w:b/>
          <w:bCs/>
          <w:sz w:val="26"/>
          <w:szCs w:val="26"/>
        </w:rPr>
        <w:t xml:space="preserve">3.2 Priority Attack Surfaces</w:t>
      </w:r>
    </w:p>
    <w:p>
      <w:pPr>
        <w:spacing w:after="120"/>
      </w:pPr>
      <w:r>
        <w:rPr>
          <w:rFonts w:ascii="Inter" w:cs="Inter" w:eastAsia="Inter" w:hAnsi="Inter"/>
          <w:sz w:val="22"/>
          <w:szCs w:val="22"/>
        </w:rPr>
        <w:t xml:space="preserve">We are especially interested in findings related to these areas:</w:t>
      </w:r>
    </w:p>
    <w:p>
      <w:pPr>
        <w:spacing w:after="120" w:before="200"/>
      </w:pPr>
      <w:r>
        <w:rPr>
          <w:rFonts w:ascii="Inter" w:cs="Inter" w:eastAsia="Inter" w:hAnsi="Inter"/>
          <w:b/>
          <w:bCs/>
          <w:color w:val="2E6B82"/>
          <w:sz w:val="22"/>
          <w:szCs w:val="22"/>
        </w:rPr>
        <w:t xml:space="preserve">Authentication &amp; Authorization</w:t>
      </w:r>
    </w:p>
    <w:p>
      <w:pPr>
        <w:pStyle w:val="ListParagraph"/>
        <w:numPr>
          <w:ilvl w:val="0"/>
          <w:numId w:val="2"/>
        </w:numPr>
        <w:spacing w:after="60"/>
      </w:pPr>
      <w:r>
        <w:rPr>
          <w:rFonts w:ascii="Inter" w:cs="Inter" w:eastAsia="Inter" w:hAnsi="Inter"/>
          <w:sz w:val="22"/>
          <w:szCs w:val="22"/>
        </w:rPr>
        <w:t xml:space="preserve">JWT verification bypass or token manipulation</w:t>
      </w:r>
    </w:p>
    <w:p>
      <w:pPr>
        <w:pStyle w:val="ListParagraph"/>
        <w:numPr>
          <w:ilvl w:val="0"/>
          <w:numId w:val="2"/>
        </w:numPr>
        <w:spacing w:after="60"/>
      </w:pPr>
      <w:r>
        <w:rPr>
          <w:rFonts w:ascii="Inter" w:cs="Inter" w:eastAsia="Inter" w:hAnsi="Inter"/>
          <w:sz w:val="22"/>
          <w:szCs w:val="22"/>
        </w:rPr>
        <w:t xml:space="preserve">API key scope escalation (e.g., verify scope accessing keys:manage endpoints)</w:t>
      </w:r>
    </w:p>
    <w:p>
      <w:pPr>
        <w:pStyle w:val="ListParagraph"/>
        <w:numPr>
          <w:ilvl w:val="0"/>
          <w:numId w:val="2"/>
        </w:numPr>
        <w:spacing w:after="60"/>
      </w:pPr>
      <w:r>
        <w:rPr>
          <w:rFonts w:ascii="Inter" w:cs="Inter" w:eastAsia="Inter" w:hAnsi="Inter"/>
          <w:sz w:val="22"/>
          <w:szCs w:val="22"/>
        </w:rPr>
        <w:t xml:space="preserve">Admin role escalation (/api/admin/* endpoints)</w:t>
      </w:r>
    </w:p>
    <w:p>
      <w:pPr>
        <w:pStyle w:val="ListParagraph"/>
        <w:numPr>
          <w:ilvl w:val="0"/>
          <w:numId w:val="2"/>
        </w:numPr>
        <w:spacing w:after="60"/>
      </w:pPr>
      <w:r>
        <w:rPr>
          <w:rFonts w:ascii="Inter" w:cs="Inter" w:eastAsia="Inter" w:hAnsi="Inter"/>
          <w:sz w:val="22"/>
          <w:szCs w:val="22"/>
        </w:rPr>
        <w:t xml:space="preserve">Cross-tenant data access via org_id manipulation</w:t>
      </w:r>
    </w:p>
    <w:p>
      <w:pPr>
        <w:spacing w:after="120" w:before="200"/>
      </w:pPr>
      <w:r>
        <w:rPr>
          <w:rFonts w:ascii="Inter" w:cs="Inter" w:eastAsia="Inter" w:hAnsi="Inter"/>
          <w:b/>
          <w:bCs/>
          <w:color w:val="2E6B82"/>
          <w:sz w:val="22"/>
          <w:szCs w:val="22"/>
        </w:rPr>
        <w:t xml:space="preserve">Row-Level Security (RLS)</w:t>
      </w:r>
    </w:p>
    <w:p>
      <w:pPr>
        <w:pStyle w:val="ListParagraph"/>
        <w:numPr>
          <w:ilvl w:val="0"/>
          <w:numId w:val="2"/>
        </w:numPr>
        <w:spacing w:after="60"/>
      </w:pPr>
      <w:r>
        <w:rPr>
          <w:rFonts w:ascii="Inter" w:cs="Inter" w:eastAsia="Inter" w:hAnsi="Inter"/>
          <w:sz w:val="22"/>
          <w:szCs w:val="22"/>
        </w:rPr>
        <w:t xml:space="preserve">Bypassing Supabase RLS policies to access another organization’s anchors, documents, or records</w:t>
      </w:r>
    </w:p>
    <w:p>
      <w:pPr>
        <w:pStyle w:val="ListParagraph"/>
        <w:numPr>
          <w:ilvl w:val="0"/>
          <w:numId w:val="2"/>
        </w:numPr>
        <w:spacing w:after="60"/>
      </w:pPr>
      <w:r>
        <w:rPr>
          <w:rFonts w:ascii="Inter" w:cs="Inter" w:eastAsia="Inter" w:hAnsi="Inter"/>
          <w:sz w:val="22"/>
          <w:szCs w:val="22"/>
        </w:rPr>
        <w:t xml:space="preserve">Enumerating internal IDs (user_id, org_id, anchors.id) through API responses (only public_id should be exposed)</w:t>
      </w:r>
    </w:p>
    <w:p>
      <w:pPr>
        <w:spacing w:after="120" w:before="200"/>
      </w:pPr>
      <w:r>
        <w:rPr>
          <w:rFonts w:ascii="Inter" w:cs="Inter" w:eastAsia="Inter" w:hAnsi="Inter"/>
          <w:b/>
          <w:bCs/>
          <w:color w:val="2E6B82"/>
          <w:sz w:val="22"/>
          <w:szCs w:val="22"/>
        </w:rPr>
        <w:t xml:space="preserve">Payment &amp; Billing</w:t>
      </w:r>
    </w:p>
    <w:p>
      <w:pPr>
        <w:pStyle w:val="ListParagraph"/>
        <w:numPr>
          <w:ilvl w:val="0"/>
          <w:numId w:val="2"/>
        </w:numPr>
        <w:spacing w:after="60"/>
      </w:pPr>
      <w:r>
        <w:rPr>
          <w:rFonts w:ascii="Inter" w:cs="Inter" w:eastAsia="Inter" w:hAnsi="Inter"/>
          <w:sz w:val="22"/>
          <w:szCs w:val="22"/>
        </w:rPr>
        <w:t xml:space="preserve">Stripe webhook signature bypass or event replay</w:t>
      </w:r>
    </w:p>
    <w:p>
      <w:pPr>
        <w:pStyle w:val="ListParagraph"/>
        <w:numPr>
          <w:ilvl w:val="0"/>
          <w:numId w:val="2"/>
        </w:numPr>
        <w:spacing w:after="60"/>
      </w:pPr>
      <w:r>
        <w:rPr>
          <w:rFonts w:ascii="Inter" w:cs="Inter" w:eastAsia="Inter" w:hAnsi="Inter"/>
          <w:sz w:val="22"/>
          <w:szCs w:val="22"/>
        </w:rPr>
        <w:t xml:space="preserve">x402 on-chain payment replay (reusing a tx_hash to authorize multiple requests)</w:t>
      </w:r>
    </w:p>
    <w:p>
      <w:pPr>
        <w:pStyle w:val="ListParagraph"/>
        <w:numPr>
          <w:ilvl w:val="0"/>
          <w:numId w:val="2"/>
        </w:numPr>
        <w:spacing w:after="60"/>
      </w:pPr>
      <w:r>
        <w:rPr>
          <w:rFonts w:ascii="Inter" w:cs="Inter" w:eastAsia="Inter" w:hAnsi="Inter"/>
          <w:sz w:val="22"/>
          <w:szCs w:val="22"/>
        </w:rPr>
        <w:t xml:space="preserve">x402 underpayment acceptance (paying less than the required amount)</w:t>
      </w:r>
    </w:p>
    <w:p>
      <w:pPr>
        <w:pStyle w:val="ListParagraph"/>
        <w:numPr>
          <w:ilvl w:val="0"/>
          <w:numId w:val="2"/>
        </w:numPr>
        <w:spacing w:after="60"/>
      </w:pPr>
      <w:r>
        <w:rPr>
          <w:rFonts w:ascii="Inter" w:cs="Inter" w:eastAsia="Inter" w:hAnsi="Inter"/>
          <w:sz w:val="22"/>
          <w:szCs w:val="22"/>
        </w:rPr>
        <w:t xml:space="preserve">AI credit bypass (accessing extraction endpoints without sufficient credits)</w:t>
      </w:r>
    </w:p>
    <w:p>
      <w:pPr>
        <w:pStyle w:val="ListParagraph"/>
        <w:numPr>
          <w:ilvl w:val="0"/>
          <w:numId w:val="2"/>
        </w:numPr>
        <w:spacing w:after="60"/>
      </w:pPr>
      <w:r>
        <w:rPr>
          <w:rFonts w:ascii="Inter" w:cs="Inter" w:eastAsia="Inter" w:hAnsi="Inter"/>
          <w:sz w:val="22"/>
          <w:szCs w:val="22"/>
        </w:rPr>
        <w:t xml:space="preserve">Checkout session manipulation (obtaining a higher-tier plan at a lower price)</w:t>
      </w:r>
    </w:p>
    <w:p>
      <w:pPr>
        <w:pStyle w:val="ListParagraph"/>
        <w:numPr>
          <w:ilvl w:val="0"/>
          <w:numId w:val="2"/>
        </w:numPr>
        <w:spacing w:after="60"/>
      </w:pPr>
      <w:r>
        <w:rPr>
          <w:rFonts w:ascii="Inter" w:cs="Inter" w:eastAsia="Inter" w:hAnsi="Inter"/>
          <w:sz w:val="22"/>
          <w:szCs w:val="22"/>
        </w:rPr>
        <w:t xml:space="preserve">Billing event idempotency bypass (processing the same Stripe event twice)</w:t>
      </w:r>
    </w:p>
    <w:p>
      <w:pPr>
        <w:spacing w:after="120" w:before="200"/>
      </w:pPr>
      <w:r>
        <w:rPr>
          <w:rFonts w:ascii="Inter" w:cs="Inter" w:eastAsia="Inter" w:hAnsi="Inter"/>
          <w:b/>
          <w:bCs/>
          <w:color w:val="2E6B82"/>
          <w:sz w:val="22"/>
          <w:szCs w:val="22"/>
        </w:rPr>
        <w:t xml:space="preserve">Credential Anchoring &amp; Chain Integrity</w:t>
      </w:r>
    </w:p>
    <w:p>
      <w:pPr>
        <w:pStyle w:val="ListParagraph"/>
        <w:numPr>
          <w:ilvl w:val="0"/>
          <w:numId w:val="2"/>
        </w:numPr>
        <w:spacing w:after="60"/>
      </w:pPr>
      <w:r>
        <w:rPr>
          <w:rFonts w:ascii="Inter" w:cs="Inter" w:eastAsia="Inter" w:hAnsi="Inter"/>
          <w:sz w:val="22"/>
          <w:szCs w:val="22"/>
        </w:rPr>
        <w:t xml:space="preserve">Anchor status manipulation (changing status to SECURED without a valid chain transaction)</w:t>
      </w:r>
    </w:p>
    <w:p>
      <w:pPr>
        <w:pStyle w:val="ListParagraph"/>
        <w:numPr>
          <w:ilvl w:val="0"/>
          <w:numId w:val="2"/>
        </w:numPr>
        <w:spacing w:after="60"/>
      </w:pPr>
      <w:r>
        <w:rPr>
          <w:rFonts w:ascii="Inter" w:cs="Inter" w:eastAsia="Inter" w:hAnsi="Inter"/>
          <w:sz w:val="22"/>
          <w:szCs w:val="22"/>
        </w:rPr>
        <w:t xml:space="preserve">Fingerprint collision exploitation</w:t>
      </w:r>
    </w:p>
    <w:p>
      <w:pPr>
        <w:pStyle w:val="ListParagraph"/>
        <w:numPr>
          <w:ilvl w:val="0"/>
          <w:numId w:val="2"/>
        </w:numPr>
        <w:spacing w:after="60"/>
      </w:pPr>
      <w:r>
        <w:rPr>
          <w:rFonts w:ascii="Inter" w:cs="Inter" w:eastAsia="Inter" w:hAnsi="Inter"/>
          <w:sz w:val="22"/>
          <w:szCs w:val="22"/>
        </w:rPr>
        <w:t xml:space="preserve">Batch anchor processing abuse (queue flooding, fee manipulation)</w:t>
      </w:r>
    </w:p>
    <w:p>
      <w:pPr>
        <w:pStyle w:val="ListParagraph"/>
        <w:numPr>
          <w:ilvl w:val="0"/>
          <w:numId w:val="2"/>
        </w:numPr>
        <w:spacing w:after="60"/>
      </w:pPr>
      <w:r>
        <w:rPr>
          <w:rFonts w:ascii="Inter" w:cs="Inter" w:eastAsia="Inter" w:hAnsi="Inter"/>
          <w:sz w:val="22"/>
          <w:szCs w:val="22"/>
        </w:rPr>
        <w:t xml:space="preserve">Merkle proof forgery or verification bypass</w:t>
      </w:r>
    </w:p>
    <w:p>
      <w:pPr>
        <w:spacing w:after="120" w:before="200"/>
      </w:pPr>
      <w:r>
        <w:rPr>
          <w:rFonts w:ascii="Inter" w:cs="Inter" w:eastAsia="Inter" w:hAnsi="Inter"/>
          <w:b/>
          <w:bCs/>
          <w:color w:val="2E6B82"/>
          <w:sz w:val="22"/>
          <w:szCs w:val="22"/>
        </w:rPr>
        <w:t xml:space="preserve">AI Extraction Pipeline</w:t>
      </w:r>
    </w:p>
    <w:p>
      <w:pPr>
        <w:pStyle w:val="ListParagraph"/>
        <w:numPr>
          <w:ilvl w:val="0"/>
          <w:numId w:val="2"/>
        </w:numPr>
        <w:spacing w:after="60"/>
      </w:pPr>
      <w:r>
        <w:rPr>
          <w:rFonts w:ascii="Inter" w:cs="Inter" w:eastAsia="Inter" w:hAnsi="Inter"/>
          <w:sz w:val="22"/>
          <w:szCs w:val="22"/>
        </w:rPr>
        <w:t xml:space="preserve">Prompt injection via strippedText input to Gemini/Nessie extraction</w:t>
      </w:r>
    </w:p>
    <w:p>
      <w:pPr>
        <w:pStyle w:val="ListParagraph"/>
        <w:numPr>
          <w:ilvl w:val="0"/>
          <w:numId w:val="2"/>
        </w:numPr>
        <w:spacing w:after="60"/>
      </w:pPr>
      <w:r>
        <w:rPr>
          <w:rFonts w:ascii="Inter" w:cs="Inter" w:eastAsia="Inter" w:hAnsi="Inter"/>
          <w:sz w:val="22"/>
          <w:szCs w:val="22"/>
        </w:rPr>
        <w:t xml:space="preserve">Extraction cache poisoning (manipulating cached results via fingerprint collisions)</w:t>
      </w:r>
    </w:p>
    <w:p>
      <w:pPr>
        <w:pStyle w:val="ListParagraph"/>
        <w:numPr>
          <w:ilvl w:val="0"/>
          <w:numId w:val="2"/>
        </w:numPr>
        <w:spacing w:after="60"/>
      </w:pPr>
      <w:r>
        <w:rPr>
          <w:rFonts w:ascii="Inter" w:cs="Inter" w:eastAsia="Inter" w:hAnsi="Inter"/>
          <w:sz w:val="22"/>
          <w:szCs w:val="22"/>
        </w:rPr>
        <w:t xml:space="preserve">Bypassing the client-side processing boundary (causing document content to reach the server)</w:t>
      </w:r>
    </w:p>
    <w:p>
      <w:pPr>
        <w:spacing w:after="120" w:before="200"/>
      </w:pPr>
      <w:r>
        <w:rPr>
          <w:rFonts w:ascii="Inter" w:cs="Inter" w:eastAsia="Inter" w:hAnsi="Inter"/>
          <w:b/>
          <w:bCs/>
          <w:color w:val="2E6B82"/>
          <w:sz w:val="22"/>
          <w:szCs w:val="22"/>
        </w:rPr>
        <w:t xml:space="preserve">Webhook &amp; Integration Security</w:t>
      </w:r>
    </w:p>
    <w:p>
      <w:pPr>
        <w:pStyle w:val="ListParagraph"/>
        <w:numPr>
          <w:ilvl w:val="0"/>
          <w:numId w:val="2"/>
        </w:numPr>
        <w:spacing w:after="60"/>
      </w:pPr>
      <w:r>
        <w:rPr>
          <w:rFonts w:ascii="Inter" w:cs="Inter" w:eastAsia="Inter" w:hAnsi="Inter"/>
          <w:sz w:val="22"/>
          <w:szCs w:val="22"/>
        </w:rPr>
        <w:t xml:space="preserve">Webhook HMAC signature forgery</w:t>
      </w:r>
    </w:p>
    <w:p>
      <w:pPr>
        <w:pStyle w:val="ListParagraph"/>
        <w:numPr>
          <w:ilvl w:val="0"/>
          <w:numId w:val="2"/>
        </w:numPr>
        <w:spacing w:after="60"/>
      </w:pPr>
      <w:r>
        <w:rPr>
          <w:rFonts w:ascii="Inter" w:cs="Inter" w:eastAsia="Inter" w:hAnsi="Inter"/>
          <w:sz w:val="22"/>
          <w:szCs w:val="22"/>
        </w:rPr>
        <w:t xml:space="preserve">Webhook delivery replay attacks</w:t>
      </w:r>
    </w:p>
    <w:p>
      <w:pPr>
        <w:pStyle w:val="ListParagraph"/>
        <w:numPr>
          <w:ilvl w:val="0"/>
          <w:numId w:val="2"/>
        </w:numPr>
        <w:spacing w:after="60"/>
      </w:pPr>
      <w:r>
        <w:rPr>
          <w:rFonts w:ascii="Inter" w:cs="Inter" w:eastAsia="Inter" w:hAnsi="Inter"/>
          <w:sz w:val="22"/>
          <w:szCs w:val="22"/>
        </w:rPr>
        <w:t xml:space="preserve">ATS inbound webhook authentication bypass</w:t>
      </w:r>
    </w:p>
    <w:p>
      <w:pPr>
        <w:spacing w:after="120" w:before="200"/>
      </w:pPr>
      <w:r>
        <w:rPr>
          <w:rFonts w:ascii="Inter" w:cs="Inter" w:eastAsia="Inter" w:hAnsi="Inter"/>
          <w:b/>
          <w:bCs/>
          <w:color w:val="2E6B82"/>
          <w:sz w:val="22"/>
          <w:szCs w:val="22"/>
        </w:rPr>
        <w:t xml:space="preserve">Cron &amp; Scheduled Jobs</w:t>
      </w:r>
    </w:p>
    <w:p>
      <w:pPr>
        <w:pStyle w:val="ListParagraph"/>
        <w:numPr>
          <w:ilvl w:val="0"/>
          <w:numId w:val="2"/>
        </w:numPr>
        <w:spacing w:after="60"/>
      </w:pPr>
      <w:r>
        <w:rPr>
          <w:rFonts w:ascii="Inter" w:cs="Inter" w:eastAsia="Inter" w:hAnsi="Inter"/>
          <w:sz w:val="22"/>
          <w:szCs w:val="22"/>
        </w:rPr>
        <w:t xml:space="preserve">CRON_SECRET or OIDC authentication bypass on /jobs/* endpoints</w:t>
      </w:r>
    </w:p>
    <w:p>
      <w:pPr>
        <w:spacing w:after="160" w:before="280"/>
      </w:pPr>
      <w:r>
        <w:rPr>
          <w:rFonts w:ascii="Inter" w:cs="Inter" w:eastAsia="Inter" w:hAnsi="Inter"/>
          <w:b/>
          <w:bCs/>
          <w:sz w:val="26"/>
          <w:szCs w:val="26"/>
        </w:rPr>
        <w:t xml:space="preserve">3.3 Out-of-Scope Systems</w:t>
      </w:r>
    </w:p>
    <w:p>
      <w:pPr>
        <w:spacing w:after="120"/>
      </w:pPr>
      <w:r>
        <w:rPr>
          <w:rFonts w:ascii="Inter" w:cs="Inter" w:eastAsia="Inter" w:hAnsi="Inter"/>
          <w:sz w:val="22"/>
          <w:szCs w:val="22"/>
        </w:rPr>
        <w:t xml:space="preserve">The following are excluded. Report vulnerabilities directly to the respective vendors.</w:t>
      </w:r>
    </w:p>
    <w:p>
      <w:pPr>
        <w:pStyle w:val="ListParagraph"/>
        <w:numPr>
          <w:ilvl w:val="0"/>
          <w:numId w:val="2"/>
        </w:numPr>
        <w:spacing w:after="60"/>
      </w:pPr>
      <w:r>
        <w:rPr>
          <w:rFonts w:ascii="Inter" w:cs="Inter" w:eastAsia="Inter" w:hAnsi="Inter"/>
          <w:sz w:val="22"/>
          <w:szCs w:val="22"/>
        </w:rPr>
        <w:t xml:space="preserve">Third-party infrastructure: Supabase, Vercel, Cloudflare (platform-level), Google Cloud Platform, Stripe, AWS</w:t>
      </w:r>
    </w:p>
    <w:p>
      <w:pPr>
        <w:pStyle w:val="ListParagraph"/>
        <w:numPr>
          <w:ilvl w:val="0"/>
          <w:numId w:val="2"/>
        </w:numPr>
        <w:spacing w:after="60"/>
      </w:pPr>
      <w:r>
        <w:rPr>
          <w:rFonts w:ascii="Inter" w:cs="Inter" w:eastAsia="Inter" w:hAnsi="Inter"/>
          <w:sz w:val="22"/>
          <w:szCs w:val="22"/>
        </w:rPr>
        <w:t xml:space="preserve">Third-party SaaS integrations (e.g., Sentry, Apollo.io, GitHub, Resend)</w:t>
      </w:r>
    </w:p>
    <w:p>
      <w:pPr>
        <w:pStyle w:val="ListParagraph"/>
        <w:numPr>
          <w:ilvl w:val="0"/>
          <w:numId w:val="2"/>
        </w:numPr>
        <w:spacing w:after="60"/>
      </w:pPr>
      <w:r>
        <w:rPr>
          <w:rFonts w:ascii="Inter" w:cs="Inter" w:eastAsia="Inter" w:hAnsi="Inter"/>
          <w:sz w:val="22"/>
          <w:szCs w:val="22"/>
        </w:rPr>
        <w:t xml:space="preserve">Any system not explicitly listed in Section 3.1</w:t>
      </w:r>
    </w:p>
    <w:p>
      <w:pPr>
        <w:spacing w:after="200" w:before="360"/>
      </w:pPr>
      <w:r>
        <w:rPr>
          <w:rFonts w:ascii="Inter" w:cs="Inter" w:eastAsia="Inter" w:hAnsi="Inter"/>
          <w:b/>
          <w:bCs/>
          <w:color w:val="2E6B82"/>
          <w:sz w:val="32"/>
          <w:szCs w:val="32"/>
        </w:rPr>
        <w:t xml:space="preserve">4. Rules of Engagement</w:t>
      </w:r>
    </w:p>
    <w:p>
      <w:pPr>
        <w:spacing w:after="120"/>
      </w:pPr>
      <w:r>
        <w:rPr>
          <w:rFonts w:ascii="Inter" w:cs="Inter" w:eastAsia="Inter" w:hAnsi="Inter"/>
          <w:sz w:val="22"/>
          <w:szCs w:val="22"/>
        </w:rPr>
        <w:t xml:space="preserve">When conducting research under this policy, you agree to:</w:t>
      </w:r>
    </w:p>
    <w:p>
      <w:pPr>
        <w:pStyle w:val="ListParagraph"/>
        <w:numPr>
          <w:ilvl w:val="0"/>
          <w:numId w:val="3"/>
        </w:numPr>
        <w:spacing w:after="60"/>
      </w:pPr>
      <w:r>
        <w:rPr>
          <w:rFonts w:ascii="Inter" w:cs="Inter" w:eastAsia="Inter" w:hAnsi="Inter"/>
          <w:sz w:val="22"/>
          <w:szCs w:val="22"/>
        </w:rPr>
        <w:t xml:space="preserve">Test only against systems listed in Section 3.1.</w:t>
      </w:r>
    </w:p>
    <w:p>
      <w:pPr>
        <w:pStyle w:val="ListParagraph"/>
        <w:numPr>
          <w:ilvl w:val="0"/>
          <w:numId w:val="3"/>
        </w:numPr>
        <w:spacing w:after="60"/>
      </w:pPr>
      <w:r>
        <w:rPr>
          <w:rFonts w:ascii="Inter" w:cs="Inter" w:eastAsia="Inter" w:hAnsi="Inter"/>
          <w:sz w:val="22"/>
          <w:szCs w:val="22"/>
        </w:rPr>
        <w:t xml:space="preserve">Use only accounts you own or have explicit permission to test.</w:t>
      </w:r>
    </w:p>
    <w:p>
      <w:pPr>
        <w:pStyle w:val="ListParagraph"/>
        <w:numPr>
          <w:ilvl w:val="0"/>
          <w:numId w:val="3"/>
        </w:numPr>
        <w:spacing w:after="60"/>
      </w:pPr>
      <w:r>
        <w:rPr>
          <w:rFonts w:ascii="Inter" w:cs="Inter" w:eastAsia="Inter" w:hAnsi="Inter"/>
          <w:sz w:val="22"/>
          <w:szCs w:val="22"/>
        </w:rPr>
        <w:t xml:space="preserve">Stop testing and report immediately if you encounter any user data (PII, documents, credentials, or organization data) belonging to others.</w:t>
      </w:r>
    </w:p>
    <w:p>
      <w:pPr>
        <w:pStyle w:val="ListParagraph"/>
        <w:numPr>
          <w:ilvl w:val="0"/>
          <w:numId w:val="3"/>
        </w:numPr>
        <w:spacing w:after="60"/>
      </w:pPr>
      <w:r>
        <w:rPr>
          <w:rFonts w:ascii="Inter" w:cs="Inter" w:eastAsia="Inter" w:hAnsi="Inter"/>
          <w:sz w:val="22"/>
          <w:szCs w:val="22"/>
        </w:rPr>
        <w:t xml:space="preserve">Do not exfiltrate, modify, or destroy data belonging to Arkova or its users.</w:t>
      </w:r>
    </w:p>
    <w:p>
      <w:pPr>
        <w:pStyle w:val="ListParagraph"/>
        <w:numPr>
          <w:ilvl w:val="0"/>
          <w:numId w:val="3"/>
        </w:numPr>
        <w:spacing w:after="60"/>
      </w:pPr>
      <w:r>
        <w:rPr>
          <w:rFonts w:ascii="Inter" w:cs="Inter" w:eastAsia="Inter" w:hAnsi="Inter"/>
          <w:sz w:val="22"/>
          <w:szCs w:val="22"/>
        </w:rPr>
        <w:t xml:space="preserve">Do not perform denial-of-service attacks, resource exhaustion, or automated scanning at volumes that degrade service.</w:t>
      </w:r>
    </w:p>
    <w:p>
      <w:pPr>
        <w:pStyle w:val="ListParagraph"/>
        <w:numPr>
          <w:ilvl w:val="0"/>
          <w:numId w:val="3"/>
        </w:numPr>
        <w:spacing w:after="60"/>
      </w:pPr>
      <w:r>
        <w:rPr>
          <w:rFonts w:ascii="Inter" w:cs="Inter" w:eastAsia="Inter" w:hAnsi="Inter"/>
          <w:sz w:val="22"/>
          <w:szCs w:val="22"/>
        </w:rPr>
        <w:t xml:space="preserve">Do not engage in social engineering, phishing, or physical attacks against Arkova employees or infrastructure.</w:t>
      </w:r>
    </w:p>
    <w:p>
      <w:pPr>
        <w:pStyle w:val="ListParagraph"/>
        <w:numPr>
          <w:ilvl w:val="0"/>
          <w:numId w:val="3"/>
        </w:numPr>
        <w:spacing w:after="60"/>
      </w:pPr>
      <w:r>
        <w:rPr>
          <w:rFonts w:ascii="Inter" w:cs="Inter" w:eastAsia="Inter" w:hAnsi="Inter"/>
          <w:sz w:val="22"/>
          <w:szCs w:val="22"/>
        </w:rPr>
        <w:t xml:space="preserve">Keep all findings confidential until Arkova has had 90 calendar days from acknowledgment to remediate, or until we mutually agree on disclosure.</w:t>
      </w:r>
    </w:p>
    <w:p>
      <w:pPr>
        <w:pStyle w:val="ListParagraph"/>
        <w:numPr>
          <w:ilvl w:val="0"/>
          <w:numId w:val="3"/>
        </w:numPr>
        <w:spacing w:after="60"/>
      </w:pPr>
      <w:r>
        <w:rPr>
          <w:rFonts w:ascii="Inter" w:cs="Inter" w:eastAsia="Inter" w:hAnsi="Inter"/>
          <w:sz w:val="22"/>
          <w:szCs w:val="22"/>
        </w:rPr>
        <w:t xml:space="preserve">Do not publicly disclose vulnerability details without prior written authorization from Arkova.</w:t>
      </w:r>
    </w:p>
    <w:p>
      <w:pPr>
        <w:spacing w:after="200" w:before="360"/>
      </w:pPr>
      <w:r>
        <w:rPr>
          <w:rFonts w:ascii="Inter" w:cs="Inter" w:eastAsia="Inter" w:hAnsi="Inter"/>
          <w:b/>
          <w:bCs/>
          <w:color w:val="2E6B82"/>
          <w:sz w:val="32"/>
          <w:szCs w:val="32"/>
        </w:rPr>
        <w:t xml:space="preserve">5. How to Report a Vulnerability</w:t>
      </w:r>
    </w:p>
    <w:p>
      <w:pPr>
        <w:spacing w:after="120"/>
      </w:pPr>
      <w:r>
        <w:rPr>
          <w:rFonts w:ascii="Inter" w:cs="Inter" w:eastAsia="Inter" w:hAnsi="Inter"/>
          <w:b/>
          <w:bCs/>
          <w:sz w:val="22"/>
          <w:szCs w:val="22"/>
        </w:rPr>
        <w:t xml:space="preserve">Send vulnerability reports to </w:t>
      </w:r>
      <w:r>
        <w:rPr>
          <w:rFonts w:ascii="Inter" w:cs="Inter" w:eastAsia="Inter" w:hAnsi="Inter"/>
          <w:sz w:val="22"/>
          <w:szCs w:val="22"/>
        </w:rPr>
        <w:t xml:space="preserve"/>
      </w:r>
    </w:p>
    <w:p>
      <w:pPr>
        <w:spacing w:after="120"/>
      </w:pPr>
      <w:r>
        <w:rPr>
          <w:rFonts w:ascii="Inter" w:cs="Inter" w:eastAsia="Inter" w:hAnsi="Inter"/>
          <w:sz w:val="22"/>
          <w:szCs w:val="22"/>
        </w:rPr>
        <w:t xml:space="preserve">Send vulnerability reports to </w:t>
      </w:r>
      <w:hyperlink w:history="1" r:id="rIdnn1ckfv0ndiiwvkorhdhk">
        <w:r>
          <w:rPr>
            <w:rFonts w:ascii="Inter" w:cs="Inter" w:eastAsia="Inter" w:hAnsi="Inter"/>
            <w:color w:val="2E6B82"/>
            <w:sz w:val="22"/>
            <w:szCs w:val="22"/>
            <w:u w:val="single"/>
          </w:rPr>
          <w:t xml:space="preserve">security@arkova.ai</w:t>
        </w:r>
      </w:hyperlink>
      <w:r>
        <w:rPr>
          <w:rFonts w:ascii="Inter" w:cs="Inter" w:eastAsia="Inter" w:hAnsi="Inter"/>
          <w:sz w:val="22"/>
          <w:szCs w:val="22"/>
        </w:rPr>
        <w:t xml:space="preserve">. Reports may be submitted anonymously.</w:t>
      </w:r>
    </w:p>
    <w:p>
      <w:pPr>
        <w:spacing w:after="120"/>
      </w:pPr>
      <w:r>
        <w:rPr>
          <w:rFonts w:ascii="Inter" w:cs="Inter" w:eastAsia="Inter" w:hAnsi="Inter"/>
          <w:sz w:val="22"/>
          <w:szCs w:val="22"/>
        </w:rPr>
        <w:t xml:space="preserve">For sensitive findings, encrypt your report using our PGP key (available at arkova.ai/.well-known/pgp-key.txt).</w:t>
      </w:r>
    </w:p>
    <w:p>
      <w:pPr>
        <w:spacing w:after="80" w:before="160"/>
      </w:pPr>
      <w:r>
        <w:rPr>
          <w:rFonts w:ascii="Inter" w:cs="Inter" w:eastAsia="Inter" w:hAnsi="Inter"/>
          <w:b/>
          <w:bCs/>
          <w:sz w:val="22"/>
          <w:szCs w:val="22"/>
        </w:rPr>
        <w:t xml:space="preserve">Your report should include:</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Description:</w:t>
      </w:r>
      <w:r>
        <w:rPr>
          <w:rFonts w:ascii="Inter" w:cs="Inter" w:eastAsia="Inter" w:hAnsi="Inter"/>
          <w:sz w:val="22"/>
          <w:szCs w:val="22"/>
        </w:rPr>
        <w:t xml:space="preserve"> A clear description of the vulnerability and its potential impact.</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Reproduction steps:</w:t>
      </w:r>
      <w:r>
        <w:rPr>
          <w:rFonts w:ascii="Inter" w:cs="Inter" w:eastAsia="Inter" w:hAnsi="Inter"/>
          <w:sz w:val="22"/>
          <w:szCs w:val="22"/>
        </w:rPr>
        <w:t xml:space="preserve"> Detailed, step-by-step instructions to reproduce the issue.</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Affected component:</w:t>
      </w:r>
      <w:r>
        <w:rPr>
          <w:rFonts w:ascii="Inter" w:cs="Inter" w:eastAsia="Inter" w:hAnsi="Inter"/>
          <w:sz w:val="22"/>
          <w:szCs w:val="22"/>
        </w:rPr>
        <w:t xml:space="preserve"> URL, endpoint, API route, or system component (reference Section 3.1/3.2).</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Evidence:</w:t>
      </w:r>
      <w:r>
        <w:rPr>
          <w:rFonts w:ascii="Inter" w:cs="Inter" w:eastAsia="Inter" w:hAnsi="Inter"/>
          <w:sz w:val="22"/>
          <w:szCs w:val="22"/>
        </w:rPr>
        <w:t xml:space="preserve"> Screenshots, HTTP request/response captures, proof-of-concept scripts, or video.</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Severity estimate:</w:t>
      </w:r>
      <w:r>
        <w:rPr>
          <w:rFonts w:ascii="Inter" w:cs="Inter" w:eastAsia="Inter" w:hAnsi="Inter"/>
          <w:sz w:val="22"/>
          <w:szCs w:val="22"/>
        </w:rPr>
        <w:t xml:space="preserve"> Your assessment using CVSS v3.1 (optional but helpful).</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Contact information:</w:t>
      </w:r>
      <w:r>
        <w:rPr>
          <w:rFonts w:ascii="Inter" w:cs="Inter" w:eastAsia="Inter" w:hAnsi="Inter"/>
          <w:sz w:val="22"/>
          <w:szCs w:val="22"/>
        </w:rPr>
        <w:t xml:space="preserve"> How to reach you for follow-up (optional if submitting anonymously).</w:t>
      </w:r>
    </w:p>
    <w:p>
      <w:pPr>
        <w:spacing w:after="200" w:before="360"/>
      </w:pPr>
      <w:r>
        <w:rPr>
          <w:rFonts w:ascii="Inter" w:cs="Inter" w:eastAsia="Inter" w:hAnsi="Inter"/>
          <w:b/>
          <w:bCs/>
          <w:color w:val="2E6B82"/>
          <w:sz w:val="32"/>
          <w:szCs w:val="32"/>
        </w:rPr>
        <w:t xml:space="preserve">6. Our Commitments</w:t>
      </w:r>
    </w:p>
    <w:p>
      <w:pPr>
        <w:spacing w:after="120"/>
      </w:pPr>
      <w:r>
        <w:rPr>
          <w:rFonts w:ascii="Inter" w:cs="Inter" w:eastAsia="Inter" w:hAnsi="Inter"/>
          <w:sz w:val="22"/>
          <w:szCs w:val="22"/>
        </w:rPr>
        <w:t xml:space="preserve">When you submit a report in compliance with this policy, Arkova commits to:</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Acknowledge</w:t>
      </w:r>
      <w:r>
        <w:rPr>
          <w:rFonts w:ascii="Inter" w:cs="Inter" w:eastAsia="Inter" w:hAnsi="Inter"/>
          <w:sz w:val="22"/>
          <w:szCs w:val="22"/>
        </w:rPr>
        <w:t xml:space="preserve"> receipt within 72 hours.</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Triage</w:t>
      </w:r>
      <w:r>
        <w:rPr>
          <w:rFonts w:ascii="Inter" w:cs="Inter" w:eastAsia="Inter" w:hAnsi="Inter"/>
          <w:sz w:val="22"/>
          <w:szCs w:val="22"/>
        </w:rPr>
        <w:t xml:space="preserve"> and provide an initial severity assessment within 5 business days.</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Keep you informed</w:t>
      </w:r>
      <w:r>
        <w:rPr>
          <w:rFonts w:ascii="Inter" w:cs="Inter" w:eastAsia="Inter" w:hAnsi="Inter"/>
          <w:sz w:val="22"/>
          <w:szCs w:val="22"/>
        </w:rPr>
        <w:t xml:space="preserve"> of remediation progress at reasonable intervals.</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Not pursue legal action</w:t>
      </w:r>
      <w:r>
        <w:rPr>
          <w:rFonts w:ascii="Inter" w:cs="Inter" w:eastAsia="Inter" w:hAnsi="Inter"/>
          <w:sz w:val="22"/>
          <w:szCs w:val="22"/>
        </w:rPr>
        <w:t xml:space="preserve"> against researchers acting in good faith.</w:t>
      </w:r>
    </w:p>
    <w:p>
      <w:pPr>
        <w:pStyle w:val="ListParagraph"/>
        <w:numPr>
          <w:ilvl w:val="0"/>
          <w:numId w:val="2"/>
        </w:numPr>
        <w:spacing w:after="60"/>
      </w:pPr>
      <w:r>
        <w:rPr>
          <w:rFonts w:ascii="Inter" w:cs="Inter" w:eastAsia="Inter" w:hAnsi="Inter"/>
          <w:sz w:val="22"/>
          <w:szCs w:val="22"/>
        </w:rPr>
        <w:t xml:space="preserve"/>
      </w:r>
      <w:r>
        <w:rPr>
          <w:rFonts w:ascii="Inter" w:cs="Inter" w:eastAsia="Inter" w:hAnsi="Inter"/>
          <w:b/>
          <w:bCs/>
          <w:sz w:val="22"/>
          <w:szCs w:val="22"/>
        </w:rPr>
        <w:t xml:space="preserve">Credit you</w:t>
      </w:r>
      <w:r>
        <w:rPr>
          <w:rFonts w:ascii="Inter" w:cs="Inter" w:eastAsia="Inter" w:hAnsi="Inter"/>
          <w:sz w:val="22"/>
          <w:szCs w:val="22"/>
        </w:rPr>
        <w:t xml:space="preserve"> in our Hall of Fame (unless you prefer anonymity).</w:t>
      </w:r>
    </w:p>
    <w:p>
      <w:pPr>
        <w:spacing w:after="200" w:before="360"/>
      </w:pPr>
      <w:r>
        <w:rPr>
          <w:rFonts w:ascii="Inter" w:cs="Inter" w:eastAsia="Inter" w:hAnsi="Inter"/>
          <w:b/>
          <w:bCs/>
          <w:color w:val="2E6B82"/>
          <w:sz w:val="32"/>
          <w:szCs w:val="32"/>
        </w:rPr>
        <w:t xml:space="preserve">7. Bug Bounty Rewards</w:t>
      </w:r>
    </w:p>
    <w:p>
      <w:pPr>
        <w:spacing w:after="120"/>
      </w:pPr>
      <w:r>
        <w:rPr>
          <w:rFonts w:ascii="Inter" w:cs="Inter" w:eastAsia="Inter" w:hAnsi="Inter"/>
          <w:sz w:val="22"/>
          <w:szCs w:val="22"/>
        </w:rPr>
        <w:t xml:space="preserve">Arkova offers monetary rewards for qualifying vulnerability reports. Rewards are determined by severity, impact, and report quality. All bounty decisions are at Arkova’s sole discretion.</w:t>
      </w:r>
    </w:p>
    <w:p>
      <w:pPr>
        <w:spacing w:after="160"/>
      </w:pPr>
      <w:r>
        <w:rPr>
          <w:rFonts w:ascii="Inter" w:cs="Inter" w:eastAsia="Inter" w:hAnsi="Inter"/>
          <w:b/>
          <w:bCs/>
          <w:sz w:val="22"/>
          <w:szCs w:val="22"/>
        </w:rPr>
        <w:t xml:space="preserve">Program budget: $2,000 USD total.</w:t>
      </w:r>
      <w:r>
        <w:rPr>
          <w:rFonts w:ascii="Inter" w:cs="Inter" w:eastAsia="Inter" w:hAnsi="Inter"/>
          <w:sz w:val="22"/>
          <w:szCs w:val="22"/>
        </w:rPr>
        <w:t xml:space="preserve"> We will publicly note on this page if the budget is exhausted. Reports are still accepted and acknowledged after budget exhaustion.</w:t>
      </w:r>
    </w:p>
    <w:p>
      <w:pPr>
        <w:spacing w:after="160" w:before="280"/>
      </w:pPr>
      <w:r>
        <w:rPr>
          <w:rFonts w:ascii="Inter" w:cs="Inter" w:eastAsia="Inter" w:hAnsi="Inter"/>
          <w:b/>
          <w:bCs/>
          <w:sz w:val="26"/>
          <w:szCs w:val="26"/>
        </w:rPr>
        <w:t xml:space="preserve">7.1 Reward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W w:type="dxa" w:w="140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CVSS Range</w:t>
            </w:r>
          </w:p>
        </w:tc>
        <w:tc>
          <w:tcPr>
            <w:tcW w:type="dxa" w:w="140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Reward</w:t>
            </w:r>
          </w:p>
        </w:tc>
        <w:tc>
          <w:tcPr>
            <w:tcW w:type="dxa" w:w="516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Example Findings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Critical</w:t>
            </w:r>
            <w:r>
              <w:rPr>
                <w:rFonts w:ascii="Inter" w:cs="Inter" w:eastAsia="Inter" w:hAnsi="Inter"/>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9.0 - 10.0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$1,000</w:t>
            </w:r>
            <w:r>
              <w:rPr>
                <w:rFonts w:ascii="Inter" w:cs="Inter" w:eastAsia="Inter" w:hAnsi="Inter"/>
                <w:sz w:val="20"/>
                <w:szCs w:val="20"/>
              </w:rPr>
              <w:t xml:space="preserve"/>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RLS bypass enabling cross-tenant data access, authentication bypass, treasury key exposure, anchor status forgery, x402 payment replay with real financial impact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High</w:t>
            </w:r>
            <w:r>
              <w:rPr>
                <w:rFonts w:ascii="Inter" w:cs="Inter" w:eastAsia="Inter" w:hAnsi="Inter"/>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7.0 - 8.9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$500</w:t>
            </w:r>
            <w:r>
              <w:rPr>
                <w:rFonts w:ascii="Inter" w:cs="Inter" w:eastAsia="Inter" w:hAnsi="Inter"/>
                <w:sz w:val="20"/>
                <w:szCs w:val="20"/>
              </w:rPr>
              <w:t xml:space="preserve"/>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Privilege escalation, SQL injection, IDOR exposing internal records, Stripe webhook signature bypass, API key scope escalation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Medium</w:t>
            </w:r>
            <w:r>
              <w:rPr>
                <w:rFonts w:ascii="Inter" w:cs="Inter" w:eastAsia="Inter" w:hAnsi="Inter"/>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4.0 - 6.9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$150</w:t>
            </w:r>
            <w:r>
              <w:rPr>
                <w:rFonts w:ascii="Inter" w:cs="Inter" w:eastAsia="Inter" w:hAnsi="Inter"/>
                <w:sz w:val="20"/>
                <w:szCs w:val="20"/>
              </w:rPr>
              <w:t xml:space="preserve"/>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Stored XSS with meaningful impact, CSRF on state-changing actions, rate limit bypass, AI credit enforcement bypass, information disclosure in error messages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Low / Info</w:t>
            </w:r>
            <w:r>
              <w:rPr>
                <w:rFonts w:ascii="Inter" w:cs="Inter" w:eastAsia="Inter" w:hAnsi="Inter"/>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0.1 - 3.9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Hall of Fame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Missing security headers (no exploit), verbose error messages, minor misconfigurations</w:t>
            </w:r>
          </w:p>
        </w:tc>
      </w:tr>
    </w:tbl>
    <w:p>
      <w:pPr>
        <w:spacing w:after="160" w:before="280"/>
      </w:pPr>
      <w:r>
        <w:rPr>
          <w:rFonts w:ascii="Inter" w:cs="Inter" w:eastAsia="Inter" w:hAnsi="Inter"/>
          <w:b/>
          <w:bCs/>
          <w:sz w:val="26"/>
          <w:szCs w:val="26"/>
        </w:rPr>
        <w:t xml:space="preserve">7.2 Reward Conditions</w:t>
      </w:r>
    </w:p>
    <w:p>
      <w:pPr>
        <w:pStyle w:val="ListParagraph"/>
        <w:numPr>
          <w:ilvl w:val="0"/>
          <w:numId w:val="2"/>
        </w:numPr>
        <w:spacing w:after="60"/>
      </w:pPr>
      <w:r>
        <w:rPr>
          <w:rFonts w:ascii="Inter" w:cs="Inter" w:eastAsia="Inter" w:hAnsi="Inter"/>
          <w:sz w:val="22"/>
          <w:szCs w:val="22"/>
        </w:rPr>
        <w:t xml:space="preserve">Rewards are paid for the first report of a previously unknown vulnerability.</w:t>
      </w:r>
    </w:p>
    <w:p>
      <w:pPr>
        <w:pStyle w:val="ListParagraph"/>
        <w:numPr>
          <w:ilvl w:val="0"/>
          <w:numId w:val="2"/>
        </w:numPr>
        <w:spacing w:after="60"/>
      </w:pPr>
      <w:r>
        <w:rPr>
          <w:rFonts w:ascii="Inter" w:cs="Inter" w:eastAsia="Inter" w:hAnsi="Inter"/>
          <w:sz w:val="22"/>
          <w:szCs w:val="22"/>
        </w:rPr>
        <w:t xml:space="preserve">Duplicate reports receive Hall of Fame credit only.</w:t>
      </w:r>
    </w:p>
    <w:p>
      <w:pPr>
        <w:pStyle w:val="ListParagraph"/>
        <w:numPr>
          <w:ilvl w:val="0"/>
          <w:numId w:val="2"/>
        </w:numPr>
        <w:spacing w:after="60"/>
      </w:pPr>
      <w:r>
        <w:rPr>
          <w:rFonts w:ascii="Inter" w:cs="Inter" w:eastAsia="Inter" w:hAnsi="Inter"/>
          <w:sz w:val="22"/>
          <w:szCs w:val="22"/>
        </w:rPr>
        <w:t xml:space="preserve">Rewards are paid via PayPal or direct bank transfer (USD), at the researcher’s preference, </w:t>
      </w:r>
      <w:r>
        <w:rPr>
          <w:rFonts w:ascii="Inter" w:cs="Inter" w:eastAsia="Inter" w:hAnsi="Inter"/>
          <w:b/>
          <w:bCs/>
          <w:sz w:val="22"/>
          <w:szCs w:val="22"/>
        </w:rPr>
        <w:t xml:space="preserve">within 30 business days</w:t>
      </w:r>
      <w:r>
        <w:rPr>
          <w:rFonts w:ascii="Inter" w:cs="Inter" w:eastAsia="Inter" w:hAnsi="Inter"/>
          <w:sz w:val="22"/>
          <w:szCs w:val="22"/>
        </w:rPr>
        <w:t xml:space="preserve"> of vulnerability validation.</w:t>
      </w:r>
    </w:p>
    <w:p>
      <w:pPr>
        <w:pStyle w:val="ListParagraph"/>
        <w:numPr>
          <w:ilvl w:val="0"/>
          <w:numId w:val="2"/>
        </w:numPr>
        <w:spacing w:after="60"/>
      </w:pPr>
      <w:r>
        <w:rPr>
          <w:rFonts w:ascii="Inter" w:cs="Inter" w:eastAsia="Inter" w:hAnsi="Inter"/>
          <w:sz w:val="22"/>
          <w:szCs w:val="22"/>
        </w:rPr>
        <w:t xml:space="preserve">Researchers are responsible for any applicable taxes on bounty payments.</w:t>
      </w:r>
    </w:p>
    <w:p>
      <w:pPr>
        <w:pStyle w:val="ListParagraph"/>
        <w:numPr>
          <w:ilvl w:val="0"/>
          <w:numId w:val="2"/>
        </w:numPr>
        <w:spacing w:after="60"/>
      </w:pPr>
      <w:r>
        <w:rPr>
          <w:rFonts w:ascii="Inter" w:cs="Inter" w:eastAsia="Inter" w:hAnsi="Inter"/>
          <w:sz w:val="22"/>
          <w:szCs w:val="22"/>
        </w:rPr>
        <w:t xml:space="preserve">Reports from individuals in countries subject to U.S. trade sanctions are ineligible for monetary rewards (but may still be submitted for acknowledgment).</w:t>
      </w:r>
    </w:p>
    <w:p>
      <w:pPr>
        <w:pStyle w:val="ListParagraph"/>
        <w:numPr>
          <w:ilvl w:val="0"/>
          <w:numId w:val="2"/>
        </w:numPr>
        <w:spacing w:after="60"/>
      </w:pPr>
      <w:r>
        <w:rPr>
          <w:rFonts w:ascii="Inter" w:cs="Inter" w:eastAsia="Inter" w:hAnsi="Inter"/>
          <w:sz w:val="22"/>
          <w:szCs w:val="22"/>
        </w:rPr>
        <w:t xml:space="preserve">Arkova reserves the right to pause monetary rewards when the program budget is exhausted. Reports will still be accepted and acknowledged.</w:t>
      </w:r>
    </w:p>
    <w:p>
      <w:pPr>
        <w:pStyle w:val="ListParagraph"/>
        <w:numPr>
          <w:ilvl w:val="0"/>
          <w:numId w:val="2"/>
        </w:numPr>
        <w:spacing w:after="60"/>
      </w:pPr>
      <w:r>
        <w:rPr>
          <w:rFonts w:ascii="Inter" w:cs="Inter" w:eastAsia="Inter" w:hAnsi="Inter"/>
          <w:sz w:val="22"/>
          <w:szCs w:val="22"/>
        </w:rPr>
        <w:t xml:space="preserve">Arkova employees, contractors, and advisors are not eligible for bounty rewards.</w:t>
      </w:r>
    </w:p>
    <w:p>
      <w:pPr>
        <w:spacing w:after="200" w:before="360"/>
      </w:pPr>
      <w:r>
        <w:rPr>
          <w:rFonts w:ascii="Inter" w:cs="Inter" w:eastAsia="Inter" w:hAnsi="Inter"/>
          <w:b/>
          <w:bCs/>
          <w:color w:val="2E6B82"/>
          <w:sz w:val="32"/>
          <w:szCs w:val="32"/>
        </w:rPr>
        <w:t xml:space="preserve">8. Findings Not Eligible for Rewards</w:t>
      </w:r>
    </w:p>
    <w:p>
      <w:pPr>
        <w:pStyle w:val="ListParagraph"/>
        <w:numPr>
          <w:ilvl w:val="0"/>
          <w:numId w:val="2"/>
        </w:numPr>
        <w:spacing w:after="60"/>
      </w:pPr>
      <w:r>
        <w:rPr>
          <w:rFonts w:ascii="Inter" w:cs="Inter" w:eastAsia="Inter" w:hAnsi="Inter"/>
          <w:sz w:val="22"/>
          <w:szCs w:val="22"/>
        </w:rPr>
        <w:t xml:space="preserve">Vulnerabilities requiring physical access to a user’s device</w:t>
      </w:r>
    </w:p>
    <w:p>
      <w:pPr>
        <w:pStyle w:val="ListParagraph"/>
        <w:numPr>
          <w:ilvl w:val="0"/>
          <w:numId w:val="2"/>
        </w:numPr>
        <w:spacing w:after="60"/>
      </w:pPr>
      <w:r>
        <w:rPr>
          <w:rFonts w:ascii="Inter" w:cs="Inter" w:eastAsia="Inter" w:hAnsi="Inter"/>
          <w:sz w:val="22"/>
          <w:szCs w:val="22"/>
        </w:rPr>
        <w:t xml:space="preserve">Social engineering attacks against Arkova staff</w:t>
      </w:r>
    </w:p>
    <w:p>
      <w:pPr>
        <w:pStyle w:val="ListParagraph"/>
        <w:numPr>
          <w:ilvl w:val="0"/>
          <w:numId w:val="2"/>
        </w:numPr>
        <w:spacing w:after="60"/>
      </w:pPr>
      <w:r>
        <w:rPr>
          <w:rFonts w:ascii="Inter" w:cs="Inter" w:eastAsia="Inter" w:hAnsi="Inter"/>
          <w:sz w:val="22"/>
          <w:szCs w:val="22"/>
        </w:rPr>
        <w:t xml:space="preserve">Denial-of-service (DoS/DDoS) attacks</w:t>
      </w:r>
    </w:p>
    <w:p>
      <w:pPr>
        <w:pStyle w:val="ListParagraph"/>
        <w:numPr>
          <w:ilvl w:val="0"/>
          <w:numId w:val="2"/>
        </w:numPr>
        <w:spacing w:after="60"/>
      </w:pPr>
      <w:r>
        <w:rPr>
          <w:rFonts w:ascii="Inter" w:cs="Inter" w:eastAsia="Inter" w:hAnsi="Inter"/>
          <w:sz w:val="22"/>
          <w:szCs w:val="22"/>
        </w:rPr>
        <w:t xml:space="preserve">Spam or social engineering techniques (e.g., SPF/DKIM/DMARC issues)</w:t>
      </w:r>
    </w:p>
    <w:p>
      <w:pPr>
        <w:pStyle w:val="ListParagraph"/>
        <w:numPr>
          <w:ilvl w:val="0"/>
          <w:numId w:val="2"/>
        </w:numPr>
        <w:spacing w:after="60"/>
      </w:pPr>
      <w:r>
        <w:rPr>
          <w:rFonts w:ascii="Inter" w:cs="Inter" w:eastAsia="Inter" w:hAnsi="Inter"/>
          <w:sz w:val="22"/>
          <w:szCs w:val="22"/>
        </w:rPr>
        <w:t xml:space="preserve">SSL/TLS configuration issues on third-party hosted services</w:t>
      </w:r>
    </w:p>
    <w:p>
      <w:pPr>
        <w:pStyle w:val="ListParagraph"/>
        <w:numPr>
          <w:ilvl w:val="0"/>
          <w:numId w:val="2"/>
        </w:numPr>
        <w:spacing w:after="60"/>
      </w:pPr>
      <w:r>
        <w:rPr>
          <w:rFonts w:ascii="Inter" w:cs="Inter" w:eastAsia="Inter" w:hAnsi="Inter"/>
          <w:sz w:val="22"/>
          <w:szCs w:val="22"/>
        </w:rPr>
        <w:t xml:space="preserve">Known vulnerabilities in third-party dependencies without a working exploit against Arkova</w:t>
      </w:r>
    </w:p>
    <w:p>
      <w:pPr>
        <w:pStyle w:val="ListParagraph"/>
        <w:numPr>
          <w:ilvl w:val="0"/>
          <w:numId w:val="2"/>
        </w:numPr>
        <w:spacing w:after="60"/>
      </w:pPr>
      <w:r>
        <w:rPr>
          <w:rFonts w:ascii="Inter" w:cs="Inter" w:eastAsia="Inter" w:hAnsi="Inter"/>
          <w:sz w:val="22"/>
          <w:szCs w:val="22"/>
        </w:rPr>
        <w:t xml:space="preserve">Reports generated solely by automated scanning tools without manual verification</w:t>
      </w:r>
    </w:p>
    <w:p>
      <w:pPr>
        <w:pStyle w:val="ListParagraph"/>
        <w:numPr>
          <w:ilvl w:val="0"/>
          <w:numId w:val="2"/>
        </w:numPr>
        <w:spacing w:after="60"/>
      </w:pPr>
      <w:r>
        <w:rPr>
          <w:rFonts w:ascii="Inter" w:cs="Inter" w:eastAsia="Inter" w:hAnsi="Inter"/>
          <w:sz w:val="22"/>
          <w:szCs w:val="22"/>
        </w:rPr>
        <w:t xml:space="preserve">Clickjacking on pages with no state-changing actions</w:t>
      </w:r>
    </w:p>
    <w:p>
      <w:pPr>
        <w:pStyle w:val="ListParagraph"/>
        <w:numPr>
          <w:ilvl w:val="0"/>
          <w:numId w:val="2"/>
        </w:numPr>
        <w:spacing w:after="60"/>
      </w:pPr>
      <w:r>
        <w:rPr>
          <w:rFonts w:ascii="Inter" w:cs="Inter" w:eastAsia="Inter" w:hAnsi="Inter"/>
          <w:sz w:val="22"/>
          <w:szCs w:val="22"/>
        </w:rPr>
        <w:t xml:space="preserve">Outdated software versions without a demonstrated exploit</w:t>
      </w:r>
    </w:p>
    <w:p>
      <w:pPr>
        <w:pStyle w:val="ListParagraph"/>
        <w:numPr>
          <w:ilvl w:val="0"/>
          <w:numId w:val="2"/>
        </w:numPr>
        <w:spacing w:after="60"/>
      </w:pPr>
      <w:r>
        <w:rPr>
          <w:rFonts w:ascii="Inter" w:cs="Inter" w:eastAsia="Inter" w:hAnsi="Inter"/>
          <w:sz w:val="22"/>
          <w:szCs w:val="22"/>
        </w:rPr>
        <w:t xml:space="preserve">Missing HTTP security headers without a demonstrated exploit chain</w:t>
      </w:r>
    </w:p>
    <w:p>
      <w:pPr>
        <w:pStyle w:val="ListParagraph"/>
        <w:numPr>
          <w:ilvl w:val="0"/>
          <w:numId w:val="2"/>
        </w:numPr>
        <w:spacing w:after="60"/>
      </w:pPr>
      <w:r>
        <w:rPr>
          <w:rFonts w:ascii="Inter" w:cs="Inter" w:eastAsia="Inter" w:hAnsi="Inter"/>
          <w:sz w:val="22"/>
          <w:szCs w:val="22"/>
        </w:rPr>
        <w:t xml:space="preserve">Open redirects without a demonstrated security impact</w:t>
      </w:r>
    </w:p>
    <w:p>
      <w:pPr>
        <w:pStyle w:val="ListParagraph"/>
        <w:numPr>
          <w:ilvl w:val="0"/>
          <w:numId w:val="2"/>
        </w:numPr>
        <w:spacing w:after="60"/>
      </w:pPr>
      <w:r>
        <w:rPr>
          <w:rFonts w:ascii="Inter" w:cs="Inter" w:eastAsia="Inter" w:hAnsi="Inter"/>
          <w:sz w:val="22"/>
          <w:szCs w:val="22"/>
        </w:rPr>
        <w:t xml:space="preserve">Self-XSS or issues requiring unlikely user interaction chains</w:t>
      </w:r>
    </w:p>
    <w:p>
      <w:pPr>
        <w:spacing w:after="200" w:before="360"/>
      </w:pPr>
      <w:r>
        <w:rPr>
          <w:rFonts w:ascii="Inter" w:cs="Inter" w:eastAsia="Inter" w:hAnsi="Inter"/>
          <w:b/>
          <w:bCs/>
          <w:color w:val="2E6B82"/>
          <w:sz w:val="32"/>
          <w:szCs w:val="32"/>
        </w:rPr>
        <w:t xml:space="preserve">9. Remediation Timelines</w:t>
      </w:r>
    </w:p>
    <w:p>
      <w:pPr>
        <w:spacing w:after="120"/>
      </w:pPr>
      <w:r>
        <w:rPr>
          <w:rFonts w:ascii="Inter" w:cs="Inter" w:eastAsia="Inter" w:hAnsi="Inter"/>
          <w:sz w:val="22"/>
          <w:szCs w:val="22"/>
        </w:rPr>
        <w:t xml:space="preserve">Upon confirming a vulnerability, Arkova targets the following remediation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Acknowledgment</w:t>
            </w:r>
          </w:p>
        </w:tc>
        <w:tc>
          <w:tcPr>
            <w:tcW w:type="dxa" w:w="280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Remediation Target</w:t>
            </w:r>
          </w:p>
        </w:tc>
        <w:tc>
          <w:tcPr>
            <w:tcW w:type="dxa" w:w="256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Re-Test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Critical</w:t>
            </w:r>
            <w:r>
              <w:rPr>
                <w:rFonts w:ascii="Inter" w:cs="Inter" w:eastAsia="Inter" w:hAnsi="Inter"/>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72 hours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48 hours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Within 24 hours of fix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High</w:t>
            </w:r>
            <w:r>
              <w:rPr>
                <w:rFonts w:ascii="Inter" w:cs="Inter" w:eastAsia="Inter" w:hAnsi="Inter"/>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72 hours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7 calendar days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Within 48 hours of fix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Medium</w:t>
            </w:r>
            <w:r>
              <w:rPr>
                <w:rFonts w:ascii="Inter" w:cs="Inter" w:eastAsia="Inter" w:hAnsi="Inter"/>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72 hours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30 calendar days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Within 1 week of fix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Low / Info</w:t>
            </w:r>
            <w:r>
              <w:rPr>
                <w:rFonts w:ascii="Inter" w:cs="Inter" w:eastAsia="Inter" w:hAnsi="Inter"/>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72 hours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90 calendar days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Optional</w:t>
            </w:r>
          </w:p>
        </w:tc>
      </w:tr>
    </w:tbl>
    <w:p>
      <w:pPr>
        <w:spacing w:after="200" w:before="360"/>
      </w:pPr>
      <w:r>
        <w:rPr>
          <w:rFonts w:ascii="Inter" w:cs="Inter" w:eastAsia="Inter" w:hAnsi="Inter"/>
          <w:b/>
          <w:bCs/>
          <w:color w:val="2E6B82"/>
          <w:sz w:val="32"/>
          <w:szCs w:val="32"/>
        </w:rPr>
        <w:t xml:space="preserve">10. security.txt (RFC 9116)</w:t>
      </w:r>
    </w:p>
    <w:p>
      <w:pPr>
        <w:spacing w:after="120"/>
      </w:pPr>
      <w:r>
        <w:rPr>
          <w:rFonts w:ascii="Inter" w:cs="Inter" w:eastAsia="Inter" w:hAnsi="Inter"/>
          <w:sz w:val="22"/>
          <w:szCs w:val="22"/>
        </w:rPr>
        <w:t xml:space="preserve">Arkova publishes a </w:t>
      </w:r>
      <w:r>
        <w:rPr>
          <w:rFonts w:ascii="Inter" w:cs="Inter" w:eastAsia="Inter" w:hAnsi="Inter"/>
          <w:b/>
          <w:bCs/>
          <w:sz w:val="22"/>
          <w:szCs w:val="22"/>
        </w:rPr>
        <w:t xml:space="preserve">security.txt</w:t>
      </w:r>
      <w:r>
        <w:rPr>
          <w:rFonts w:ascii="Inter" w:cs="Inter" w:eastAsia="Inter" w:hAnsi="Inter"/>
          <w:sz w:val="22"/>
          <w:szCs w:val="22"/>
        </w:rPr>
        <w:t xml:space="preserve"> file at arkova.ai/.well-known/security.txt in compliance with RFC 9116.</w:t>
      </w:r>
    </w:p>
    <w:p>
      <w:pPr>
        <w:spacing w:after="80" w:before="80"/>
        <w:ind w:left="360"/>
      </w:pPr>
      <w:r>
        <w:rPr>
          <w:rFonts w:ascii="Courier New" w:cs="Courier New" w:eastAsia="Courier New" w:hAnsi="Courier New"/>
          <w:sz w:val="18"/>
          <w:szCs w:val="18"/>
        </w:rPr>
        <w:t xml:space="preserve">Contact: mailto:security@arkova.ai</w:t>
      </w:r>
    </w:p>
    <w:p>
      <w:pPr>
        <w:spacing w:after="80" w:before="80"/>
        <w:ind w:left="360"/>
      </w:pPr>
      <w:r>
        <w:rPr>
          <w:rFonts w:ascii="Courier New" w:cs="Courier New" w:eastAsia="Courier New" w:hAnsi="Courier New"/>
          <w:sz w:val="18"/>
          <w:szCs w:val="18"/>
        </w:rPr>
        <w:t xml:space="preserve">Expires: 2027-04-03T00:00:00.000Z</w:t>
      </w:r>
    </w:p>
    <w:p>
      <w:pPr>
        <w:spacing w:after="80" w:before="80"/>
        <w:ind w:left="360"/>
      </w:pPr>
      <w:r>
        <w:rPr>
          <w:rFonts w:ascii="Courier New" w:cs="Courier New" w:eastAsia="Courier New" w:hAnsi="Courier New"/>
          <w:sz w:val="18"/>
          <w:szCs w:val="18"/>
        </w:rPr>
        <w:t xml:space="preserve">Preferred-Languages: en</w:t>
      </w:r>
    </w:p>
    <w:p>
      <w:pPr>
        <w:spacing w:after="80" w:before="80"/>
        <w:ind w:left="360"/>
      </w:pPr>
      <w:r>
        <w:rPr>
          <w:rFonts w:ascii="Courier New" w:cs="Courier New" w:eastAsia="Courier New" w:hAnsi="Courier New"/>
          <w:sz w:val="18"/>
          <w:szCs w:val="18"/>
        </w:rPr>
        <w:t xml:space="preserve">Canonical: https://arkova.ai/.well-known/security.txt</w:t>
      </w:r>
    </w:p>
    <w:p>
      <w:pPr>
        <w:spacing w:after="80" w:before="80"/>
        <w:ind w:left="360"/>
      </w:pPr>
      <w:r>
        <w:rPr>
          <w:rFonts w:ascii="Courier New" w:cs="Courier New" w:eastAsia="Courier New" w:hAnsi="Courier New"/>
          <w:sz w:val="18"/>
          <w:szCs w:val="18"/>
        </w:rPr>
        <w:t xml:space="preserve">Policy: https://arkova.ai/vulnerability-disclosure-policy</w:t>
      </w:r>
    </w:p>
    <w:p>
      <w:pPr>
        <w:spacing w:after="200" w:before="360"/>
      </w:pPr>
      <w:r>
        <w:rPr>
          <w:rFonts w:ascii="Inter" w:cs="Inter" w:eastAsia="Inter" w:hAnsi="Inter"/>
          <w:b/>
          <w:bCs/>
          <w:color w:val="2E6B82"/>
          <w:sz w:val="32"/>
          <w:szCs w:val="32"/>
        </w:rPr>
        <w:t xml:space="preserve">11. Hall of Fame</w:t>
      </w:r>
    </w:p>
    <w:p>
      <w:pPr>
        <w:spacing w:after="120"/>
      </w:pPr>
      <w:r>
        <w:rPr>
          <w:rFonts w:ascii="Inter" w:cs="Inter" w:eastAsia="Inter" w:hAnsi="Inter"/>
          <w:sz w:val="22"/>
          <w:szCs w:val="22"/>
        </w:rPr>
        <w:t xml:space="preserve">Arkova maintains a public Hall of Fame acknowledging researchers who have responsibly disclosed valid vulnerabilities. Researchers may opt out of public recognition. Published at arkova.ai/security/hall-of-fame.</w:t>
      </w:r>
    </w:p>
    <w:p>
      <w:pPr>
        <w:spacing w:after="200" w:before="360"/>
      </w:pPr>
      <w:r>
        <w:rPr>
          <w:rFonts w:ascii="Inter" w:cs="Inter" w:eastAsia="Inter" w:hAnsi="Inter"/>
          <w:b/>
          <w:bCs/>
          <w:color w:val="2E6B82"/>
          <w:sz w:val="32"/>
          <w:szCs w:val="32"/>
        </w:rPr>
        <w:t xml:space="preserve">12. Policy Changes</w:t>
      </w:r>
    </w:p>
    <w:p>
      <w:pPr>
        <w:spacing w:after="120"/>
      </w:pPr>
      <w:r>
        <w:rPr>
          <w:rFonts w:ascii="Inter" w:cs="Inter" w:eastAsia="Inter" w:hAnsi="Inter"/>
          <w:sz w:val="22"/>
          <w:szCs w:val="22"/>
        </w:rPr>
        <w:t xml:space="preserve">Arkova reserves the right to modify this policy at any time. Changes will not be applied retroactively to reports already submitted. The current version is always available at </w:t>
      </w:r>
      <w:hyperlink w:history="1" r:id="rIdamblxw84fx2go0d7mcuxg">
        <w:r>
          <w:rPr>
            <w:rFonts w:ascii="Inter" w:cs="Inter" w:eastAsia="Inter" w:hAnsi="Inter"/>
            <w:color w:val="2E6B82"/>
            <w:sz w:val="22"/>
            <w:szCs w:val="22"/>
            <w:u w:val="single"/>
          </w:rPr>
          <w:t xml:space="preserve">arkova.ai/vulnerability-disclosure-policy</w:t>
        </w:r>
      </w:hyperlink>
      <w:r>
        <w:rPr>
          <w:rFonts w:ascii="Inter" w:cs="Inter" w:eastAsia="Inter" w:hAnsi="Inter"/>
          <w:sz w:val="22"/>
          <w:szCs w:val="22"/>
        </w:rPr>
        <w:t xml:space="preserve">.</w:t>
      </w:r>
    </w:p>
    <w:p>
      <w:pPr>
        <w:spacing w:after="200" w:before="360"/>
      </w:pPr>
      <w:r>
        <w:rPr>
          <w:rFonts w:ascii="Inter" w:cs="Inter" w:eastAsia="Inter" w:hAnsi="Inter"/>
          <w:b/>
          <w:bCs/>
          <w:color w:val="2E6B82"/>
          <w:sz w:val="32"/>
          <w:szCs w:val="32"/>
        </w:rPr>
        <w:t xml:space="preserve">13.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Channel</w:t>
            </w:r>
          </w:p>
        </w:tc>
        <w:tc>
          <w:tcPr>
            <w:tcW w:type="dxa" w:w="5860"/>
            <w:tcBorders>
              <w:top w:val="single" w:color="CCCCCC" w:sz="1"/>
              <w:left w:val="single" w:color="CCCCCC" w:sz="1"/>
              <w:bottom w:val="single" w:color="CCCCCC" w:sz="1"/>
              <w:right w:val="single" w:color="CCCCCC" w:sz="1"/>
            </w:tcBorders>
            <w:shd w:fill="2E6B82" w:val="clear"/>
            <w:tcMar>
              <w:top w:type="dxa" w:w="60"/>
              <w:left w:type="dxa" w:w="100"/>
              <w:bottom w:type="dxa" w:w="60"/>
              <w:right w:type="dxa" w:w="100"/>
            </w:tcMar>
          </w:tcPr>
          <w:p>
            <w:r>
              <w:rPr>
                <w:rFonts w:ascii="Inter" w:cs="Inter" w:eastAsia="Inter" w:hAnsi="Inter"/>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Security Email</w:t>
            </w:r>
            <w:r>
              <w:rPr>
                <w:rFonts w:ascii="Inter" w:cs="Inter" w:eastAsia="Inter" w:hAnsi="Inter"/>
                <w:sz w:val="20"/>
                <w:szCs w:val="20"/>
              </w:rPr>
              <w:t xml:space="preserve"/>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security@arkova.ai</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PGP Key</w:t>
            </w:r>
            <w:r>
              <w:rPr>
                <w:rFonts w:ascii="Inter" w:cs="Inter" w:eastAsia="Inter" w:hAnsi="Inter"/>
                <w:sz w:val="20"/>
                <w:szCs w:val="20"/>
              </w:rPr>
              <w:t xml:space="preserve"/>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arkova.ai/.well-known/pgp-key.txt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
            </w:r>
            <w:r>
              <w:rPr>
                <w:rFonts w:ascii="Inter" w:cs="Inter" w:eastAsia="Inter" w:hAnsi="Inter"/>
                <w:b/>
                <w:bCs/>
                <w:sz w:val="20"/>
                <w:szCs w:val="20"/>
              </w:rPr>
              <w:t xml:space="preserve">Website</w:t>
            </w:r>
            <w:r>
              <w:rPr>
                <w:rFonts w:ascii="Inter" w:cs="Inter" w:eastAsia="Inter" w:hAnsi="Inter"/>
                <w:sz w:val="20"/>
                <w:szCs w:val="20"/>
              </w:rPr>
              <w:t xml:space="preserve"/>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sz w:val="20"/>
                <w:szCs w:val="20"/>
              </w:rPr>
              <w:t xml:space="preserve">arkova.ai</w:t>
            </w:r>
          </w:p>
        </w:tc>
      </w:tr>
    </w:tbl>
    <w:p>
      <w:pPr>
        <w:pBdr>
          <w:bottom w:val="single" w:color="DDDDDD" w:sz="4" w:space="1"/>
        </w:pBdr>
        <w:spacing w:after="200" w:before="200"/>
      </w:pPr>
    </w:p>
    <w:p>
      <w:pPr>
        <w:spacing w:before="200"/>
        <w:jc w:val="center"/>
      </w:pPr>
      <w:r>
        <w:rPr>
          <w:rFonts w:ascii="Inter" w:cs="Inter" w:eastAsia="Inter" w:hAnsi="Inter"/>
          <w:i/>
          <w:iCs/>
          <w:color w:val="666666"/>
          <w:sz w:val="22"/>
          <w:szCs w:val="22"/>
        </w:rPr>
        <w:t xml:space="preserve">Thank you for helping keep Arkova and our users safe.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99999"/>
        <w:sz w:val="16"/>
        <w:szCs w:val="16"/>
      </w:rPr>
      <w:t xml:space="preserve">Bloc Doc Inc.  |  security@arkova.ai  |  Page </w:t>
    </w:r>
    <w:r>
      <w:rPr>
        <w:rFonts w:ascii="Inter" w:cs="Inter" w:eastAsia="Inter" w:hAnsi="Inte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999999"/>
        <w:sz w:val="16"/>
        <w:szCs w:val="16"/>
      </w:rPr>
      <w:t xml:space="preserve">Arkova VDP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pxgosekgsdeojuimvehe" Type="http://schemas.openxmlformats.org/officeDocument/2006/relationships/hyperlink" Target="https://arkova.ai" TargetMode="External"/><Relationship Id="rIdnn1ckfv0ndiiwvkorhdhk" Type="http://schemas.openxmlformats.org/officeDocument/2006/relationships/hyperlink" Target="mailto:security@arkova.ai" TargetMode="External"/><Relationship Id="rIdamblxw84fx2go0d7mcuxg" Type="http://schemas.openxmlformats.org/officeDocument/2006/relationships/hyperlink" Target="https://arkova.ai/vulnerability-disclosure-policy"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2026-04-03T17:56:59.539Z</dcterms:created>
  <dcterms:modified xsi:type="dcterms:W3CDTF">2026-04-03T17:56:59.539Z</dcterms:modified>
</cp:coreProperties>
</file>

<file path=docProps/custom.xml><?xml version="1.0" encoding="utf-8"?>
<Properties xmlns="http://schemas.openxmlformats.org/officeDocument/2006/custom-properties" xmlns:vt="http://schemas.openxmlformats.org/officeDocument/2006/docPropsVTypes"/>
</file>