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2A4A"/>
          <w:spacing w:val="300"/>
          <w:sz w:val="56"/>
          <w:szCs w:val="56"/>
        </w:rPr>
        <w:t xml:space="preserve">ARKOVA</w:t>
      </w:r>
    </w:p>
    <w:p>
      <w:pPr>
        <w:pBdr>
          <w:bottom w:val="single" w:color="2E75B6" w:sz="6" w:space="1"/>
        </w:pBdr>
        <w:spacing w:after="400"/>
        <w:jc w:val="center"/>
      </w:pPr>
    </w:p>
    <w:p>
      <w:pPr>
        <w:spacing w:after="120"/>
        <w:jc w:val="center"/>
      </w:pPr>
      <w:r>
        <w:rPr>
          <w:rFonts w:ascii="Arial" w:cs="Arial" w:eastAsia="Arial" w:hAnsi="Arial"/>
          <w:color w:val="1B2A4A"/>
          <w:sz w:val="44"/>
          <w:szCs w:val="44"/>
        </w:rPr>
        <w:t xml:space="preserve">Verification Bootstrap Strategy</w:t>
      </w:r>
    </w:p>
    <w:p>
      <w:pPr>
        <w:spacing w:after="600"/>
        <w:jc w:val="center"/>
      </w:pPr>
      <w:r>
        <w:rPr>
          <w:rFonts w:ascii="Arial" w:cs="Arial" w:eastAsia="Arial" w:hAnsi="Arial"/>
          <w:i/>
          <w:iCs/>
          <w:color w:val="2E75B6"/>
          <w:sz w:val="28"/>
          <w:szCs w:val="28"/>
        </w:rPr>
        <w:t xml:space="preserve">Solving the Cold-Start Problem</w:t>
      </w:r>
    </w:p>
    <w:p>
      <w:pPr>
        <w:spacing w:after="100"/>
        <w:jc w:val="center"/>
      </w:pPr>
      <w:r>
        <w:rPr>
          <w:rFonts w:ascii="Arial" w:cs="Arial" w:eastAsia="Arial" w:hAnsi="Arial"/>
          <w:color w:val="4A4A4A"/>
          <w:sz w:val="24"/>
          <w:szCs w:val="24"/>
        </w:rPr>
        <w:t xml:space="preserve">March 2026</w:t>
      </w:r>
    </w:p>
    <w:p>
      <w:pPr>
        <w:jc w:val="center"/>
      </w:pPr>
      <w:r>
        <w:rPr>
          <w:rFonts w:ascii="Arial" w:cs="Arial" w:eastAsia="Arial" w:hAnsi="Arial"/>
          <w:color w:val="4A4A4A"/>
          <w:sz w:val="22"/>
          <w:szCs w:val="22"/>
        </w:rPr>
        <w:t xml:space="preserve">Strategic Analysis</w:t>
      </w:r>
    </w:p>
    <w:p>
      <w:r>
        <w:br w:type="page"/>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The Core Problem</w:t>
      </w:r>
    </w:p>
    <w:p>
      <w:pPr>
        <w:spacing w:after="160"/>
      </w:pPr>
      <w:r>
        <w:rPr>
          <w:rFonts w:ascii="Arial" w:cs="Arial" w:eastAsia="Arial" w:hAnsi="Arial"/>
          <w:color w:val="4A4A4A"/>
          <w:sz w:val="22"/>
          <w:szCs w:val="22"/>
        </w:rPr>
        <w:t xml:space="preserve">Arkova’s verification API is only valuable if there’s a meaningful corpus of anchored documents to verify against. Right now, that corpus grows only when customers anchor documents — classic chicken-and-egg. The question: </w:t>
      </w:r>
      <w:r>
        <w:rPr>
          <w:rFonts w:ascii="Arial" w:cs="Arial" w:eastAsia="Arial" w:hAnsi="Arial"/>
          <w:i/>
          <w:iCs/>
          <w:color w:val="4A4A4A"/>
          <w:sz w:val="22"/>
          <w:szCs w:val="22"/>
        </w:rPr>
        <w:t xml:space="preserve">how do you build a verification layer worth querying before you have the customer volume to populate it organically?</w:t>
      </w:r>
    </w:p>
    <w:p>
      <w:pPr>
        <w:spacing w:after="160"/>
      </w:pPr>
      <w:r>
        <w:rPr>
          <w:rFonts w:ascii="Arial" w:cs="Arial" w:eastAsia="Arial" w:hAnsi="Arial"/>
          <w:color w:val="4A4A4A"/>
          <w:sz w:val="22"/>
          <w:szCs w:val="22"/>
        </w:rPr>
        <w:t xml:space="preserve">The good news: Arkova’s architecture (fingerprint-only, non-custodial) means you don’t need to store or host any documents. You just need hashes. That dramatically lowers the cost and legal exposure of bulk-anchoring public data.</w:t>
      </w:r>
    </w:p>
    <w:p>
      <w:r>
        <w:br w:type="page"/>
      </w:r>
    </w:p>
    <w:p>
      <w:pPr>
        <w:pStyle w:val="Heading1"/>
      </w:pPr>
      <w:r>
        <w:t xml:space="preserve">Approach 1: Public Records Anchoring</w:t>
      </w:r>
    </w:p>
    <w:p>
      <w:pPr>
        <w:spacing w:after="160"/>
      </w:pPr>
      <w:r>
        <w:rPr>
          <w:rFonts w:ascii="Arial" w:cs="Arial" w:eastAsia="Arial" w:hAnsi="Arial"/>
          <w:b/>
          <w:bCs/>
          <w:color w:val="4A4A4A"/>
          <w:sz w:val="22"/>
          <w:szCs w:val="22"/>
        </w:rPr>
        <w:t xml:space="preserve">The idea: </w:t>
      </w:r>
      <w:r>
        <w:rPr>
          <w:rFonts w:ascii="Arial" w:cs="Arial" w:eastAsia="Arial" w:hAnsi="Arial"/>
          <w:color w:val="4A4A4A"/>
          <w:sz w:val="22"/>
          <w:szCs w:val="22"/>
        </w:rPr>
        <w:t xml:space="preserve">Proactively fingerprint and anchor publicly available government records — SEC filings, court records, patent filings, corporate registrations, legislative texts — creating a massive pre-existing verification corpus.</w:t>
      </w:r>
    </w:p>
    <w:p>
      <w:pPr>
        <w:pStyle w:val="Heading2"/>
      </w:pPr>
      <w:r>
        <w:t xml:space="preserve">Legal Feasibility: Strong</w:t>
      </w:r>
    </w:p>
    <w:p>
      <w:pPr>
        <w:spacing w:after="160"/>
      </w:pPr>
      <w:r>
        <w:rPr>
          <w:rFonts w:ascii="Arial" w:cs="Arial" w:eastAsia="Arial" w:hAnsi="Arial"/>
          <w:color w:val="4A4A4A"/>
          <w:sz w:val="22"/>
          <w:szCs w:val="22"/>
        </w:rPr>
        <w:t xml:space="preserve">U.S. government works are not copyrightable (17 U.S.C. § 105). SEC EDGAR data is explicitly public and provides a free API with documented rate limits (10 req/sec). USPTO, PACER, state SOS filings — all public record. Storing only fingerprints, not documents, makes this legally clean.</w:t>
      </w:r>
    </w:p>
    <w:p>
      <w:pPr>
        <w:spacing w:after="160"/>
      </w:pPr>
      <w:r>
        <w:rPr>
          <w:rFonts w:ascii="Arial" w:cs="Arial" w:eastAsia="Arial" w:hAnsi="Arial"/>
          <w:color w:val="4A4A4A"/>
          <w:sz w:val="22"/>
          <w:szCs w:val="22"/>
        </w:rPr>
        <w:t xml:space="preserve">The key nuance: some state-level records have quirky access rules or fees. Federal data is the low-hanging fruit. Start there.</w:t>
      </w:r>
    </w:p>
    <w:p>
      <w:pPr>
        <w:pStyle w:val="Heading2"/>
      </w:pPr>
      <w:r>
        <w:t xml:space="preserve">Technical Complexity: Low-Medium</w:t>
      </w:r>
    </w:p>
    <w:p>
      <w:pPr>
        <w:spacing w:after="160"/>
      </w:pPr>
      <w:r>
        <w:rPr>
          <w:rFonts w:ascii="Arial" w:cs="Arial" w:eastAsia="Arial" w:hAnsi="Arial"/>
          <w:color w:val="4A4A4A"/>
          <w:sz w:val="22"/>
          <w:szCs w:val="22"/>
        </w:rPr>
        <w:t xml:space="preserve">The pipeline is straightforward: scrapers/API clients for each data source, download → hash → anchor, with batch anchoring to manage Bitcoin transaction costs. The SEC alone has millions of filings going back decades. The challenge is scale engineering, not technical novelty.</w:t>
      </w:r>
    </w:p>
    <w:p>
      <w:pPr>
        <w:pStyle w:val="Heading2"/>
      </w:pPr>
      <w:r>
        <w:t xml:space="preserve">Value Creation</w:t>
      </w:r>
    </w:p>
    <w:p>
      <w:pPr>
        <w:spacing w:after="160"/>
      </w:pPr>
      <w:r>
        <w:rPr>
          <w:rFonts w:ascii="Arial" w:cs="Arial" w:eastAsia="Arial" w:hAnsi="Arial"/>
          <w:color w:val="4A4A4A"/>
          <w:sz w:val="22"/>
          <w:szCs w:val="22"/>
        </w:rPr>
        <w:t xml:space="preserve">This is the single highest-value corpus play. An AI agent reviewing a contract references an SEC filing, hits Arkova’s API, confirms the filing matches the anchored fingerprint, and proceeds with confidence. That’s a verification call worth paying for.</w:t>
      </w:r>
    </w:p>
    <w:p>
      <w:pPr>
        <w:spacing w:after="160"/>
      </w:pPr>
      <w:r>
        <w:rPr>
          <w:rFonts w:ascii="Arial" w:cs="Arial" w:eastAsia="Arial" w:hAnsi="Arial"/>
          <w:color w:val="4A4A4A"/>
          <w:sz w:val="22"/>
          <w:szCs w:val="22"/>
        </w:rPr>
        <w:t xml:space="preserve">High-value datasets:</w:t>
      </w:r>
    </w:p>
    <w:p>
      <w:pPr>
        <w:pStyle w:val="ListParagraph"/>
        <w:numPr>
          <w:ilvl w:val="0"/>
          <w:numId w:val="2"/>
        </w:numPr>
        <w:spacing w:after="80"/>
      </w:pPr>
      <w:r>
        <w:rPr>
          <w:rFonts w:ascii="Arial" w:cs="Arial" w:eastAsia="Arial" w:hAnsi="Arial"/>
          <w:b/>
          <w:bCs/>
          <w:color w:val="1B2A4A"/>
          <w:sz w:val="22"/>
          <w:szCs w:val="22"/>
        </w:rPr>
        <w:t xml:space="preserve">SEC EDGAR: </w:t>
      </w:r>
      <w:r>
        <w:rPr>
          <w:rFonts w:ascii="Arial" w:cs="Arial" w:eastAsia="Arial" w:hAnsi="Arial"/>
          <w:color w:val="4A4A4A"/>
          <w:sz w:val="22"/>
          <w:szCs w:val="22"/>
        </w:rPr>
        <w:t xml:space="preserve">10-Ks, 10-Qs, 8-Ks, proxy statements. ~21M+ filings. Every financial AI agent needs to verify these.</w:t>
      </w:r>
    </w:p>
    <w:p>
      <w:pPr>
        <w:pStyle w:val="ListParagraph"/>
        <w:numPr>
          <w:ilvl w:val="0"/>
          <w:numId w:val="2"/>
        </w:numPr>
        <w:spacing w:after="80"/>
      </w:pPr>
      <w:r>
        <w:rPr>
          <w:rFonts w:ascii="Arial" w:cs="Arial" w:eastAsia="Arial" w:hAnsi="Arial"/>
          <w:b/>
          <w:bCs/>
          <w:color w:val="1B2A4A"/>
          <w:sz w:val="22"/>
          <w:szCs w:val="22"/>
        </w:rPr>
        <w:t xml:space="preserve">USPTO: </w:t>
      </w:r>
      <w:r>
        <w:rPr>
          <w:rFonts w:ascii="Arial" w:cs="Arial" w:eastAsia="Arial" w:hAnsi="Arial"/>
          <w:color w:val="4A4A4A"/>
          <w:sz w:val="22"/>
          <w:szCs w:val="22"/>
        </w:rPr>
        <w:t xml:space="preserve">Patent filings, trademark registrations. IP verification is a real market.</w:t>
      </w:r>
    </w:p>
    <w:p>
      <w:pPr>
        <w:pStyle w:val="ListParagraph"/>
        <w:numPr>
          <w:ilvl w:val="0"/>
          <w:numId w:val="2"/>
        </w:numPr>
        <w:spacing w:after="80"/>
      </w:pPr>
      <w:r>
        <w:rPr>
          <w:rFonts w:ascii="Arial" w:cs="Arial" w:eastAsia="Arial" w:hAnsi="Arial"/>
          <w:b/>
          <w:bCs/>
          <w:color w:val="1B2A4A"/>
          <w:sz w:val="22"/>
          <w:szCs w:val="22"/>
        </w:rPr>
        <w:t xml:space="preserve">State corporate registrations: </w:t>
      </w:r>
      <w:r>
        <w:rPr>
          <w:rFonts w:ascii="Arial" w:cs="Arial" w:eastAsia="Arial" w:hAnsi="Arial"/>
          <w:color w:val="4A4A4A"/>
          <w:sz w:val="22"/>
          <w:szCs w:val="22"/>
        </w:rPr>
        <w:t xml:space="preserve">Articles of incorporation, annual reports. KYB (Know Your Business) is growing fast.</w:t>
      </w:r>
    </w:p>
    <w:p>
      <w:pPr>
        <w:pStyle w:val="ListParagraph"/>
        <w:numPr>
          <w:ilvl w:val="0"/>
          <w:numId w:val="2"/>
        </w:numPr>
        <w:spacing w:after="80"/>
      </w:pPr>
      <w:r>
        <w:rPr>
          <w:rFonts w:ascii="Arial" w:cs="Arial" w:eastAsia="Arial" w:hAnsi="Arial"/>
          <w:b/>
          <w:bCs/>
          <w:color w:val="1B2A4A"/>
          <w:sz w:val="22"/>
          <w:szCs w:val="22"/>
        </w:rPr>
        <w:t xml:space="preserve">Court records (PACER): </w:t>
      </w:r>
      <w:r>
        <w:rPr>
          <w:rFonts w:ascii="Arial" w:cs="Arial" w:eastAsia="Arial" w:hAnsi="Arial"/>
          <w:color w:val="4A4A4A"/>
          <w:sz w:val="22"/>
          <w:szCs w:val="22"/>
        </w:rPr>
        <w:t xml:space="preserve">Case filings, judgments. Legal tech is a $30B+ market.</w:t>
      </w:r>
    </w:p>
    <w:p>
      <w:pPr>
        <w:pStyle w:val="ListParagraph"/>
        <w:numPr>
          <w:ilvl w:val="0"/>
          <w:numId w:val="2"/>
        </w:numPr>
        <w:spacing w:after="80"/>
      </w:pPr>
      <w:r>
        <w:rPr>
          <w:rFonts w:ascii="Arial" w:cs="Arial" w:eastAsia="Arial" w:hAnsi="Arial"/>
          <w:b/>
          <w:bCs/>
          <w:color w:val="1B2A4A"/>
          <w:sz w:val="22"/>
          <w:szCs w:val="22"/>
        </w:rPr>
        <w:t xml:space="preserve">Federal Register: </w:t>
      </w:r>
      <w:r>
        <w:rPr>
          <w:rFonts w:ascii="Arial" w:cs="Arial" w:eastAsia="Arial" w:hAnsi="Arial"/>
          <w:color w:val="4A4A4A"/>
          <w:sz w:val="22"/>
          <w:szCs w:val="22"/>
        </w:rPr>
        <w:t xml:space="preserve">Regulations, executive orders. Compliance agents need this.</w:t>
      </w:r>
    </w:p>
    <w:p>
      <w:pPr>
        <w:pStyle w:val="Heading2"/>
      </w:pPr>
      <w:r>
        <w:t xml:space="preserve">Revenue Potential: High</w:t>
      </w:r>
    </w:p>
    <w:p>
      <w:pPr>
        <w:spacing w:after="160"/>
      </w:pPr>
      <w:r>
        <w:rPr>
          <w:rFonts w:ascii="Arial" w:cs="Arial" w:eastAsia="Arial" w:hAnsi="Arial"/>
          <w:color w:val="4A4A4A"/>
          <w:sz w:val="22"/>
          <w:szCs w:val="22"/>
        </w:rPr>
        <w:t xml:space="preserve">Financial services, legal tech, and compliance are all high-willingness-to-pay verticals. Per-verification pricing via x402 micropayments fits naturally. Premium rates for financial document verification vs. general documents.</w:t>
      </w:r>
    </w:p>
    <w:p>
      <w:pPr>
        <w:pStyle w:val="Heading2"/>
      </w:pPr>
      <w:r>
        <w:t xml:space="preserve">Positioning Fit: Excellent</w:t>
      </w:r>
    </w:p>
    <w:p>
      <w:pPr>
        <w:spacing w:after="160"/>
      </w:pPr>
      <w:r>
        <w:rPr>
          <w:rFonts w:ascii="Arial" w:cs="Arial" w:eastAsia="Arial" w:hAnsi="Arial"/>
          <w:color w:val="4A4A4A"/>
          <w:sz w:val="22"/>
          <w:szCs w:val="22"/>
        </w:rPr>
        <w:t xml:space="preserve">This is pure “trust infrastructure for the agentic economy.” Arkova isn’t competing with EDGAR — it’s adding a cryptographic trust layer on top. “EDGAR tells you what was filed. Arkova proves it hasn’t been tampered with since.”</w:t>
      </w:r>
    </w:p>
    <w:p>
      <w:pPr>
        <w:pStyle w:val="Heading2"/>
      </w:pPr>
      <w:r>
        <w:t xml:space="preserve">Cold-Start Speed: Fast</w:t>
      </w:r>
    </w:p>
    <w:p>
      <w:pPr>
        <w:spacing w:after="160"/>
      </w:pPr>
      <w:r>
        <w:rPr>
          <w:rFonts w:ascii="Arial" w:cs="Arial" w:eastAsia="Arial" w:hAnsi="Arial"/>
          <w:color w:val="4A4A4A"/>
          <w:sz w:val="22"/>
          <w:szCs w:val="22"/>
        </w:rPr>
        <w:t xml:space="preserve">Millions of federal filings could be anchored within weeks. The corpus would be immediately valuable to anyone building financial AI agents.</w:t>
      </w:r>
    </w:p>
    <w:p>
      <w:pPr>
        <w:pStyle w:val="Heading2"/>
      </w:pPr>
      <w:r>
        <w:t xml:space="preserve">Risks</w:t>
      </w:r>
    </w:p>
    <w:p>
      <w:pPr>
        <w:pStyle w:val="ListParagraph"/>
        <w:numPr>
          <w:ilvl w:val="0"/>
          <w:numId w:val="2"/>
        </w:numPr>
        <w:spacing w:after="80"/>
      </w:pPr>
      <w:r>
        <w:rPr>
          <w:rFonts w:ascii="Arial" w:cs="Arial" w:eastAsia="Arial" w:hAnsi="Arial"/>
          <w:color w:val="4A4A4A"/>
          <w:sz w:val="22"/>
          <w:szCs w:val="22"/>
        </w:rPr>
        <w:t xml:space="preserve">Ongoing operational cost of continuously anchoring new filings (mitigated by batch anchoring via Merkle trees).</w:t>
      </w:r>
    </w:p>
    <w:p>
      <w:pPr>
        <w:pStyle w:val="ListParagraph"/>
        <w:numPr>
          <w:ilvl w:val="0"/>
          <w:numId w:val="2"/>
        </w:numPr>
        <w:spacing w:after="80"/>
      </w:pPr>
      <w:r>
        <w:rPr>
          <w:rFonts w:ascii="Arial" w:cs="Arial" w:eastAsia="Arial" w:hAnsi="Arial"/>
          <w:color w:val="4A4A4A"/>
          <w:sz w:val="22"/>
          <w:szCs w:val="22"/>
        </w:rPr>
        <w:t xml:space="preserve">If a government source changes its data format, the pipeline breaks. Monitoring required.</w:t>
      </w:r>
    </w:p>
    <w:p>
      <w:pPr>
        <w:pStyle w:val="ListParagraph"/>
        <w:numPr>
          <w:ilvl w:val="0"/>
          <w:numId w:val="2"/>
        </w:numPr>
        <w:spacing w:after="80"/>
      </w:pPr>
      <w:r>
        <w:rPr>
          <w:rFonts w:ascii="Arial" w:cs="Arial" w:eastAsia="Arial" w:hAnsi="Arial"/>
          <w:color w:val="4A4A4A"/>
          <w:sz w:val="22"/>
          <w:szCs w:val="22"/>
        </w:rPr>
        <w:t xml:space="preserve">Philosophical risk: anchoring documents Arkova didn’t create. Counter: this is a public good — adding a verification layer to public data.</w:t>
      </w:r>
    </w:p>
    <w:p>
      <w:pPr>
        <w:spacing w:after="200" w:before="120"/>
      </w:pPr>
      <w:r>
        <w:rPr>
          <w:rFonts w:ascii="Arial" w:cs="Arial" w:eastAsia="Arial" w:hAnsi="Arial"/>
          <w:b/>
          <w:bCs/>
          <w:color w:val="2E75B6"/>
          <w:sz w:val="22"/>
          <w:szCs w:val="22"/>
        </w:rPr>
        <w:t xml:space="preserve">Verdict: </w:t>
      </w:r>
      <w:r>
        <w:rPr>
          <w:rFonts w:ascii="Arial" w:cs="Arial" w:eastAsia="Arial" w:hAnsi="Arial"/>
          <w:i/>
          <w:iCs/>
          <w:color w:val="4A4A4A"/>
          <w:sz w:val="22"/>
          <w:szCs w:val="22"/>
        </w:rPr>
        <w:t xml:space="preserve">Do this first. It’s the highest-ROI corpus play.</w:t>
      </w:r>
    </w:p>
    <w:p>
      <w:r>
        <w:br w:type="page"/>
      </w:r>
    </w:p>
    <w:p>
      <w:pPr>
        <w:pStyle w:val="Heading1"/>
      </w:pPr>
      <w:r>
        <w:t xml:space="preserve">Approach 2: Web Archiving / Proof of Web State</w:t>
      </w:r>
    </w:p>
    <w:p>
      <w:pPr>
        <w:spacing w:after="160"/>
      </w:pPr>
      <w:r>
        <w:rPr>
          <w:rFonts w:ascii="Arial" w:cs="Arial" w:eastAsia="Arial" w:hAnsi="Arial"/>
          <w:b/>
          <w:bCs/>
          <w:color w:val="4A4A4A"/>
          <w:sz w:val="22"/>
          <w:szCs w:val="22"/>
        </w:rPr>
        <w:t xml:space="preserve">The idea: </w:t>
      </w:r>
      <w:r>
        <w:rPr>
          <w:rFonts w:ascii="Arial" w:cs="Arial" w:eastAsia="Arial" w:hAnsi="Arial"/>
          <w:color w:val="4A4A4A"/>
          <w:sz w:val="22"/>
          <w:szCs w:val="22"/>
        </w:rPr>
        <w:t xml:space="preserve">Scrape and fingerprint public web pages, creating a “proof of web state at time X” service. Think Wayback Machine but with Bitcoin-anchored cryptographic proofs.</w:t>
      </w:r>
    </w:p>
    <w:p>
      <w:pPr>
        <w:pStyle w:val="Heading2"/>
      </w:pPr>
      <w:r>
        <w:t xml:space="preserve">Legal Feasibility: Mixed</w:t>
      </w:r>
    </w:p>
    <w:p>
      <w:pPr>
        <w:spacing w:after="160"/>
      </w:pPr>
      <w:r>
        <w:rPr>
          <w:rFonts w:ascii="Arial" w:cs="Arial" w:eastAsia="Arial" w:hAnsi="Arial"/>
          <w:color w:val="4A4A4A"/>
          <w:sz w:val="22"/>
          <w:szCs w:val="22"/>
        </w:rPr>
        <w:t xml:space="preserve">Web scraping legality varies by jurisdiction. The hiQ v. LinkedIn Supreme Court case (2022) broadly supported scraping public data, but the landscape is evolving. Scraping for fingerprints (not content redistribution) is on firmer ground. Storing hashes, not content, reduces copyright and data protection exposure.</w:t>
      </w:r>
    </w:p>
    <w:p>
      <w:pPr>
        <w:spacing w:after="160"/>
      </w:pPr>
      <w:r>
        <w:rPr>
          <w:rFonts w:ascii="Arial" w:cs="Arial" w:eastAsia="Arial" w:hAnsi="Arial"/>
          <w:color w:val="4A4A4A"/>
          <w:sz w:val="22"/>
          <w:szCs w:val="22"/>
        </w:rPr>
        <w:t xml:space="preserve">Existing players: PageFreezer and MirrorWeb already offer enterprise web archiving with cryptographic verification. They store full content. Arkova differentiates by storing only fingerprints.</w:t>
      </w:r>
    </w:p>
    <w:p>
      <w:pPr>
        <w:pStyle w:val="Heading2"/>
      </w:pPr>
      <w:r>
        <w:t xml:space="preserve">Technical Complexity: Medium-High</w:t>
      </w:r>
    </w:p>
    <w:p>
      <w:pPr>
        <w:spacing w:after="160"/>
      </w:pPr>
      <w:r>
        <w:rPr>
          <w:rFonts w:ascii="Arial" w:cs="Arial" w:eastAsia="Arial" w:hAnsi="Arial"/>
          <w:color w:val="4A4A4A"/>
          <w:sz w:val="22"/>
          <w:szCs w:val="22"/>
        </w:rPr>
        <w:t xml:space="preserve">Reliable web crawling at scale is a known-hard problem: JavaScript rendering, dynamic content, deterministic hashing challenges. The same page can render differently based on time, cookies, and geolocation.</w:t>
      </w:r>
    </w:p>
    <w:p>
      <w:pPr>
        <w:pStyle w:val="Heading2"/>
      </w:pPr>
      <w:r>
        <w:t xml:space="preserve">Value Creation: Medium</w:t>
      </w:r>
    </w:p>
    <w:p>
      <w:pPr>
        <w:spacing w:after="160"/>
      </w:pPr>
      <w:r>
        <w:rPr>
          <w:rFonts w:ascii="Arial" w:cs="Arial" w:eastAsia="Arial" w:hAnsi="Arial"/>
          <w:color w:val="4A4A4A"/>
          <w:sz w:val="22"/>
          <w:szCs w:val="22"/>
        </w:rPr>
        <w:t xml:space="preserve">Use cases are real but niche compared to public records:</w:t>
      </w:r>
    </w:p>
    <w:p>
      <w:pPr>
        <w:pStyle w:val="ListParagraph"/>
        <w:numPr>
          <w:ilvl w:val="0"/>
          <w:numId w:val="2"/>
        </w:numPr>
        <w:spacing w:after="80"/>
      </w:pPr>
      <w:r>
        <w:rPr>
          <w:rFonts w:ascii="Arial" w:cs="Arial" w:eastAsia="Arial" w:hAnsi="Arial"/>
          <w:b/>
          <w:bCs/>
          <w:color w:val="1B2A4A"/>
          <w:sz w:val="22"/>
          <w:szCs w:val="22"/>
        </w:rPr>
        <w:t xml:space="preserve">Legal discovery: </w:t>
      </w:r>
      <w:r>
        <w:rPr>
          <w:rFonts w:ascii="Arial" w:cs="Arial" w:eastAsia="Arial" w:hAnsi="Arial"/>
          <w:color w:val="4A4A4A"/>
          <w:sz w:val="22"/>
          <w:szCs w:val="22"/>
        </w:rPr>
        <w:t xml:space="preserve">Proving a web page existed in a certain form at a certain time.</w:t>
      </w:r>
    </w:p>
    <w:p>
      <w:pPr>
        <w:pStyle w:val="ListParagraph"/>
        <w:numPr>
          <w:ilvl w:val="0"/>
          <w:numId w:val="2"/>
        </w:numPr>
        <w:spacing w:after="80"/>
      </w:pPr>
      <w:r>
        <w:rPr>
          <w:rFonts w:ascii="Arial" w:cs="Arial" w:eastAsia="Arial" w:hAnsi="Arial"/>
          <w:b/>
          <w:bCs/>
          <w:color w:val="1B2A4A"/>
          <w:sz w:val="22"/>
          <w:szCs w:val="22"/>
        </w:rPr>
        <w:t xml:space="preserve">Brand monitoring: </w:t>
      </w:r>
      <w:r>
        <w:rPr>
          <w:rFonts w:ascii="Arial" w:cs="Arial" w:eastAsia="Arial" w:hAnsi="Arial"/>
          <w:color w:val="4A4A4A"/>
          <w:sz w:val="22"/>
          <w:szCs w:val="22"/>
        </w:rPr>
        <w:t xml:space="preserve">Proving a competitor made certain claims on their website.</w:t>
      </w:r>
    </w:p>
    <w:p>
      <w:pPr>
        <w:pStyle w:val="ListParagraph"/>
        <w:numPr>
          <w:ilvl w:val="0"/>
          <w:numId w:val="2"/>
        </w:numPr>
        <w:spacing w:after="80"/>
      </w:pPr>
      <w:r>
        <w:rPr>
          <w:rFonts w:ascii="Arial" w:cs="Arial" w:eastAsia="Arial" w:hAnsi="Arial"/>
          <w:b/>
          <w:bCs/>
          <w:color w:val="1B2A4A"/>
          <w:sz w:val="22"/>
          <w:szCs w:val="22"/>
        </w:rPr>
        <w:t xml:space="preserve">Regulatory compliance: </w:t>
      </w:r>
      <w:r>
        <w:rPr>
          <w:rFonts w:ascii="Arial" w:cs="Arial" w:eastAsia="Arial" w:hAnsi="Arial"/>
          <w:color w:val="4A4A4A"/>
          <w:sz w:val="22"/>
          <w:szCs w:val="22"/>
        </w:rPr>
        <w:t xml:space="preserve">Financial firms must archive web content.</w:t>
      </w:r>
    </w:p>
    <w:p>
      <w:pPr>
        <w:pStyle w:val="ListParagraph"/>
        <w:numPr>
          <w:ilvl w:val="0"/>
          <w:numId w:val="2"/>
        </w:numPr>
        <w:spacing w:after="80"/>
      </w:pPr>
      <w:r>
        <w:rPr>
          <w:rFonts w:ascii="Arial" w:cs="Arial" w:eastAsia="Arial" w:hAnsi="Arial"/>
          <w:b/>
          <w:bCs/>
          <w:color w:val="1B2A4A"/>
          <w:sz w:val="22"/>
          <w:szCs w:val="22"/>
        </w:rPr>
        <w:t xml:space="preserve">IP disputes: </w:t>
      </w:r>
      <w:r>
        <w:rPr>
          <w:rFonts w:ascii="Arial" w:cs="Arial" w:eastAsia="Arial" w:hAnsi="Arial"/>
          <w:color w:val="4A4A4A"/>
          <w:sz w:val="22"/>
          <w:szCs w:val="22"/>
        </w:rPr>
        <w:t xml:space="preserve">Proving prior art or publication dates.</w:t>
      </w:r>
    </w:p>
    <w:p>
      <w:pPr>
        <w:pStyle w:val="Heading2"/>
      </w:pPr>
      <w:r>
        <w:t xml:space="preserve">Risks</w:t>
      </w:r>
    </w:p>
    <w:p>
      <w:pPr>
        <w:pStyle w:val="ListParagraph"/>
        <w:numPr>
          <w:ilvl w:val="0"/>
          <w:numId w:val="2"/>
        </w:numPr>
        <w:spacing w:after="80"/>
      </w:pPr>
      <w:r>
        <w:rPr>
          <w:rFonts w:ascii="Arial" w:cs="Arial" w:eastAsia="Arial" w:hAnsi="Arial"/>
          <w:color w:val="4A4A4A"/>
          <w:sz w:val="22"/>
          <w:szCs w:val="22"/>
        </w:rPr>
        <w:t xml:space="preserve">Legal risk from aggressive scraping.</w:t>
      </w:r>
    </w:p>
    <w:p>
      <w:pPr>
        <w:pStyle w:val="ListParagraph"/>
        <w:numPr>
          <w:ilvl w:val="0"/>
          <w:numId w:val="2"/>
        </w:numPr>
        <w:spacing w:after="80"/>
      </w:pPr>
      <w:r>
        <w:rPr>
          <w:rFonts w:ascii="Arial" w:cs="Arial" w:eastAsia="Arial" w:hAnsi="Arial"/>
          <w:color w:val="4A4A4A"/>
          <w:sz w:val="22"/>
          <w:szCs w:val="22"/>
        </w:rPr>
        <w:t xml:space="preserve">Technical complexity of deterministic page fingerprinting.</w:t>
      </w:r>
    </w:p>
    <w:p>
      <w:pPr>
        <w:pStyle w:val="ListParagraph"/>
        <w:numPr>
          <w:ilvl w:val="0"/>
          <w:numId w:val="2"/>
        </w:numPr>
        <w:spacing w:after="80"/>
      </w:pPr>
      <w:r>
        <w:rPr>
          <w:rFonts w:ascii="Arial" w:cs="Arial" w:eastAsia="Arial" w:hAnsi="Arial"/>
          <w:color w:val="4A4A4A"/>
          <w:sz w:val="22"/>
          <w:szCs w:val="22"/>
        </w:rPr>
        <w:t xml:space="preserve">Competing with well-funded incumbents who have regulatory certifications.</w:t>
      </w:r>
    </w:p>
    <w:p>
      <w:pPr>
        <w:spacing w:after="200" w:before="120"/>
      </w:pPr>
      <w:r>
        <w:rPr>
          <w:rFonts w:ascii="Arial" w:cs="Arial" w:eastAsia="Arial" w:hAnsi="Arial"/>
          <w:b/>
          <w:bCs/>
          <w:color w:val="2E75B6"/>
          <w:sz w:val="22"/>
          <w:szCs w:val="22"/>
        </w:rPr>
        <w:t xml:space="preserve">Verdict: </w:t>
      </w:r>
      <w:r>
        <w:rPr>
          <w:rFonts w:ascii="Arial" w:cs="Arial" w:eastAsia="Arial" w:hAnsi="Arial"/>
          <w:i/>
          <w:iCs/>
          <w:color w:val="4A4A4A"/>
          <w:sz w:val="22"/>
          <w:szCs w:val="22"/>
        </w:rPr>
        <w:t xml:space="preserve">Interesting but secondary. Consider as a Phase 2 offering or a partnership play (e.g., integrate with Perma.cc rather than building a crawler).</w:t>
      </w:r>
    </w:p>
    <w:p>
      <w:r>
        <w:br w:type="page"/>
      </w:r>
    </w:p>
    <w:p>
      <w:pPr>
        <w:pStyle w:val="Heading1"/>
      </w:pPr>
      <w:r>
        <w:t xml:space="preserve">Approach 3: Open Data Partnerships</w:t>
      </w:r>
    </w:p>
    <w:p>
      <w:pPr>
        <w:spacing w:after="160"/>
      </w:pPr>
      <w:r>
        <w:rPr>
          <w:rFonts w:ascii="Arial" w:cs="Arial" w:eastAsia="Arial" w:hAnsi="Arial"/>
          <w:b/>
          <w:bCs/>
          <w:color w:val="4A4A4A"/>
          <w:sz w:val="22"/>
          <w:szCs w:val="22"/>
        </w:rPr>
        <w:t xml:space="preserve">The idea: </w:t>
      </w:r>
      <w:r>
        <w:rPr>
          <w:rFonts w:ascii="Arial" w:cs="Arial" w:eastAsia="Arial" w:hAnsi="Arial"/>
          <w:color w:val="4A4A4A"/>
          <w:sz w:val="22"/>
          <w:szCs w:val="22"/>
        </w:rPr>
        <w:t xml:space="preserve">Partner with open data providers to bulk-anchor their datasets. Arkova becomes the cryptographic trust layer on top of existing open data infrastructure.</w:t>
      </w:r>
    </w:p>
    <w:p>
      <w:pPr>
        <w:pStyle w:val="Heading2"/>
      </w:pPr>
      <w:r>
        <w:t xml:space="preserve">Target Partners</w:t>
      </w:r>
    </w:p>
    <w:p>
      <w:pPr>
        <w:pStyle w:val="ListParagraph"/>
        <w:numPr>
          <w:ilvl w:val="0"/>
          <w:numId w:val="2"/>
        </w:numPr>
        <w:spacing w:after="80"/>
      </w:pPr>
      <w:r>
        <w:rPr>
          <w:rFonts w:ascii="Arial" w:cs="Arial" w:eastAsia="Arial" w:hAnsi="Arial"/>
          <w:b/>
          <w:bCs/>
          <w:color w:val="1B2A4A"/>
          <w:sz w:val="22"/>
          <w:szCs w:val="22"/>
        </w:rPr>
        <w:t xml:space="preserve">OpenAlex: </w:t>
      </w:r>
      <w:r>
        <w:rPr>
          <w:rFonts w:ascii="Arial" w:cs="Arial" w:eastAsia="Arial" w:hAnsi="Arial"/>
          <w:color w:val="4A4A4A"/>
          <w:sz w:val="22"/>
          <w:szCs w:val="22"/>
        </w:rPr>
        <w:t xml:space="preserve">250M+ academic works. Academic integrity is a hot-button issue — paper mills, retracted studies, citation fraud.</w:t>
      </w:r>
    </w:p>
    <w:p>
      <w:pPr>
        <w:pStyle w:val="ListParagraph"/>
        <w:numPr>
          <w:ilvl w:val="0"/>
          <w:numId w:val="2"/>
        </w:numPr>
        <w:spacing w:after="80"/>
      </w:pPr>
      <w:r>
        <w:rPr>
          <w:rFonts w:ascii="Arial" w:cs="Arial" w:eastAsia="Arial" w:hAnsi="Arial"/>
          <w:b/>
          <w:bCs/>
          <w:color w:val="1B2A4A"/>
          <w:sz w:val="22"/>
          <w:szCs w:val="22"/>
        </w:rPr>
        <w:t xml:space="preserve">Crossref: </w:t>
      </w:r>
      <w:r>
        <w:rPr>
          <w:rFonts w:ascii="Arial" w:cs="Arial" w:eastAsia="Arial" w:hAnsi="Arial"/>
          <w:color w:val="4A4A4A"/>
          <w:sz w:val="22"/>
          <w:szCs w:val="22"/>
        </w:rPr>
        <w:t xml:space="preserve">DOI metadata for scholarly publications. 150M+ records.</w:t>
      </w:r>
    </w:p>
    <w:p>
      <w:pPr>
        <w:pStyle w:val="ListParagraph"/>
        <w:numPr>
          <w:ilvl w:val="0"/>
          <w:numId w:val="2"/>
        </w:numPr>
        <w:spacing w:after="80"/>
      </w:pPr>
      <w:r>
        <w:rPr>
          <w:rFonts w:ascii="Arial" w:cs="Arial" w:eastAsia="Arial" w:hAnsi="Arial"/>
          <w:b/>
          <w:bCs/>
          <w:color w:val="1B2A4A"/>
          <w:sz w:val="22"/>
          <w:szCs w:val="22"/>
        </w:rPr>
        <w:t xml:space="preserve">arXiv: </w:t>
      </w:r>
      <w:r>
        <w:rPr>
          <w:rFonts w:ascii="Arial" w:cs="Arial" w:eastAsia="Arial" w:hAnsi="Arial"/>
          <w:color w:val="4A4A4A"/>
          <w:sz w:val="22"/>
          <w:szCs w:val="22"/>
        </w:rPr>
        <w:t xml:space="preserve">Preprints. Proving a preprint existed at a specific time has real value for priority disputes.</w:t>
      </w:r>
    </w:p>
    <w:p>
      <w:pPr>
        <w:pStyle w:val="ListParagraph"/>
        <w:numPr>
          <w:ilvl w:val="0"/>
          <w:numId w:val="2"/>
        </w:numPr>
        <w:spacing w:after="80"/>
      </w:pPr>
      <w:r>
        <w:rPr>
          <w:rFonts w:ascii="Arial" w:cs="Arial" w:eastAsia="Arial" w:hAnsi="Arial"/>
          <w:b/>
          <w:bCs/>
          <w:color w:val="1B2A4A"/>
          <w:sz w:val="22"/>
          <w:szCs w:val="22"/>
        </w:rPr>
        <w:t xml:space="preserve">PubMed/NIH: </w:t>
      </w:r>
      <w:r>
        <w:rPr>
          <w:rFonts w:ascii="Arial" w:cs="Arial" w:eastAsia="Arial" w:hAnsi="Arial"/>
          <w:color w:val="4A4A4A"/>
          <w:sz w:val="22"/>
          <w:szCs w:val="22"/>
        </w:rPr>
        <w:t xml:space="preserve">Biomedical literature. Clinical trial integrity is a regulatory priority.</w:t>
      </w:r>
    </w:p>
    <w:p>
      <w:pPr>
        <w:pStyle w:val="ListParagraph"/>
        <w:numPr>
          <w:ilvl w:val="0"/>
          <w:numId w:val="2"/>
        </w:numPr>
        <w:spacing w:after="80"/>
      </w:pPr>
      <w:r>
        <w:rPr>
          <w:rFonts w:ascii="Arial" w:cs="Arial" w:eastAsia="Arial" w:hAnsi="Arial"/>
          <w:b/>
          <w:bCs/>
          <w:color w:val="1B2A4A"/>
          <w:sz w:val="22"/>
          <w:szCs w:val="22"/>
        </w:rPr>
        <w:t xml:space="preserve">data.gov: </w:t>
      </w:r>
      <w:r>
        <w:rPr>
          <w:rFonts w:ascii="Arial" w:cs="Arial" w:eastAsia="Arial" w:hAnsi="Arial"/>
          <w:color w:val="4A4A4A"/>
          <w:sz w:val="22"/>
          <w:szCs w:val="22"/>
        </w:rPr>
        <w:t xml:space="preserve">Thousands of federal datasets. Government accountability use case.</w:t>
      </w:r>
    </w:p>
    <w:p>
      <w:pPr>
        <w:pStyle w:val="Heading2"/>
      </w:pPr>
      <w:r>
        <w:t xml:space="preserve">Legal Feasibility: Strong</w:t>
      </w:r>
    </w:p>
    <w:p>
      <w:pPr>
        <w:spacing w:after="160"/>
      </w:pPr>
      <w:r>
        <w:rPr>
          <w:rFonts w:ascii="Arial" w:cs="Arial" w:eastAsia="Arial" w:hAnsi="Arial"/>
          <w:color w:val="4A4A4A"/>
          <w:sz w:val="22"/>
          <w:szCs w:val="22"/>
        </w:rPr>
        <w:t xml:space="preserve">These are open data providers who want their data used. Many have explicit APIs and licensing terms encouraging derivative uses. A formal partnership removes any legal ambiguity.</w:t>
      </w:r>
    </w:p>
    <w:p>
      <w:pPr>
        <w:pStyle w:val="Heading2"/>
      </w:pPr>
      <w:r>
        <w:t xml:space="preserve">Technical Complexity: Low</w:t>
      </w:r>
    </w:p>
    <w:p>
      <w:pPr>
        <w:spacing w:after="160"/>
      </w:pPr>
      <w:r>
        <w:rPr>
          <w:rFonts w:ascii="Arial" w:cs="Arial" w:eastAsia="Arial" w:hAnsi="Arial"/>
          <w:color w:val="4A4A4A"/>
          <w:sz w:val="22"/>
          <w:szCs w:val="22"/>
        </w:rPr>
        <w:t xml:space="preserve">Well-documented APIs and bulk download options. OpenAlex even hosts snapshots on AWS. Download, hash, and anchor. Integration work is straightforward.</w:t>
      </w:r>
    </w:p>
    <w:p>
      <w:pPr>
        <w:pStyle w:val="Heading2"/>
      </w:pPr>
      <w:r>
        <w:t xml:space="preserve">Value Creation: High</w:t>
      </w:r>
    </w:p>
    <w:p>
      <w:pPr>
        <w:spacing w:after="160"/>
      </w:pPr>
      <w:r>
        <w:rPr>
          <w:rFonts w:ascii="Arial" w:cs="Arial" w:eastAsia="Arial" w:hAnsi="Arial"/>
          <w:color w:val="4A4A4A"/>
          <w:sz w:val="22"/>
          <w:szCs w:val="22"/>
        </w:rPr>
        <w:t xml:space="preserve">The partnership angle is the differentiator. Instead of unilateral anchoring, the data provider co-signs the relationship. This creates legitimacy and opens distribution channels.</w:t>
      </w:r>
    </w:p>
    <w:p>
      <w:pPr>
        <w:pStyle w:val="Heading2"/>
      </w:pPr>
      <w:r>
        <w:t xml:space="preserve">Revenue Potential: Medium-High</w:t>
      </w:r>
    </w:p>
    <w:p>
      <w:pPr>
        <w:spacing w:after="160"/>
      </w:pPr>
      <w:r>
        <w:rPr>
          <w:rFonts w:ascii="Arial" w:cs="Arial" w:eastAsia="Arial" w:hAnsi="Arial"/>
          <w:color w:val="4A4A4A"/>
          <w:sz w:val="22"/>
          <w:szCs w:val="22"/>
        </w:rPr>
        <w:t xml:space="preserve">Academic integrity is undermonetized but growing. Research verification for AI training data provenance is an emerging market.</w:t>
      </w:r>
    </w:p>
    <w:p>
      <w:pPr>
        <w:pStyle w:val="Heading2"/>
      </w:pPr>
      <w:r>
        <w:t xml:space="preserve">Risks</w:t>
      </w:r>
    </w:p>
    <w:p>
      <w:pPr>
        <w:pStyle w:val="ListParagraph"/>
        <w:numPr>
          <w:ilvl w:val="0"/>
          <w:numId w:val="2"/>
        </w:numPr>
        <w:spacing w:after="80"/>
      </w:pPr>
      <w:r>
        <w:rPr>
          <w:rFonts w:ascii="Arial" w:cs="Arial" w:eastAsia="Arial" w:hAnsi="Arial"/>
          <w:color w:val="4A4A4A"/>
          <w:sz w:val="22"/>
          <w:szCs w:val="22"/>
        </w:rPr>
        <w:t xml:space="preserve">Partnership development takes time and relationship-building.</w:t>
      </w:r>
    </w:p>
    <w:p>
      <w:pPr>
        <w:pStyle w:val="ListParagraph"/>
        <w:numPr>
          <w:ilvl w:val="0"/>
          <w:numId w:val="2"/>
        </w:numPr>
        <w:spacing w:after="80"/>
      </w:pPr>
      <w:r>
        <w:rPr>
          <w:rFonts w:ascii="Arial" w:cs="Arial" w:eastAsia="Arial" w:hAnsi="Arial"/>
          <w:color w:val="4A4A4A"/>
          <w:sz w:val="22"/>
          <w:szCs w:val="22"/>
        </w:rPr>
        <w:t xml:space="preserve">Open data providers are often non-profits with slow decision-making.</w:t>
      </w:r>
    </w:p>
    <w:p>
      <w:pPr>
        <w:pStyle w:val="ListParagraph"/>
        <w:numPr>
          <w:ilvl w:val="0"/>
          <w:numId w:val="2"/>
        </w:numPr>
        <w:spacing w:after="80"/>
      </w:pPr>
      <w:r>
        <w:rPr>
          <w:rFonts w:ascii="Arial" w:cs="Arial" w:eastAsia="Arial" w:hAnsi="Arial"/>
          <w:color w:val="4A4A4A"/>
          <w:sz w:val="22"/>
          <w:szCs w:val="22"/>
        </w:rPr>
        <w:t xml:space="preserve">Dependency on partner cooperation for ongoing data feeds.</w:t>
      </w:r>
    </w:p>
    <w:p>
      <w:pPr>
        <w:spacing w:after="200" w:before="120"/>
      </w:pPr>
      <w:r>
        <w:rPr>
          <w:rFonts w:ascii="Arial" w:cs="Arial" w:eastAsia="Arial" w:hAnsi="Arial"/>
          <w:b/>
          <w:bCs/>
          <w:color w:val="2E75B6"/>
          <w:sz w:val="22"/>
          <w:szCs w:val="22"/>
        </w:rPr>
        <w:t xml:space="preserve">Verdict: </w:t>
      </w:r>
      <w:r>
        <w:rPr>
          <w:rFonts w:ascii="Arial" w:cs="Arial" w:eastAsia="Arial" w:hAnsi="Arial"/>
          <w:i/>
          <w:iCs/>
          <w:color w:val="4A4A4A"/>
          <w:sz w:val="22"/>
          <w:szCs w:val="22"/>
        </w:rPr>
        <w:t xml:space="preserve">Pursue in parallel with Approach 1. Start with OpenAlex (most accessible) and Crossref.</w:t>
      </w:r>
    </w:p>
    <w:p>
      <w:r>
        <w:br w:type="page"/>
      </w:r>
    </w:p>
    <w:p>
      <w:pPr>
        <w:pStyle w:val="Heading1"/>
      </w:pPr>
      <w:r>
        <w:t xml:space="preserve">Approach 4: Agent-Initiated Anchoring</w:t>
      </w:r>
    </w:p>
    <w:p>
      <w:pPr>
        <w:spacing w:after="160"/>
      </w:pPr>
      <w:r>
        <w:rPr>
          <w:rFonts w:ascii="Arial" w:cs="Arial" w:eastAsia="Arial" w:hAnsi="Arial"/>
          <w:b/>
          <w:bCs/>
          <w:color w:val="4A4A4A"/>
          <w:sz w:val="22"/>
          <w:szCs w:val="22"/>
        </w:rPr>
        <w:t xml:space="preserve">The idea: </w:t>
      </w:r>
      <w:r>
        <w:rPr>
          <w:rFonts w:ascii="Arial" w:cs="Arial" w:eastAsia="Arial" w:hAnsi="Arial"/>
          <w:color w:val="4A4A4A"/>
          <w:sz w:val="22"/>
          <w:szCs w:val="22"/>
        </w:rPr>
        <w:t xml:space="preserve">Instead of waiting for humans to anchor documents, let AI agents anchor their own outputs. Agent generates a report → anchors it via Arkova → other agents verify it later. This creates network effects within the agentic economy.</w:t>
      </w:r>
    </w:p>
    <w:p>
      <w:pPr>
        <w:pStyle w:val="Heading2"/>
      </w:pPr>
      <w:r>
        <w:t xml:space="preserve">This Is the Long-Term Play</w:t>
      </w:r>
    </w:p>
    <w:p>
      <w:pPr>
        <w:spacing w:after="160"/>
      </w:pPr>
      <w:r>
        <w:rPr>
          <w:rFonts w:ascii="Arial" w:cs="Arial" w:eastAsia="Arial" w:hAnsi="Arial"/>
          <w:color w:val="4A4A4A"/>
          <w:sz w:val="22"/>
          <w:szCs w:val="22"/>
        </w:rPr>
        <w:t xml:space="preserve">The agentic economy is moving toward a world where agents produce artifacts that other agents consume. If Agent A generates a financial analysis, Agent B needs to verify it hasn’t been tampered with before acting on it. This is Arkova’s core thesis.</w:t>
      </w:r>
    </w:p>
    <w:p>
      <w:pPr>
        <w:pStyle w:val="Heading2"/>
      </w:pPr>
      <w:r>
        <w:t xml:space="preserve">Technical Complexity: Low</w:t>
      </w:r>
    </w:p>
    <w:p>
      <w:pPr>
        <w:spacing w:after="160"/>
      </w:pPr>
      <w:r>
        <w:rPr>
          <w:rFonts w:ascii="Arial" w:cs="Arial" w:eastAsia="Arial" w:hAnsi="Arial"/>
          <w:color w:val="4A4A4A"/>
          <w:sz w:val="22"/>
          <w:szCs w:val="22"/>
        </w:rPr>
        <w:t xml:space="preserve">From Arkova’s perspective, this is just API usage. The complexity is in the SDK/developer experience:</w:t>
      </w:r>
    </w:p>
    <w:p>
      <w:pPr>
        <w:pStyle w:val="ListParagraph"/>
        <w:numPr>
          <w:ilvl w:val="0"/>
          <w:numId w:val="2"/>
        </w:numPr>
        <w:spacing w:after="80"/>
      </w:pPr>
      <w:r>
        <w:rPr>
          <w:rFonts w:ascii="Arial" w:cs="Arial" w:eastAsia="Arial" w:hAnsi="Arial"/>
          <w:color w:val="4A4A4A"/>
          <w:sz w:val="22"/>
          <w:szCs w:val="22"/>
        </w:rPr>
        <w:t xml:space="preserve">Provide SDKs in Python, TypeScript, Rust (the languages agents are built in).</w:t>
      </w:r>
    </w:p>
    <w:p>
      <w:pPr>
        <w:pStyle w:val="ListParagraph"/>
        <w:numPr>
          <w:ilvl w:val="0"/>
          <w:numId w:val="2"/>
        </w:numPr>
        <w:spacing w:after="80"/>
      </w:pPr>
      <w:r>
        <w:rPr>
          <w:rFonts w:ascii="Arial" w:cs="Arial" w:eastAsia="Arial" w:hAnsi="Arial"/>
          <w:color w:val="4A4A4A"/>
          <w:sz w:val="22"/>
          <w:szCs w:val="22"/>
        </w:rPr>
        <w:t xml:space="preserve">Make anchoring a one-liner: arkova.anchor(document_hash).</w:t>
      </w:r>
    </w:p>
    <w:p>
      <w:pPr>
        <w:pStyle w:val="ListParagraph"/>
        <w:numPr>
          <w:ilvl w:val="0"/>
          <w:numId w:val="2"/>
        </w:numPr>
        <w:spacing w:after="80"/>
      </w:pPr>
      <w:r>
        <w:rPr>
          <w:rFonts w:ascii="Arial" w:cs="Arial" w:eastAsia="Arial" w:hAnsi="Arial"/>
          <w:color w:val="4A4A4A"/>
          <w:sz w:val="22"/>
          <w:szCs w:val="22"/>
        </w:rPr>
        <w:t xml:space="preserve">Make verification a one-liner: arkova.verify(document_hash).</w:t>
      </w:r>
    </w:p>
    <w:p>
      <w:pPr>
        <w:pStyle w:val="ListParagraph"/>
        <w:numPr>
          <w:ilvl w:val="0"/>
          <w:numId w:val="2"/>
        </w:numPr>
        <w:spacing w:after="80"/>
      </w:pPr>
      <w:r>
        <w:rPr>
          <w:rFonts w:ascii="Arial" w:cs="Arial" w:eastAsia="Arial" w:hAnsi="Arial"/>
          <w:color w:val="4A4A4A"/>
          <w:sz w:val="22"/>
          <w:szCs w:val="22"/>
        </w:rPr>
        <w:t xml:space="preserve">Support x402 micropayments natively so agents can pay per verification without human intervention.</w:t>
      </w:r>
    </w:p>
    <w:p>
      <w:pPr>
        <w:pStyle w:val="Heading2"/>
      </w:pPr>
      <w:r>
        <w:t xml:space="preserve">Value Creation: Extremely High (Long-Term)</w:t>
      </w:r>
    </w:p>
    <w:p>
      <w:pPr>
        <w:spacing w:after="160"/>
      </w:pPr>
      <w:r>
        <w:rPr>
          <w:rFonts w:ascii="Arial" w:cs="Arial" w:eastAsia="Arial" w:hAnsi="Arial"/>
          <w:color w:val="4A4A4A"/>
          <w:sz w:val="22"/>
          <w:szCs w:val="22"/>
        </w:rPr>
        <w:t xml:space="preserve">This is the network effect play. Every agent that anchors creates verification demand. The flywheel:</w:t>
      </w:r>
    </w:p>
    <w:p>
      <w:pPr>
        <w:pStyle w:val="ListParagraph"/>
        <w:numPr>
          <w:ilvl w:val="0"/>
          <w:numId w:val="3"/>
        </w:numPr>
        <w:spacing w:after="80"/>
      </w:pPr>
      <w:r>
        <w:rPr>
          <w:rFonts w:ascii="Arial" w:cs="Arial" w:eastAsia="Arial" w:hAnsi="Arial"/>
          <w:color w:val="4A4A4A"/>
          <w:sz w:val="22"/>
          <w:szCs w:val="22"/>
        </w:rPr>
        <w:t xml:space="preserve">Agent anchors output → Arkova corpus grows.</w:t>
      </w:r>
    </w:p>
    <w:p>
      <w:pPr>
        <w:pStyle w:val="ListParagraph"/>
        <w:numPr>
          <w:ilvl w:val="0"/>
          <w:numId w:val="3"/>
        </w:numPr>
        <w:spacing w:after="80"/>
      </w:pPr>
      <w:r>
        <w:rPr>
          <w:rFonts w:ascii="Arial" w:cs="Arial" w:eastAsia="Arial" w:hAnsi="Arial"/>
          <w:color w:val="4A4A4A"/>
          <w:sz w:val="22"/>
          <w:szCs w:val="22"/>
        </w:rPr>
        <w:t xml:space="preserve">Other agents verify output → Arkova earns revenue.</w:t>
      </w:r>
    </w:p>
    <w:p>
      <w:pPr>
        <w:pStyle w:val="ListParagraph"/>
        <w:numPr>
          <w:ilvl w:val="0"/>
          <w:numId w:val="3"/>
        </w:numPr>
        <w:spacing w:after="80"/>
      </w:pPr>
      <w:r>
        <w:rPr>
          <w:rFonts w:ascii="Arial" w:cs="Arial" w:eastAsia="Arial" w:hAnsi="Arial"/>
          <w:color w:val="4A4A4A"/>
          <w:sz w:val="22"/>
          <w:szCs w:val="22"/>
        </w:rPr>
        <w:t xml:space="preserve">Verification becomes expected → More agents anchor → Repeat.</w:t>
      </w:r>
    </w:p>
    <w:p>
      <w:pPr>
        <w:spacing w:after="160"/>
      </w:pPr>
      <w:r>
        <w:rPr>
          <w:rFonts w:ascii="Arial" w:cs="Arial" w:eastAsia="Arial" w:hAnsi="Arial"/>
          <w:color w:val="4A4A4A"/>
          <w:sz w:val="22"/>
          <w:szCs w:val="22"/>
        </w:rPr>
        <w:t xml:space="preserve">Key insight: agents are less price-sensitive than humans for microtransactions. An agent verifying 10,000 documents per day at $0.001 each doesn’t blink.</w:t>
      </w:r>
    </w:p>
    <w:p>
      <w:pPr>
        <w:pStyle w:val="Heading2"/>
      </w:pPr>
      <w:r>
        <w:t xml:space="preserve">Revenue Potential: Very High (At Scale)</w:t>
      </w:r>
    </w:p>
    <w:p>
      <w:pPr>
        <w:spacing w:after="160"/>
      </w:pPr>
      <w:r>
        <w:rPr>
          <w:rFonts w:ascii="Arial" w:cs="Arial" w:eastAsia="Arial" w:hAnsi="Arial"/>
          <w:color w:val="4A4A4A"/>
          <w:sz w:val="22"/>
          <w:szCs w:val="22"/>
        </w:rPr>
        <w:t xml:space="preserve">x402 micropayments × millions of agent-to-agent verification calls = significant revenue at scale. But this is a 12–24 month horizon, not a next-quarter play.</w:t>
      </w:r>
    </w:p>
    <w:p>
      <w:pPr>
        <w:pStyle w:val="Heading2"/>
      </w:pPr>
      <w:r>
        <w:t xml:space="preserve">Risks</w:t>
      </w:r>
    </w:p>
    <w:p>
      <w:pPr>
        <w:pStyle w:val="ListParagraph"/>
        <w:numPr>
          <w:ilvl w:val="0"/>
          <w:numId w:val="2"/>
        </w:numPr>
        <w:spacing w:after="80"/>
      </w:pPr>
      <w:r>
        <w:rPr>
          <w:rFonts w:ascii="Arial" w:cs="Arial" w:eastAsia="Arial" w:hAnsi="Arial"/>
          <w:color w:val="4A4A4A"/>
          <w:sz w:val="22"/>
          <w:szCs w:val="22"/>
        </w:rPr>
        <w:t xml:space="preserve">Dependent on the agentic economy actually materializing at scale.</w:t>
      </w:r>
    </w:p>
    <w:p>
      <w:pPr>
        <w:pStyle w:val="ListParagraph"/>
        <w:numPr>
          <w:ilvl w:val="0"/>
          <w:numId w:val="2"/>
        </w:numPr>
        <w:spacing w:after="80"/>
      </w:pPr>
      <w:r>
        <w:rPr>
          <w:rFonts w:ascii="Arial" w:cs="Arial" w:eastAsia="Arial" w:hAnsi="Arial"/>
          <w:color w:val="4A4A4A"/>
          <w:sz w:val="22"/>
          <w:szCs w:val="22"/>
        </w:rPr>
        <w:t xml:space="preserve">x402 and agent payment infrastructure is early-stage.</w:t>
      </w:r>
    </w:p>
    <w:p>
      <w:pPr>
        <w:pStyle w:val="ListParagraph"/>
        <w:numPr>
          <w:ilvl w:val="0"/>
          <w:numId w:val="2"/>
        </w:numPr>
        <w:spacing w:after="80"/>
      </w:pPr>
      <w:r>
        <w:rPr>
          <w:rFonts w:ascii="Arial" w:cs="Arial" w:eastAsia="Arial" w:hAnsi="Arial"/>
          <w:color w:val="4A4A4A"/>
          <w:sz w:val="22"/>
          <w:szCs w:val="22"/>
        </w:rPr>
        <w:t xml:space="preserve">Possible “garbage in” problem — agents anchoring low-quality outputs.</w:t>
      </w:r>
    </w:p>
    <w:p>
      <w:pPr>
        <w:spacing w:after="200" w:before="120"/>
      </w:pPr>
      <w:r>
        <w:rPr>
          <w:rFonts w:ascii="Arial" w:cs="Arial" w:eastAsia="Arial" w:hAnsi="Arial"/>
          <w:b/>
          <w:bCs/>
          <w:color w:val="2E75B6"/>
          <w:sz w:val="22"/>
          <w:szCs w:val="22"/>
        </w:rPr>
        <w:t xml:space="preserve">Verdict: </w:t>
      </w:r>
      <w:r>
        <w:rPr>
          <w:rFonts w:ascii="Arial" w:cs="Arial" w:eastAsia="Arial" w:hAnsi="Arial"/>
          <w:i/>
          <w:iCs/>
          <w:color w:val="4A4A4A"/>
          <w:sz w:val="22"/>
          <w:szCs w:val="22"/>
        </w:rPr>
        <w:t xml:space="preserve">This is the strategic endgame. Invest in SDK/DX now, but don’t rely on it for corpus bootstrapping. Pair with Approaches 1 and 3 for cold-start.</w:t>
      </w:r>
    </w:p>
    <w:p>
      <w:r>
        <w:br w:type="page"/>
      </w:r>
    </w:p>
    <w:p>
      <w:pPr>
        <w:pStyle w:val="Heading1"/>
      </w:pPr>
      <w:r>
        <w:t xml:space="preserve">Approach 5: Notarization-as-a-Service (E-Signature Integration)</w:t>
      </w:r>
    </w:p>
    <w:p>
      <w:pPr>
        <w:spacing w:after="160"/>
      </w:pPr>
      <w:r>
        <w:rPr>
          <w:rFonts w:ascii="Arial" w:cs="Arial" w:eastAsia="Arial" w:hAnsi="Arial"/>
          <w:b/>
          <w:bCs/>
          <w:color w:val="4A4A4A"/>
          <w:sz w:val="22"/>
          <w:szCs w:val="22"/>
        </w:rPr>
        <w:t xml:space="preserve">The idea: </w:t>
      </w:r>
      <w:r>
        <w:rPr>
          <w:rFonts w:ascii="Arial" w:cs="Arial" w:eastAsia="Arial" w:hAnsi="Arial"/>
          <w:color w:val="4A4A4A"/>
          <w:sz w:val="22"/>
          <w:szCs w:val="22"/>
        </w:rPr>
        <w:t xml:space="preserve">Integrate with DocuSign, Adobe Sign, Dropbox Sign to auto-anchor signed documents. Every signed contract automatically gets a Bitcoin-anchored proof of existence.</w:t>
      </w:r>
    </w:p>
    <w:p>
      <w:pPr>
        <w:pStyle w:val="Heading2"/>
      </w:pPr>
      <w:r>
        <w:t xml:space="preserve">Technical Complexity: Medium</w:t>
      </w:r>
    </w:p>
    <w:p>
      <w:pPr>
        <w:spacing w:after="160"/>
      </w:pPr>
      <w:r>
        <w:rPr>
          <w:rFonts w:ascii="Arial" w:cs="Arial" w:eastAsia="Arial" w:hAnsi="Arial"/>
          <w:color w:val="4A4A4A"/>
          <w:sz w:val="22"/>
          <w:szCs w:val="22"/>
        </w:rPr>
        <w:t xml:space="preserve">DocuSign and Adobe Sign have APIs and webhook systems. Build an integration triggered on “document signed” events, hash the signed PDF, and anchor it. The challenge is marketplace listing.</w:t>
      </w:r>
    </w:p>
    <w:p>
      <w:pPr>
        <w:pStyle w:val="Heading2"/>
      </w:pPr>
      <w:r>
        <w:t xml:space="preserve">Value Creation: High</w:t>
      </w:r>
    </w:p>
    <w:p>
      <w:pPr>
        <w:spacing w:after="160"/>
      </w:pPr>
      <w:r>
        <w:rPr>
          <w:rFonts w:ascii="Arial" w:cs="Arial" w:eastAsia="Arial" w:hAnsi="Arial"/>
          <w:color w:val="4A4A4A"/>
          <w:sz w:val="22"/>
          <w:szCs w:val="22"/>
        </w:rPr>
        <w:t xml:space="preserve">Signed documents are inherently high-value. A Bitcoin-anchored proof that “this contract existed in this exact form at signing time” is genuinely useful for dispute resolution — stronger than what DocuSign provides natively.</w:t>
      </w:r>
    </w:p>
    <w:p>
      <w:pPr>
        <w:pStyle w:val="Heading2"/>
      </w:pPr>
      <w:r>
        <w:t xml:space="preserve">Risks</w:t>
      </w:r>
    </w:p>
    <w:p>
      <w:pPr>
        <w:pStyle w:val="ListParagraph"/>
        <w:numPr>
          <w:ilvl w:val="0"/>
          <w:numId w:val="2"/>
        </w:numPr>
        <w:spacing w:after="80"/>
      </w:pPr>
      <w:r>
        <w:rPr>
          <w:rFonts w:ascii="Arial" w:cs="Arial" w:eastAsia="Arial" w:hAnsi="Arial"/>
          <w:color w:val="4A4A4A"/>
          <w:sz w:val="22"/>
          <w:szCs w:val="22"/>
        </w:rPr>
        <w:t xml:space="preserve">Platform dependency — DocuSign could build this themselves.</w:t>
      </w:r>
    </w:p>
    <w:p>
      <w:pPr>
        <w:pStyle w:val="ListParagraph"/>
        <w:numPr>
          <w:ilvl w:val="0"/>
          <w:numId w:val="2"/>
        </w:numPr>
        <w:spacing w:after="80"/>
      </w:pPr>
      <w:r>
        <w:rPr>
          <w:rFonts w:ascii="Arial" w:cs="Arial" w:eastAsia="Arial" w:hAnsi="Arial"/>
          <w:color w:val="4A4A4A"/>
          <w:sz w:val="22"/>
          <w:szCs w:val="22"/>
        </w:rPr>
        <w:t xml:space="preserve">Marketplace approval timelines (can take months).</w:t>
      </w:r>
    </w:p>
    <w:p>
      <w:pPr>
        <w:pStyle w:val="ListParagraph"/>
        <w:numPr>
          <w:ilvl w:val="0"/>
          <w:numId w:val="2"/>
        </w:numPr>
        <w:spacing w:after="80"/>
      </w:pPr>
      <w:r>
        <w:rPr>
          <w:rFonts w:ascii="Arial" w:cs="Arial" w:eastAsia="Arial" w:hAnsi="Arial"/>
          <w:color w:val="4A4A4A"/>
          <w:sz w:val="22"/>
          <w:szCs w:val="22"/>
        </w:rPr>
        <w:t xml:space="preserve">Education/marketing challenge: convincing users a signed document needs more.</w:t>
      </w:r>
    </w:p>
    <w:p>
      <w:pPr>
        <w:spacing w:after="200" w:before="120"/>
      </w:pPr>
      <w:r>
        <w:rPr>
          <w:rFonts w:ascii="Arial" w:cs="Arial" w:eastAsia="Arial" w:hAnsi="Arial"/>
          <w:b/>
          <w:bCs/>
          <w:color w:val="2E75B6"/>
          <w:sz w:val="22"/>
          <w:szCs w:val="22"/>
        </w:rPr>
        <w:t xml:space="preserve">Verdict: </w:t>
      </w:r>
      <w:r>
        <w:rPr>
          <w:rFonts w:ascii="Arial" w:cs="Arial" w:eastAsia="Arial" w:hAnsi="Arial"/>
          <w:i/>
          <w:iCs/>
          <w:color w:val="4A4A4A"/>
          <w:sz w:val="22"/>
          <w:szCs w:val="22"/>
        </w:rPr>
        <w:t xml:space="preserve">Worth pursuing but not a primary strategy. Start with Adobe Sign (most developer-friendly API) and test market demand.</w:t>
      </w:r>
    </w:p>
    <w:p>
      <w:r>
        <w:br w:type="page"/>
      </w:r>
    </w:p>
    <w:p>
      <w:pPr>
        <w:pStyle w:val="Heading1"/>
      </w:pPr>
      <w:r>
        <w:t xml:space="preserve">Approach 6: Developer/OSS Seeding</w:t>
      </w:r>
    </w:p>
    <w:p>
      <w:pPr>
        <w:spacing w:after="160"/>
      </w:pPr>
      <w:r>
        <w:rPr>
          <w:rFonts w:ascii="Arial" w:cs="Arial" w:eastAsia="Arial" w:hAnsi="Arial"/>
          <w:b/>
          <w:bCs/>
          <w:color w:val="4A4A4A"/>
          <w:sz w:val="22"/>
          <w:szCs w:val="22"/>
        </w:rPr>
        <w:t xml:space="preserve">The idea: </w:t>
      </w:r>
      <w:r>
        <w:rPr>
          <w:rFonts w:ascii="Arial" w:cs="Arial" w:eastAsia="Arial" w:hAnsi="Arial"/>
          <w:color w:val="4A4A4A"/>
          <w:sz w:val="22"/>
          <w:szCs w:val="22"/>
        </w:rPr>
        <w:t xml:space="preserve">Anchor git commits, npm packages, Docker images, and software releases. The dev community already cares about supply chain integrity (SolarWinds, Log4j, XZ Utils). Offer a free tier that builds corpus and brand simultaneously.</w:t>
      </w:r>
    </w:p>
    <w:p>
      <w:pPr>
        <w:pStyle w:val="Heading2"/>
      </w:pPr>
      <w:r>
        <w:t xml:space="preserve">Competitive Landscape: Crowded</w:t>
      </w:r>
    </w:p>
    <w:p>
      <w:pPr>
        <w:spacing w:after="160"/>
      </w:pPr>
      <w:r>
        <w:rPr>
          <w:rFonts w:ascii="Arial" w:cs="Arial" w:eastAsia="Arial" w:hAnsi="Arial"/>
          <w:color w:val="4A4A4A"/>
          <w:sz w:val="22"/>
          <w:szCs w:val="22"/>
        </w:rPr>
        <w:t xml:space="preserve">Sigstore (backed by Linux Foundation/OpenSSF) provides keyless signing for containers and npm packages. The ecosystem has largely converged on Sigstore as the standard. Competing head-on would be unwise.</w:t>
      </w:r>
    </w:p>
    <w:p>
      <w:pPr>
        <w:pStyle w:val="Heading2"/>
      </w:pPr>
      <w:r>
        <w:t xml:space="preserve">Where Arkova Differentiates</w:t>
      </w:r>
    </w:p>
    <w:p>
      <w:pPr>
        <w:spacing w:after="160"/>
      </w:pPr>
      <w:r>
        <w:rPr>
          <w:rFonts w:ascii="Arial" w:cs="Arial" w:eastAsia="Arial" w:hAnsi="Arial"/>
          <w:color w:val="4A4A4A"/>
          <w:sz w:val="22"/>
          <w:szCs w:val="22"/>
        </w:rPr>
        <w:t xml:space="preserve">Sigstore uses a transparency log (Rekor) that is not Bitcoin-anchored. Arkova positions as a “second opinion” — an independent, Bitcoin-anchored verification layer on top of Sigstore. “Sigstore proves who signed it. Arkova proves when it existed.”</w:t>
      </w:r>
    </w:p>
    <w:p>
      <w:pPr>
        <w:spacing w:after="160"/>
      </w:pPr>
      <w:r>
        <w:rPr>
          <w:rFonts w:ascii="Arial" w:cs="Arial" w:eastAsia="Arial" w:hAnsi="Arial"/>
          <w:color w:val="4A4A4A"/>
          <w:sz w:val="22"/>
          <w:szCs w:val="22"/>
        </w:rPr>
        <w:t xml:space="preserve">Alternative: anchor the Sigstore transparency log itself — Arkova becomes the trust anchor for the trust anchor.</w:t>
      </w:r>
    </w:p>
    <w:p>
      <w:pPr>
        <w:pStyle w:val="Heading2"/>
      </w:pPr>
      <w:r>
        <w:t xml:space="preserve">Revenue Potential: Low (Direct), High (Strategic)</w:t>
      </w:r>
    </w:p>
    <w:p>
      <w:pPr>
        <w:spacing w:after="160"/>
      </w:pPr>
      <w:r>
        <w:rPr>
          <w:rFonts w:ascii="Arial" w:cs="Arial" w:eastAsia="Arial" w:hAnsi="Arial"/>
          <w:color w:val="4A4A4A"/>
          <w:sz w:val="22"/>
          <w:szCs w:val="22"/>
        </w:rPr>
        <w:t xml:space="preserve">Developers expect this to be free. Value comes from corpus building at massive scale, brand building in a technical community, and creating demand for the verification API from CI/CD pipelines.</w:t>
      </w:r>
    </w:p>
    <w:p>
      <w:pPr>
        <w:pStyle w:val="Heading2"/>
      </w:pPr>
      <w:r>
        <w:t xml:space="preserve">Risks</w:t>
      </w:r>
    </w:p>
    <w:p>
      <w:pPr>
        <w:pStyle w:val="ListParagraph"/>
        <w:numPr>
          <w:ilvl w:val="0"/>
          <w:numId w:val="2"/>
        </w:numPr>
        <w:spacing w:after="80"/>
      </w:pPr>
      <w:r>
        <w:rPr>
          <w:rFonts w:ascii="Arial" w:cs="Arial" w:eastAsia="Arial" w:hAnsi="Arial"/>
          <w:color w:val="4A4A4A"/>
          <w:sz w:val="22"/>
          <w:szCs w:val="22"/>
        </w:rPr>
        <w:t xml:space="preserve">Sigstore is well-funded and has ecosystem momentum.</w:t>
      </w:r>
    </w:p>
    <w:p>
      <w:pPr>
        <w:pStyle w:val="ListParagraph"/>
        <w:numPr>
          <w:ilvl w:val="0"/>
          <w:numId w:val="2"/>
        </w:numPr>
        <w:spacing w:after="80"/>
      </w:pPr>
      <w:r>
        <w:rPr>
          <w:rFonts w:ascii="Arial" w:cs="Arial" w:eastAsia="Arial" w:hAnsi="Arial"/>
          <w:color w:val="4A4A4A"/>
          <w:sz w:val="22"/>
          <w:szCs w:val="22"/>
        </w:rPr>
        <w:t xml:space="preserve">Free tier creates costs without direct revenue.</w:t>
      </w:r>
    </w:p>
    <w:p>
      <w:pPr>
        <w:pStyle w:val="ListParagraph"/>
        <w:numPr>
          <w:ilvl w:val="0"/>
          <w:numId w:val="2"/>
        </w:numPr>
        <w:spacing w:after="80"/>
      </w:pPr>
      <w:r>
        <w:rPr>
          <w:rFonts w:ascii="Arial" w:cs="Arial" w:eastAsia="Arial" w:hAnsi="Arial"/>
          <w:color w:val="4A4A4A"/>
          <w:sz w:val="22"/>
          <w:szCs w:val="22"/>
        </w:rPr>
        <w:t xml:space="preserve">Developer tools require ongoing maintenance and support.</w:t>
      </w:r>
    </w:p>
    <w:p>
      <w:pPr>
        <w:spacing w:after="200" w:before="120"/>
      </w:pPr>
      <w:r>
        <w:rPr>
          <w:rFonts w:ascii="Arial" w:cs="Arial" w:eastAsia="Arial" w:hAnsi="Arial"/>
          <w:b/>
          <w:bCs/>
          <w:color w:val="2E75B6"/>
          <w:sz w:val="22"/>
          <w:szCs w:val="22"/>
        </w:rPr>
        <w:t xml:space="preserve">Verdict: </w:t>
      </w:r>
      <w:r>
        <w:rPr>
          <w:rFonts w:ascii="Arial" w:cs="Arial" w:eastAsia="Arial" w:hAnsi="Arial"/>
          <w:i/>
          <w:iCs/>
          <w:color w:val="4A4A4A"/>
          <w:sz w:val="22"/>
          <w:szCs w:val="22"/>
        </w:rPr>
        <w:t xml:space="preserve">Don’t try to replace Sigstore. Build a lightweight integration that anchors Sigstore attestations to Bitcoin. Position as complementary, not competitive. Free tier with generous limits. Brand-building and corpus-building play, not a revenue play.</w:t>
      </w:r>
    </w:p>
    <w:p>
      <w:r>
        <w:br w:type="page"/>
      </w:r>
    </w:p>
    <w:p>
      <w:pPr>
        <w:pStyle w:val="Heading1"/>
      </w:pPr>
      <w:r>
        <w:t xml:space="preserve">Approach 7: News/Media Verification</w:t>
      </w:r>
    </w:p>
    <w:p>
      <w:pPr>
        <w:spacing w:after="160"/>
      </w:pPr>
      <w:r>
        <w:rPr>
          <w:rFonts w:ascii="Arial" w:cs="Arial" w:eastAsia="Arial" w:hAnsi="Arial"/>
          <w:b/>
          <w:bCs/>
          <w:color w:val="4A4A4A"/>
          <w:sz w:val="22"/>
          <w:szCs w:val="22"/>
        </w:rPr>
        <w:t xml:space="preserve">The idea: </w:t>
      </w:r>
      <w:r>
        <w:rPr>
          <w:rFonts w:ascii="Arial" w:cs="Arial" w:eastAsia="Arial" w:hAnsi="Arial"/>
          <w:color w:val="4A4A4A"/>
          <w:sz w:val="22"/>
          <w:szCs w:val="22"/>
        </w:rPr>
        <w:t xml:space="preserve">Partner with news organizations to anchor articles at publication time. In the deepfake era, proving “this article existed in this exact form at time X” has real value.</w:t>
      </w:r>
    </w:p>
    <w:p>
      <w:pPr>
        <w:pStyle w:val="Heading2"/>
      </w:pPr>
      <w:r>
        <w:t xml:space="preserve">Competitive Landscape: C2PA</w:t>
      </w:r>
    </w:p>
    <w:p>
      <w:pPr>
        <w:spacing w:after="160"/>
      </w:pPr>
      <w:r>
        <w:rPr>
          <w:rFonts w:ascii="Arial" w:cs="Arial" w:eastAsia="Arial" w:hAnsi="Arial"/>
          <w:color w:val="4A4A4A"/>
          <w:sz w:val="22"/>
          <w:szCs w:val="22"/>
        </w:rPr>
        <w:t xml:space="preserve">The Coalition for Content Provenance and Authenticity (C2PA) is backed by Adobe, Microsoft, Google, BBC, and others. It provides cryptographic metadata tracking content provenance from creation through editing. C2PA is comprehensive but complex.</w:t>
      </w:r>
    </w:p>
    <w:p>
      <w:pPr>
        <w:pStyle w:val="Heading2"/>
      </w:pPr>
      <w:r>
        <w:t xml:space="preserve">Where Arkova Differentiates</w:t>
      </w:r>
    </w:p>
    <w:p>
      <w:pPr>
        <w:spacing w:after="160"/>
      </w:pPr>
      <w:r>
        <w:rPr>
          <w:rFonts w:ascii="Arial" w:cs="Arial" w:eastAsia="Arial" w:hAnsi="Arial"/>
          <w:color w:val="4A4A4A"/>
          <w:sz w:val="22"/>
          <w:szCs w:val="22"/>
        </w:rPr>
        <w:t xml:space="preserve">Arkova offers something simpler: “This article existed in this exact form at this timestamp. Period.” No metadata chain, no hardware requirements. For smaller publishers who can’t implement C2PA, Arkova is the lightweight alternative. For larger publishers, Arkova complements C2PA with independent Bitcoin-anchored timestamps.</w:t>
      </w:r>
    </w:p>
    <w:p>
      <w:pPr>
        <w:pStyle w:val="Heading2"/>
      </w:pPr>
      <w:r>
        <w:t xml:space="preserve">Risks</w:t>
      </w:r>
    </w:p>
    <w:p>
      <w:pPr>
        <w:pStyle w:val="ListParagraph"/>
        <w:numPr>
          <w:ilvl w:val="0"/>
          <w:numId w:val="2"/>
        </w:numPr>
        <w:spacing w:after="80"/>
      </w:pPr>
      <w:r>
        <w:rPr>
          <w:rFonts w:ascii="Arial" w:cs="Arial" w:eastAsia="Arial" w:hAnsi="Arial"/>
          <w:color w:val="4A4A4A"/>
          <w:sz w:val="22"/>
          <w:szCs w:val="22"/>
        </w:rPr>
        <w:t xml:space="preserve">C2PA has massive momentum and industry backing.</w:t>
      </w:r>
    </w:p>
    <w:p>
      <w:pPr>
        <w:pStyle w:val="ListParagraph"/>
        <w:numPr>
          <w:ilvl w:val="0"/>
          <w:numId w:val="2"/>
        </w:numPr>
        <w:spacing w:after="80"/>
      </w:pPr>
      <w:r>
        <w:rPr>
          <w:rFonts w:ascii="Arial" w:cs="Arial" w:eastAsia="Arial" w:hAnsi="Arial"/>
          <w:color w:val="4A4A4A"/>
          <w:sz w:val="22"/>
          <w:szCs w:val="22"/>
        </w:rPr>
        <w:t xml:space="preserve">Unclear who pays for verification in the news ecosystem.</w:t>
      </w:r>
    </w:p>
    <w:p>
      <w:pPr>
        <w:pStyle w:val="ListParagraph"/>
        <w:numPr>
          <w:ilvl w:val="0"/>
          <w:numId w:val="2"/>
        </w:numPr>
        <w:spacing w:after="80"/>
      </w:pPr>
      <w:r>
        <w:rPr>
          <w:rFonts w:ascii="Arial" w:cs="Arial" w:eastAsia="Arial" w:hAnsi="Arial"/>
          <w:color w:val="4A4A4A"/>
          <w:sz w:val="22"/>
          <w:szCs w:val="22"/>
        </w:rPr>
        <w:t xml:space="preserve">Risk of politicization — “media verification” is a loaded topic.</w:t>
      </w:r>
    </w:p>
    <w:p>
      <w:pPr>
        <w:spacing w:after="200" w:before="120"/>
      </w:pPr>
      <w:r>
        <w:rPr>
          <w:rFonts w:ascii="Arial" w:cs="Arial" w:eastAsia="Arial" w:hAnsi="Arial"/>
          <w:b/>
          <w:bCs/>
          <w:color w:val="2E75B6"/>
          <w:sz w:val="22"/>
          <w:szCs w:val="22"/>
        </w:rPr>
        <w:t xml:space="preserve">Verdict: </w:t>
      </w:r>
      <w:r>
        <w:rPr>
          <w:rFonts w:ascii="Arial" w:cs="Arial" w:eastAsia="Arial" w:hAnsi="Arial"/>
          <w:i/>
          <w:iCs/>
          <w:color w:val="4A4A4A"/>
          <w:sz w:val="22"/>
          <w:szCs w:val="22"/>
        </w:rPr>
        <w:t xml:space="preserve">Worth a lightweight investment (WordPress plugin, open-source CMS integrations). Position as complementary to C2PA. Partner with one mid-tier news organization as a proof point.</w:t>
      </w:r>
    </w:p>
    <w:p>
      <w:r>
        <w:br w:type="page"/>
      </w:r>
    </w:p>
    <w:p>
      <w:pPr>
        <w:pStyle w:val="Heading1"/>
      </w:pPr>
      <w:r>
        <w:t xml:space="preserve">Synthesis: Recommended Priority Stack</w:t>
      </w:r>
    </w:p>
    <w:p>
      <w:pPr>
        <w:pStyle w:val="Heading2"/>
      </w:pPr>
      <w:r>
        <w:t xml:space="preserve">Phase 1: Build the Corpus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2500"/>
        <w:gridCol w:w="2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Investment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Corpus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Public Records Anchoring (SEC EDGAR, USPTO, Federal Register)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1–2 engineers, 4–6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10M+ documents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Open Data Partnerships (OpenAlex, Crossref, arXiv)</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BD + 1 engineer, ongoing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100M+ records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Developer/OSS Seeding (GitHub Action, npm hook)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1 engineer, 2–3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Variable, grows organically</w:t>
            </w:r>
          </w:p>
        </w:tc>
      </w:tr>
    </w:tbl>
    <w:p>
      <w:pPr>
        <w:spacing w:after="160"/>
      </w:pPr>
      <w:r>
        <w:rPr>
          <w:rFonts w:ascii="Arial" w:cs="Arial" w:eastAsia="Arial" w:hAnsi="Arial"/>
          <w:color w:val="4A4A4A"/>
          <w:sz w:val="22"/>
          <w:szCs w:val="22"/>
        </w:rPr>
        <w:t xml:space="preserve">#1 gives immediate, high-value corpus with zero partnership dependency. #2 amplifies the corpus and adds legitimacy through partnerships. #3 seeds the developer community that will build on the API.</w:t>
      </w:r>
    </w:p>
    <w:p>
      <w:pPr>
        <w:pStyle w:val="Heading2"/>
      </w:pPr>
      <w:r>
        <w:t xml:space="preserve">Phase 2: Build Distribution (Months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2500"/>
        <w:gridCol w:w="2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Investment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Impact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Agent-Initiated Anchoring (SDKs, DX, x402)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2 engineers, ongoing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Flywheel activation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E-Signature Integration (Adobe Sign first)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1 engineer, 6–8 weeks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Partnership-driven volume</w:t>
            </w:r>
          </w:p>
        </w:tc>
      </w:tr>
    </w:tbl>
    <w:p>
      <w:pPr>
        <w:spacing w:after="160"/>
      </w:pPr>
      <w:r>
        <w:rPr>
          <w:rFonts w:ascii="Arial" w:cs="Arial" w:eastAsia="Arial" w:hAnsi="Arial"/>
          <w:color w:val="4A4A4A"/>
          <w:sz w:val="22"/>
          <w:szCs w:val="22"/>
        </w:rPr>
        <w:t xml:space="preserve">By Phase 2, there’s a corpus worth verifying. Now invest in the tools that let agents and applications actually use it.</w:t>
      </w:r>
    </w:p>
    <w:p>
      <w:pPr>
        <w:pStyle w:val="Heading2"/>
      </w:pPr>
      <w:r>
        <w:t xml:space="preserve">Phase 3: Expand the Narrative (Months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2500"/>
        <w:gridCol w:w="2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Investment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Impact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News/Media Verification (CMS plugins)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1 engineer, 2–3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Brand/PR value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#7</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Web Archiving (partnership with Perma.cc)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BD + integration work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Niche revenue</w:t>
            </w:r>
          </w:p>
        </w:tc>
      </w:tr>
    </w:tbl>
    <w:p>
      <w:pPr>
        <w:pStyle w:val="Heading2"/>
      </w:pPr>
      <w:r>
        <w:t xml:space="preserve">Approach Combinations That Multiply</w:t>
      </w:r>
    </w:p>
    <w:p>
      <w:pPr>
        <w:spacing w:after="160"/>
      </w:pPr>
      <w:r>
        <w:rPr>
          <w:rFonts w:ascii="Arial" w:cs="Arial" w:eastAsia="Arial" w:hAnsi="Arial"/>
          <w:b/>
          <w:bCs/>
          <w:color w:val="1B2A4A"/>
          <w:sz w:val="22"/>
          <w:szCs w:val="22"/>
        </w:rPr>
        <w:t xml:space="preserve">Public Records + Agent Anchoring: </w:t>
      </w:r>
      <w:r>
        <w:rPr>
          <w:rFonts w:ascii="Arial" w:cs="Arial" w:eastAsia="Arial" w:hAnsi="Arial"/>
          <w:color w:val="4A4A4A"/>
          <w:sz w:val="22"/>
          <w:szCs w:val="22"/>
        </w:rPr>
        <w:t xml:space="preserve">Seed the corpus with public records, then let agents both verify those records AND anchor their own analysis. A financial agent verifies an SEC filing, generates an analysis, anchors the analysis, and another agent later verifies it. Two verification calls from one original anchor.</w:t>
      </w:r>
    </w:p>
    <w:p>
      <w:pPr>
        <w:spacing w:after="160"/>
      </w:pPr>
      <w:r>
        <w:rPr>
          <w:rFonts w:ascii="Arial" w:cs="Arial" w:eastAsia="Arial" w:hAnsi="Arial"/>
          <w:b/>
          <w:bCs/>
          <w:color w:val="1B2A4A"/>
          <w:sz w:val="22"/>
          <w:szCs w:val="22"/>
        </w:rPr>
        <w:t xml:space="preserve">Open Data Partnerships + Developer Seeding: </w:t>
      </w:r>
      <w:r>
        <w:rPr>
          <w:rFonts w:ascii="Arial" w:cs="Arial" w:eastAsia="Arial" w:hAnsi="Arial"/>
          <w:color w:val="4A4A4A"/>
          <w:sz w:val="22"/>
          <w:szCs w:val="22"/>
        </w:rPr>
        <w:t xml:space="preserve">Academic paper anchoring (OpenAlex) + a Python library that researchers can use to verify papers in their workflows. The academic community becomes both a source and a consumer.</w:t>
      </w:r>
    </w:p>
    <w:p>
      <w:pPr>
        <w:spacing w:after="160"/>
      </w:pPr>
      <w:r>
        <w:rPr>
          <w:rFonts w:ascii="Arial" w:cs="Arial" w:eastAsia="Arial" w:hAnsi="Arial"/>
          <w:b/>
          <w:bCs/>
          <w:color w:val="1B2A4A"/>
          <w:sz w:val="22"/>
          <w:szCs w:val="22"/>
        </w:rPr>
        <w:t xml:space="preserve">E-Signature Integration + Agent Verification: </w:t>
      </w:r>
      <w:r>
        <w:rPr>
          <w:rFonts w:ascii="Arial" w:cs="Arial" w:eastAsia="Arial" w:hAnsi="Arial"/>
          <w:color w:val="4A4A4A"/>
          <w:sz w:val="22"/>
          <w:szCs w:val="22"/>
        </w:rPr>
        <w:t xml:space="preserve">Documents anchored at signing time become verifiable by AI agents during contract review.</w:t>
      </w:r>
    </w:p>
    <w:p>
      <w:r>
        <w:br w:type="page"/>
      </w:r>
    </w:p>
    <w:p>
      <w:pPr>
        <w:pStyle w:val="Heading1"/>
      </w:pPr>
      <w:r>
        <w:t xml:space="preserve">The Underlying Economic Insight</w:t>
      </w:r>
    </w:p>
    <w:p>
      <w:pPr>
        <w:spacing w:after="160"/>
      </w:pPr>
      <w:r>
        <w:rPr>
          <w:rFonts w:ascii="Arial" w:cs="Arial" w:eastAsia="Arial" w:hAnsi="Arial"/>
          <w:b/>
          <w:bCs/>
          <w:color w:val="1B2A4A"/>
          <w:sz w:val="22"/>
          <w:szCs w:val="22"/>
        </w:rPr>
        <w:t xml:space="preserve">Anchoring public data is not a cost center — it’s inventory.</w:t>
      </w:r>
    </w:p>
    <w:p>
      <w:pPr>
        <w:spacing w:after="160"/>
      </w:pPr>
      <w:r>
        <w:rPr>
          <w:rFonts w:ascii="Arial" w:cs="Arial" w:eastAsia="Arial" w:hAnsi="Arial"/>
          <w:color w:val="4A4A4A"/>
          <w:sz w:val="22"/>
          <w:szCs w:val="22"/>
        </w:rPr>
        <w:t xml:space="preserve">Every anchored document is a potential verification call. Every verification call generates micropayment revenue. The cost of anchoring (Bitcoin tx fees, amortized across batch Merkle trees) is pennies per document. The revenue per verification call is orders of magnitude higher.</w:t>
      </w:r>
    </w:p>
    <w:p>
      <w:pPr>
        <w:spacing w:after="160"/>
      </w:pPr>
      <w:r>
        <w:rPr>
          <w:rFonts w:ascii="Arial" w:cs="Arial" w:eastAsia="Arial" w:hAnsi="Arial"/>
          <w:color w:val="4A4A4A"/>
          <w:sz w:val="22"/>
          <w:szCs w:val="22"/>
        </w:rPr>
        <w:t xml:space="preserve">You’re not “scraping to build a corpus.” You’re pre-stocking the shelves of a store that agents will shop at. The more inventory you have, the more valuable each visit becomes.</w:t>
      </w:r>
    </w:p>
    <w:p>
      <w:pPr>
        <w:spacing w:after="160"/>
      </w:pPr>
      <w:r>
        <w:rPr>
          <w:rFonts w:ascii="Arial" w:cs="Arial" w:eastAsia="Arial" w:hAnsi="Arial"/>
          <w:color w:val="4A4A4A"/>
          <w:sz w:val="22"/>
          <w:szCs w:val="22"/>
        </w:rPr>
        <w:t xml:space="preserve">This reframe also addresses the “staying true to your roots” concern: Arkova isn’t storing or controlling anyone’s documents. It’s creating a public, Bitcoin-anchored index of document fingerprints. Anyone can verify. No one can tamper. That’s the non-custodial ethos applied at ecosystem scale.</w:t>
      </w:r>
    </w:p>
    <w:p>
      <w:r>
        <w:br w:type="page"/>
      </w:r>
    </w:p>
    <w:p>
      <w:pPr>
        <w:pStyle w:val="Heading1"/>
      </w:pPr>
      <w:r>
        <w:t xml:space="preserve">Specific Next Steps</w:t>
      </w:r>
    </w:p>
    <w:p>
      <w:pPr>
        <w:pStyle w:val="ListParagraph"/>
        <w:numPr>
          <w:ilvl w:val="0"/>
          <w:numId w:val="3"/>
        </w:numPr>
        <w:spacing w:after="80"/>
      </w:pPr>
      <w:r>
        <w:rPr>
          <w:rFonts w:ascii="Arial" w:cs="Arial" w:eastAsia="Arial" w:hAnsi="Arial"/>
          <w:b/>
          <w:bCs/>
          <w:color w:val="1B2A4A"/>
          <w:sz w:val="22"/>
          <w:szCs w:val="22"/>
        </w:rPr>
        <w:t xml:space="preserve">This week: </w:t>
      </w:r>
      <w:r>
        <w:rPr>
          <w:rFonts w:ascii="Arial" w:cs="Arial" w:eastAsia="Arial" w:hAnsi="Arial"/>
          <w:color w:val="4A4A4A"/>
          <w:sz w:val="22"/>
          <w:szCs w:val="22"/>
        </w:rPr>
        <w:t xml:space="preserve">Stand up an EDGAR scraper. Start with the most recent 12 months of 10-K and 10-Q filings. Anchor them in batch. This gives a demo-ready corpus for every investor and partner meeting.</w:t>
      </w:r>
    </w:p>
    <w:p>
      <w:pPr>
        <w:pStyle w:val="ListParagraph"/>
        <w:numPr>
          <w:ilvl w:val="0"/>
          <w:numId w:val="3"/>
        </w:numPr>
        <w:spacing w:after="80"/>
      </w:pPr>
      <w:r>
        <w:rPr>
          <w:rFonts w:ascii="Arial" w:cs="Arial" w:eastAsia="Arial" w:hAnsi="Arial"/>
          <w:b/>
          <w:bCs/>
          <w:color w:val="1B2A4A"/>
          <w:sz w:val="22"/>
          <w:szCs w:val="22"/>
        </w:rPr>
        <w:t xml:space="preserve">This month: </w:t>
      </w:r>
      <w:r>
        <w:rPr>
          <w:rFonts w:ascii="Arial" w:cs="Arial" w:eastAsia="Arial" w:hAnsi="Arial"/>
          <w:color w:val="4A4A4A"/>
          <w:sz w:val="22"/>
          <w:szCs w:val="22"/>
        </w:rPr>
        <w:t xml:space="preserve">Reach out to OpenAlex. Their team is small, academic-minded, and likely receptive to a “we’ll add a verification layer to your data for free” pitch.</w:t>
      </w:r>
    </w:p>
    <w:p>
      <w:pPr>
        <w:pStyle w:val="ListParagraph"/>
        <w:numPr>
          <w:ilvl w:val="0"/>
          <w:numId w:val="3"/>
        </w:numPr>
        <w:spacing w:after="80"/>
      </w:pPr>
      <w:r>
        <w:rPr>
          <w:rFonts w:ascii="Arial" w:cs="Arial" w:eastAsia="Arial" w:hAnsi="Arial"/>
          <w:b/>
          <w:bCs/>
          <w:color w:val="1B2A4A"/>
          <w:sz w:val="22"/>
          <w:szCs w:val="22"/>
        </w:rPr>
        <w:t xml:space="preserve">This quarter: </w:t>
      </w:r>
      <w:r>
        <w:rPr>
          <w:rFonts w:ascii="Arial" w:cs="Arial" w:eastAsia="Arial" w:hAnsi="Arial"/>
          <w:color w:val="4A4A4A"/>
          <w:sz w:val="22"/>
          <w:szCs w:val="22"/>
        </w:rPr>
        <w:t xml:space="preserve">Ship the Python SDK and GitHub Action. Get them in front of the security-conscious OSS community. Write a blog post: “We anchored every SEC filing from 2024 to Bitcoin. Here’s why.”</w:t>
      </w:r>
    </w:p>
    <w:p>
      <w:pPr>
        <w:pStyle w:val="ListParagraph"/>
        <w:numPr>
          <w:ilvl w:val="0"/>
          <w:numId w:val="3"/>
        </w:numPr>
        <w:spacing w:after="80"/>
      </w:pPr>
      <w:r>
        <w:rPr>
          <w:rFonts w:ascii="Arial" w:cs="Arial" w:eastAsia="Arial" w:hAnsi="Arial"/>
          <w:b/>
          <w:bCs/>
          <w:color w:val="1B2A4A"/>
          <w:sz w:val="22"/>
          <w:szCs w:val="22"/>
        </w:rPr>
        <w:t xml:space="preserve">Ongoing: </w:t>
      </w:r>
      <w:r>
        <w:rPr>
          <w:rFonts w:ascii="Arial" w:cs="Arial" w:eastAsia="Arial" w:hAnsi="Arial"/>
          <w:color w:val="4A4A4A"/>
          <w:sz w:val="22"/>
          <w:szCs w:val="22"/>
        </w:rPr>
        <w:t xml:space="preserve">Every time a new data source is added, announce it. Each announcement is a PR opportunity and a reason for developers to check out the API.</w:t>
      </w:r>
    </w:p>
    <w:p>
      <w:pPr>
        <w:spacing w:before="400"/>
      </w:pPr>
    </w:p>
    <w:p>
      <w:pPr>
        <w:pBdr>
          <w:top w:val="single" w:color="2E75B6" w:sz="4" w:space="1"/>
        </w:pBdr>
        <w:spacing w:after="100" w:before="200"/>
      </w:pPr>
    </w:p>
    <w:p>
      <w:pPr>
        <w:spacing w:after="160"/>
      </w:pPr>
      <w:r>
        <w:rPr>
          <w:rFonts w:ascii="Arial" w:cs="Arial" w:eastAsia="Arial" w:hAnsi="Arial"/>
          <w:i/>
          <w:iCs/>
          <w:color w:val="4A4A4A"/>
          <w:sz w:val="22"/>
          <w:szCs w:val="22"/>
        </w:rPr>
        <w:t xml:space="preserve">The cold-start problem isn’t actually about customers. It’s about inventory. Build the inventory first. The customers — and the agents — will come to verify it.</w:t>
      </w:r>
    </w:p>
    <w:p>
      <w:pPr>
        <w:spacing w:before="200"/>
      </w:pPr>
    </w:p>
    <w:p>
      <w:pPr>
        <w:spacing w:after="160"/>
      </w:pPr>
      <w:r>
        <w:rPr>
          <w:rFonts w:ascii="Arial" w:cs="Arial" w:eastAsia="Arial" w:hAnsi="Arial"/>
          <w:i/>
          <w:iCs/>
          <w:color w:val="4A4A4A"/>
          <w:sz w:val="22"/>
          <w:szCs w:val="22"/>
        </w:rPr>
        <w:t xml:space="preserve">Analysis prepared for Carson, Arkova.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b/>
        <w:bCs/>
        <w:color w:val="2E75B6"/>
        <w:sz w:val="18"/>
        <w:szCs w:val="18"/>
      </w:rPr>
      <w:t xml:space="preserve">Arkova</w:t>
    </w:r>
    <w:r>
      <w:rPr>
        <w:rFonts w:ascii="Arial" w:cs="Arial" w:eastAsia="Arial" w:hAnsi="Arial"/>
        <w:color w:val="4A4A4A"/>
        <w:sz w:val="18"/>
        <w:szCs w:val="18"/>
      </w:rPr>
      <w:t xml:space="preserve">	Verification Bootstrap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2026-03-21T19:53:22.378Z</dcterms:created>
  <dcterms:modified xsi:type="dcterms:W3CDTF">2026-03-21T19:53:22.378Z</dcterms:modified>
</cp:coreProperties>
</file>

<file path=docProps/custom.xml><?xml version="1.0" encoding="utf-8"?>
<Properties xmlns="http://schemas.openxmlformats.org/officeDocument/2006/custom-properties" xmlns:vt="http://schemas.openxmlformats.org/officeDocument/2006/docPropsVTypes"/>
</file>