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before="1200"/>
        <w:jc w:val="center"/>
      </w:pPr>
      <w:r>
        <w:rPr>
          <w:rFonts w:ascii="Arial" w:cs="Arial" w:eastAsia="Arial" w:hAnsi="Arial"/>
          <w:b/>
          <w:bCs/>
          <w:color w:val="2B5797"/>
          <w:sz w:val="72"/>
          <w:szCs w:val="72"/>
        </w:rPr>
        <w:t xml:space="preserve">ARKOVA</w:t>
      </w:r>
    </w:p>
    <w:p>
      <w:pPr>
        <w:spacing w:after="100" w:before="200"/>
        <w:jc w:val="center"/>
      </w:pPr>
      <w:r>
        <w:rPr>
          <w:rFonts w:ascii="Arial" w:cs="Arial" w:eastAsia="Arial" w:hAnsi="Arial"/>
          <w:color w:val="333333"/>
          <w:sz w:val="36"/>
          <w:szCs w:val="36"/>
        </w:rPr>
        <w:t xml:space="preserve">Master Strategy &amp; Implementation Plan</w:t>
      </w:r>
    </w:p>
    <w:p>
      <w:pPr>
        <w:spacing w:after="100" w:before="100"/>
        <w:jc w:val="center"/>
      </w:pPr>
      <w:r>
        <w:rPr>
          <w:rFonts w:ascii="Arial" w:cs="Arial" w:eastAsia="Arial" w:hAnsi="Arial"/>
          <w:color w:val="333333"/>
          <w:sz w:val="36"/>
          <w:szCs w:val="36"/>
        </w:rPr>
        <w:t xml:space="preserve">(Complete)</w:t>
      </w:r>
    </w:p>
    <w:p>
      <w:pPr>
        <w:pBdr>
          <w:bottom w:val="single" w:color="2B5797" w:sz="6" w:space="1"/>
        </w:pBdr>
        <w:spacing w:after="200" w:before="400"/>
        <w:jc w:val="center"/>
      </w:pPr>
      <w:r>
        <w:rPr>
          <w:sz w:val="10"/>
          <w:szCs w:val="10"/>
        </w:rPr>
        <w:t xml:space="preserve"> </w:t>
      </w:r>
    </w:p>
    <w:p>
      <w:pPr>
        <w:spacing w:after="100" w:before="400"/>
        <w:jc w:val="center"/>
      </w:pPr>
      <w:r>
        <w:rPr>
          <w:rFonts w:ascii="Arial" w:cs="Arial" w:eastAsia="Arial" w:hAnsi="Arial"/>
          <w:i/>
          <w:iCs/>
          <w:color w:val="555555"/>
          <w:sz w:val="28"/>
          <w:szCs w:val="28"/>
        </w:rPr>
        <w:t xml:space="preserve">Autonomous Compliance Infrastructure</w:t>
      </w:r>
    </w:p>
    <w:p>
      <w:pPr>
        <w:spacing w:after="100" w:before="100"/>
        <w:jc w:val="center"/>
      </w:pPr>
      <w:r>
        <w:rPr>
          <w:rFonts w:ascii="Arial" w:cs="Arial" w:eastAsia="Arial" w:hAnsi="Arial"/>
          <w:color w:val="555555"/>
          <w:sz w:val="24"/>
          <w:szCs w:val="24"/>
        </w:rPr>
        <w:t xml:space="preserve">All Workstreams | March 2026</w:t>
      </w:r>
    </w:p>
    <w:p>
      <w:pPr>
        <w:spacing w:after="100" w:before="600"/>
        <w:jc w:val="center"/>
      </w:pPr>
      <w:r>
        <w:rPr>
          <w:rFonts w:ascii="Arial" w:cs="Arial" w:eastAsia="Arial" w:hAnsi="Arial"/>
          <w:b/>
          <w:bCs/>
          <w:color w:val="CC0000"/>
          <w:sz w:val="24"/>
          <w:szCs w:val="24"/>
        </w:rPr>
        <w:t xml:space="preserve">DRAFT — CONFIDENTIAL</w:t>
      </w:r>
    </w:p>
    <w:p>
      <w:r>
        <w:br w:type="page"/>
      </w:r>
    </w:p>
    <w:p>
      <w:pPr>
        <w:spacing w:after="400" w:before="400"/>
        <w:jc w:val="center"/>
      </w:pPr>
      <w:r>
        <w:rPr>
          <w:rFonts w:ascii="Arial" w:cs="Arial" w:eastAsia="Arial" w:hAnsi="Arial"/>
          <w:b/>
          <w:bCs/>
          <w:color w:val="2B5797"/>
          <w:sz w:val="36"/>
          <w:szCs w:val="36"/>
        </w:rPr>
        <w:t xml:space="preserve">TABLE OF CONTENTS</w:t>
      </w:r>
    </w:p>
    <w:p>
      <w:pPr>
        <w:spacing w:after="120" w:before="120"/>
      </w:pPr>
      <w:r>
        <w:rPr>
          <w:rFonts w:ascii="Arial" w:cs="Arial" w:eastAsia="Arial" w:hAnsi="Arial"/>
          <w:sz w:val="24"/>
          <w:szCs w:val="24"/>
        </w:rPr>
        <w:t xml:space="preserve">Part 1: Strategic Roadmap &amp; x402 Implementation</w:t>
      </w:r>
    </w:p>
    <w:p>
      <w:pPr>
        <w:spacing w:after="120" w:before="120"/>
      </w:pPr>
      <w:r>
        <w:rPr>
          <w:rFonts w:ascii="Arial" w:cs="Arial" w:eastAsia="Arial" w:hAnsi="Arial"/>
          <w:sz w:val="24"/>
          <w:szCs w:val="24"/>
        </w:rPr>
        <w:t xml:space="preserve">Part 2: Nessie — Verified Intelligence Deep Dive</w:t>
      </w:r>
    </w:p>
    <w:p>
      <w:pPr>
        <w:spacing w:after="120" w:before="120"/>
      </w:pPr>
      <w:r>
        <w:rPr>
          <w:rFonts w:ascii="Arial" w:cs="Arial" w:eastAsia="Arial" w:hAnsi="Arial"/>
          <w:sz w:val="24"/>
          <w:szCs w:val="24"/>
        </w:rPr>
        <w:t xml:space="preserve">Part 3: Verification Bootstrap — 7 Approaches Deep Dive</w:t>
      </w:r>
    </w:p>
    <w:p>
      <w:pPr>
        <w:spacing w:after="120" w:before="120"/>
      </w:pPr>
      <w:r>
        <w:rPr>
          <w:rFonts w:ascii="Arial" w:cs="Arial" w:eastAsia="Arial" w:hAnsi="Arial"/>
          <w:sz w:val="24"/>
          <w:szCs w:val="24"/>
        </w:rPr>
        <w:t xml:space="preserve">Part 4: Global Data Source Registry</w:t>
      </w:r>
    </w:p>
    <w:p>
      <w:pPr>
        <w:spacing w:after="120" w:before="120"/>
      </w:pPr>
      <w:r>
        <w:rPr>
          <w:rFonts w:ascii="Arial" w:cs="Arial" w:eastAsia="Arial" w:hAnsi="Arial"/>
          <w:sz w:val="24"/>
          <w:szCs w:val="24"/>
        </w:rPr>
        <w:t xml:space="preserve">Part 5: Document Alignment Audit</w:t>
      </w:r>
    </w:p>
    <w:p>
      <w:pPr>
        <w:spacing w:after="120" w:before="120"/>
      </w:pPr>
      <w:r>
        <w:rPr>
          <w:rFonts w:ascii="Arial" w:cs="Arial" w:eastAsia="Arial" w:hAnsi="Arial"/>
          <w:sz w:val="24"/>
          <w:szCs w:val="24"/>
        </w:rPr>
        <w:t xml:space="preserve">References &amp; Sources</w:t>
      </w:r>
    </w:p>
    <w:p>
      <w:r>
        <w:br w:type="page"/>
      </w:r>
    </w:p>
    <w:p>
      <w:pPr>
        <w:spacing w:after="200" w:before="2400"/>
        <w:jc w:val="center"/>
      </w:pPr>
      <w:r>
        <w:rPr>
          <w:rFonts w:ascii="Arial" w:cs="Arial" w:eastAsia="Arial" w:hAnsi="Arial"/>
          <w:b/>
          <w:bCs/>
          <w:color w:val="2B5797"/>
          <w:sz w:val="48"/>
          <w:szCs w:val="48"/>
        </w:rPr>
        <w:t xml:space="preserve">PART 1</w:t>
      </w:r>
    </w:p>
    <w:p>
      <w:pPr>
        <w:spacing w:after="100" w:before="200"/>
        <w:jc w:val="center"/>
      </w:pPr>
      <w:r>
        <w:rPr>
          <w:rFonts w:ascii="Arial" w:cs="Arial" w:eastAsia="Arial" w:hAnsi="Arial"/>
          <w:b/>
          <w:bCs/>
          <w:color w:val="333333"/>
          <w:sz w:val="36"/>
          <w:szCs w:val="36"/>
        </w:rPr>
        <w:t xml:space="preserve">Strategic Roadmap &amp; x402 Implementation</w:t>
      </w:r>
    </w:p>
    <w:p>
      <w:pPr>
        <w:spacing w:after="600" w:before="100"/>
        <w:jc w:val="center"/>
      </w:pPr>
      <w:r>
        <w:rPr>
          <w:rFonts w:ascii="Arial" w:cs="Arial" w:eastAsia="Arial" w:hAnsi="Arial"/>
          <w:i/>
          <w:iCs/>
          <w:color w:val="666666"/>
          <w:sz w:val="24"/>
          <w:szCs w:val="24"/>
        </w:rPr>
        <w:t xml:space="preserve">Source: Arkova-Strategic-Roadmap-v2.docx</w:t>
      </w:r>
    </w:p>
    <w:p>
      <w:pPr>
        <w:pBdr>
          <w:bottom w:val="single" w:color="2B5797" w:sz="6" w:space="1"/>
        </w:pBdr>
        <w:spacing w:after="400" w:before="200"/>
        <w:jc w:val="center"/>
      </w:pPr>
      <w:r>
        <w:rPr>
          <w:sz w:val="10"/>
          <w:szCs w:val="10"/>
        </w:rPr>
        <w:t xml:space="preserve"> </w:t>
      </w:r>
    </w:p>
    <w:p>
      <w:pPr>
        <w:spacing w:after="80" w:before="80"/>
      </w:pPr>
      <w:r>
        <w:rPr>
          <w:rFonts w:ascii="Arial" w:cs="Arial" w:eastAsia="Arial" w:hAnsi="Arial"/>
          <w:b/>
          <w:bCs/>
          <w:color w:val="000000"/>
          <w:sz w:val="20"/>
          <w:szCs w:val="20"/>
        </w:rPr>
        <w:t xml:space="preserve">ARKOVA</w:t>
      </w:r>
    </w:p>
    <w:p>
      <w:pPr>
        <w:spacing w:after="80" w:before="80"/>
      </w:pPr>
      <w:r>
        <w:rPr>
          <w:rFonts w:ascii="Arial" w:cs="Arial" w:eastAsia="Arial" w:hAnsi="Arial"/>
          <w:color w:val="000000"/>
          <w:sz w:val="20"/>
          <w:szCs w:val="20"/>
        </w:rPr>
        <w:t xml:space="preserve">Autonomous Compliance Infrastructure</w:t>
      </w:r>
    </w:p>
    <w:p>
      <w:pPr>
        <w:spacing w:after="80" w:before="80"/>
      </w:pPr>
      <w:r>
        <w:rPr>
          <w:rFonts w:ascii="Arial" w:cs="Arial" w:eastAsia="Arial" w:hAnsi="Arial"/>
          <w:i/>
          <w:iCs/>
          <w:color w:val="000000"/>
          <w:sz w:val="20"/>
          <w:szCs w:val="20"/>
        </w:rPr>
        <w:t xml:space="preserve">Powered by Nessie --- The Verified Intelligence Engine</w:t>
      </w:r>
    </w:p>
    <w:p>
      <w:pPr>
        <w:spacing w:after="80" w:before="80"/>
      </w:pPr>
      <w:r>
        <w:rPr>
          <w:rFonts w:ascii="Arial" w:cs="Arial" w:eastAsia="Arial" w:hAnsi="Arial"/>
          <w:color w:val="000000"/>
          <w:sz w:val="20"/>
          <w:szCs w:val="20"/>
        </w:rPr>
        <w:t xml:space="preserve">Strategic Roadmap &amp; Implementation Plan</w:t>
      </w:r>
    </w:p>
    <w:p>
      <w:pPr>
        <w:spacing w:after="80" w:before="80"/>
      </w:pPr>
      <w:r>
        <w:rPr>
          <w:rFonts w:ascii="Arial" w:cs="Arial" w:eastAsia="Arial" w:hAnsi="Arial"/>
          <w:color w:val="000000"/>
          <w:sz w:val="20"/>
          <w:szCs w:val="20"/>
        </w:rPr>
        <w:t xml:space="preserve">Version 2.0 | March 2026</w:t>
      </w:r>
    </w:p>
    <w:p>
      <w:pPr>
        <w:spacing w:after="80" w:before="80"/>
      </w:pPr>
      <w:r>
        <w:rPr>
          <w:rFonts w:ascii="Arial" w:cs="Arial" w:eastAsia="Arial" w:hAnsi="Arial"/>
          <w:b/>
          <w:bCs/>
          <w:color w:val="000000"/>
          <w:sz w:val="20"/>
          <w:szCs w:val="20"/>
        </w:rPr>
        <w:t xml:space="preserve">DRAFT --- CONFIDENTIAL</w:t>
      </w:r>
    </w:p>
    <w:p>
      <w:pPr>
        <w:spacing w:after="80" w:before="80"/>
      </w:pPr>
      <w:r>
        <w:rPr>
          <w:rFonts w:ascii="Arial" w:cs="Arial" w:eastAsia="Arial" w:hAnsi="Arial"/>
          <w:color w:val="000000"/>
          <w:sz w:val="20"/>
          <w:szCs w:val="20"/>
        </w:rPr>
        <w:t xml:space="preserve">Table of Contents</w:t>
      </w:r>
    </w:p>
    <w:p>
      <w:pPr>
        <w:spacing w:after="80" w:before="80"/>
      </w:pPr>
      <w:r>
        <w:rPr>
          <w:rFonts w:ascii="Arial" w:cs="Arial" w:eastAsia="Arial" w:hAnsi="Arial"/>
          <w:color w:val="000000"/>
          <w:sz w:val="20"/>
          <w:szCs w:val="20"/>
        </w:rPr>
        <w:t xml:space="preserve">Executive Summary</w:t>
      </w:r>
    </w:p>
    <w:p>
      <w:pPr>
        <w:spacing w:after="80" w:before="80"/>
      </w:pPr>
      <w:r>
        <w:rPr>
          <w:rFonts w:ascii="Arial" w:cs="Arial" w:eastAsia="Arial" w:hAnsi="Arial"/>
          <w:color w:val="000000"/>
          <w:sz w:val="20"/>
          <w:szCs w:val="20"/>
        </w:rPr>
        <w:t xml:space="preserve">Arkova is building autonomous compliance infrastructure to replace manual compliance processes with AI-powered, cryptographically verified automation that operates 24/7 across every jurisdiction. Every verification is backed by Bitcoin-anchored evidence, providing immutable proof of regulatory status.</w:t>
      </w:r>
    </w:p>
    <w:p>
      <w:pPr>
        <w:spacing w:after="80" w:before="80"/>
      </w:pPr>
      <w:r>
        <w:rPr>
          <w:rFonts w:ascii="Arial" w:cs="Arial" w:eastAsia="Arial" w:hAnsi="Arial"/>
          <w:color w:val="000000"/>
          <w:sz w:val="20"/>
          <w:szCs w:val="20"/>
        </w:rPr>
        <w:t xml:space="preserve">The platform rests on three strategic pillars:</w:t>
      </w:r>
    </w:p>
    <w:p>
      <w:pPr>
        <w:pStyle w:val="ListParagraph"/>
        <w:numPr>
          <w:ilvl w:val="0"/>
          <w:numId w:val="2"/>
        </w:numPr>
        <w:spacing w:after="60" w:before="60"/>
      </w:pPr>
      <w:r>
        <w:rPr>
          <w:rFonts w:ascii="Arial" w:cs="Arial" w:eastAsia="Arial" w:hAnsi="Arial"/>
          <w:b/>
          <w:bCs/>
          <w:color w:val="000000"/>
          <w:sz w:val="20"/>
          <w:szCs w:val="20"/>
        </w:rPr>
        <w:t xml:space="preserve">Anchored Verification:</w:t>
      </w:r>
      <w:r>
        <w:rPr>
          <w:rFonts w:ascii="Arial" w:cs="Arial" w:eastAsia="Arial" w:hAnsi="Arial"/>
          <w:color w:val="000000"/>
          <w:sz w:val="20"/>
          <w:szCs w:val="20"/>
        </w:rPr>
        <w:t xml:space="preserve"> Bitcoin-timestamped proof of document existence and regulatory filings, providing a tamper-proof foundation for compliance evidence.</w:t>
      </w:r>
    </w:p>
    <w:p>
      <w:pPr>
        <w:pStyle w:val="ListParagraph"/>
        <w:numPr>
          <w:ilvl w:val="0"/>
          <w:numId w:val="2"/>
        </w:numPr>
        <w:spacing w:after="60" w:before="60"/>
      </w:pPr>
      <w:r>
        <w:rPr>
          <w:rFonts w:ascii="Arial" w:cs="Arial" w:eastAsia="Arial" w:hAnsi="Arial"/>
          <w:b/>
          <w:bCs/>
          <w:color w:val="000000"/>
          <w:sz w:val="20"/>
          <w:szCs w:val="20"/>
        </w:rPr>
        <w:t xml:space="preserve">Verified Intelligence (Nessie):</w:t>
      </w:r>
      <w:r>
        <w:rPr>
          <w:rFonts w:ascii="Arial" w:cs="Arial" w:eastAsia="Arial" w:hAnsi="Arial"/>
          <w:color w:val="000000"/>
          <w:sz w:val="20"/>
          <w:szCs w:val="20"/>
        </w:rPr>
        <w:t xml:space="preserve"> Arkova's domain-specific language model trained on cryptographically verified data --- the only language model with provably authentic training data. Nessie enables regulatory reasoning, compliance checking, and multi-jurisdiction intelligence.</w:t>
      </w:r>
    </w:p>
    <w:p>
      <w:pPr>
        <w:pStyle w:val="ListParagraph"/>
        <w:numPr>
          <w:ilvl w:val="0"/>
          <w:numId w:val="2"/>
        </w:numPr>
        <w:spacing w:after="60" w:before="60"/>
      </w:pPr>
      <w:r>
        <w:rPr>
          <w:rFonts w:ascii="Arial" w:cs="Arial" w:eastAsia="Arial" w:hAnsi="Arial"/>
          <w:b/>
          <w:bCs/>
          <w:color w:val="000000"/>
          <w:sz w:val="20"/>
          <w:szCs w:val="20"/>
        </w:rPr>
        <w:t xml:space="preserve">Global Regulatory Coverage:</w:t>
      </w:r>
      <w:r>
        <w:rPr>
          <w:rFonts w:ascii="Arial" w:cs="Arial" w:eastAsia="Arial" w:hAnsi="Arial"/>
          <w:color w:val="000000"/>
          <w:sz w:val="20"/>
          <w:szCs w:val="20"/>
        </w:rPr>
        <w:t xml:space="preserve"> Systematic ingestion and anchoring of regulatory documents from 30+ jurisdictions, creating the world's most comprehensive verified regulatory corpus.</w:t>
      </w:r>
    </w:p>
    <w:p>
      <w:pPr>
        <w:spacing w:after="80" w:before="80"/>
      </w:pPr>
      <w:r>
        <w:rPr>
          <w:rFonts w:ascii="Arial" w:cs="Arial" w:eastAsia="Arial" w:hAnsi="Arial"/>
          <w:b/>
          <w:bCs/>
          <w:color w:val="000000"/>
          <w:sz w:val="20"/>
          <w:szCs w:val="20"/>
        </w:rPr>
        <w:t xml:space="preserve">Revenue Model</w:t>
      </w:r>
    </w:p>
    <w:p>
      <w:pPr>
        <w:pStyle w:val="ListParagraph"/>
        <w:numPr>
          <w:ilvl w:val="0"/>
          <w:numId w:val="2"/>
        </w:numPr>
        <w:spacing w:after="60" w:before="60"/>
      </w:pPr>
      <w:r>
        <w:rPr>
          <w:rFonts w:ascii="Arial" w:cs="Arial" w:eastAsia="Arial" w:hAnsi="Arial"/>
          <w:b/>
          <w:bCs/>
          <w:color w:val="000000"/>
          <w:sz w:val="20"/>
          <w:szCs w:val="20"/>
        </w:rPr>
        <w:t xml:space="preserve">Per-verification API:</w:t>
      </w:r>
      <w:r>
        <w:rPr>
          <w:rFonts w:ascii="Arial" w:cs="Arial" w:eastAsia="Arial" w:hAnsi="Arial"/>
          <w:color w:val="000000"/>
          <w:sz w:val="20"/>
          <w:szCs w:val="20"/>
        </w:rPr>
        <w:t xml:space="preserve"> $0.002 per verification via x402 micropayments (agent-to-agent autonomous payments).</w:t>
      </w:r>
    </w:p>
    <w:p>
      <w:pPr>
        <w:pStyle w:val="ListParagraph"/>
        <w:numPr>
          <w:ilvl w:val="0"/>
          <w:numId w:val="2"/>
        </w:numPr>
        <w:spacing w:after="60" w:before="60"/>
      </w:pPr>
      <w:r>
        <w:rPr>
          <w:rFonts w:ascii="Arial" w:cs="Arial" w:eastAsia="Arial" w:hAnsi="Arial"/>
          <w:b/>
          <w:bCs/>
          <w:color w:val="000000"/>
          <w:sz w:val="20"/>
          <w:szCs w:val="20"/>
        </w:rPr>
        <w:t xml:space="preserve">Compliance SaaS:</w:t>
      </w:r>
      <w:r>
        <w:rPr>
          <w:rFonts w:ascii="Arial" w:cs="Arial" w:eastAsia="Arial" w:hAnsi="Arial"/>
          <w:color w:val="000000"/>
          <w:sz w:val="20"/>
          <w:szCs w:val="20"/>
        </w:rPr>
        <w:t xml:space="preserve"> $2,000--$10,000/month for automated compliance monitoring, regulatory intelligence, and audit trail management.</w:t>
      </w:r>
    </w:p>
    <w:p>
      <w:pPr>
        <w:pStyle w:val="ListParagraph"/>
        <w:numPr>
          <w:ilvl w:val="0"/>
          <w:numId w:val="2"/>
        </w:numPr>
        <w:spacing w:after="60" w:before="60"/>
      </w:pPr>
      <w:r>
        <w:rPr>
          <w:rFonts w:ascii="Arial" w:cs="Arial" w:eastAsia="Arial" w:hAnsi="Arial"/>
          <w:b/>
          <w:bCs/>
          <w:color w:val="000000"/>
          <w:sz w:val="20"/>
          <w:szCs w:val="20"/>
        </w:rPr>
        <w:t xml:space="preserve">Enterprise Licensing:</w:t>
      </w:r>
      <w:r>
        <w:rPr>
          <w:rFonts w:ascii="Arial" w:cs="Arial" w:eastAsia="Arial" w:hAnsi="Arial"/>
          <w:color w:val="000000"/>
          <w:sz w:val="20"/>
          <w:szCs w:val="20"/>
        </w:rPr>
        <w:t xml:space="preserve"> Custom pricing for platform licensing, dedicated SLM instances, and full CCO replacement suites.</w:t>
      </w:r>
    </w:p>
    <w:p>
      <w:pPr>
        <w:spacing w:after="80" w:before="80"/>
      </w:pPr>
      <w:r>
        <w:rPr>
          <w:rFonts w:ascii="Arial" w:cs="Arial" w:eastAsia="Arial" w:hAnsi="Arial"/>
          <w:b/>
          <w:bCs/>
          <w:color w:val="000000"/>
          <w:sz w:val="20"/>
          <w:szCs w:val="20"/>
        </w:rPr>
        <w:t xml:space="preserve">Market Opportunity</w:t>
      </w:r>
    </w:p>
    <w:p>
      <w:pPr>
        <w:spacing w:after="80" w:before="80"/>
      </w:pPr>
      <w:r>
        <w:rPr>
          <w:rFonts w:ascii="Arial" w:cs="Arial" w:eastAsia="Arial" w:hAnsi="Arial"/>
          <w:color w:val="000000"/>
          <w:sz w:val="20"/>
          <w:szCs w:val="20"/>
        </w:rPr>
        <w:t xml:space="preserve">Global compliance spend exceeds $50B annually and is growing at 15% per year. Regulatory complexity is accelerating across jurisdictions, creating an urgent need for automated, AI-driven compliance solutions. Arkova's combination of cryptographic proof, verified AI, and global coverage creates a defensible moat in a market ripe for disruption.</w:t>
      </w:r>
    </w:p>
    <w:p>
      <w:pPr>
        <w:spacing w:after="80" w:before="80"/>
      </w:pPr>
      <w:r>
        <w:rPr>
          <w:rFonts w:ascii="Arial" w:cs="Arial" w:eastAsia="Arial" w:hAnsi="Arial"/>
          <w:color w:val="000000"/>
          <w:sz w:val="20"/>
          <w:szCs w:val="20"/>
        </w:rPr>
        <w:t xml:space="preserve">Part 1: x402 Payment Protocol --- Implementation Plan</w:t>
      </w:r>
    </w:p>
    <w:p>
      <w:pPr>
        <w:spacing w:after="80" w:before="80"/>
      </w:pPr>
      <w:r>
        <w:rPr>
          <w:rFonts w:ascii="Arial" w:cs="Arial" w:eastAsia="Arial" w:hAnsi="Arial"/>
          <w:color w:val="000000"/>
          <w:sz w:val="20"/>
          <w:szCs w:val="20"/>
        </w:rPr>
        <w:t xml:space="preserve">The x402 protocol is the payment backbone for Arkova's autonomous compliance infrastructure. It enables machine-to-machine micropayments, allowing AI agents to autonomously pay for verification and compliance services without human intervention.</w:t>
      </w:r>
    </w:p>
    <w:p>
      <w:pPr>
        <w:spacing w:after="80" w:before="80"/>
      </w:pPr>
      <w:r>
        <w:rPr>
          <w:rFonts w:ascii="Arial" w:cs="Arial" w:eastAsia="Arial" w:hAnsi="Arial"/>
          <w:color w:val="000000"/>
          <w:sz w:val="20"/>
          <w:szCs w:val="20"/>
        </w:rPr>
        <w:t xml:space="preserve">1.1 Protocol Overview</w:t>
      </w:r>
    </w:p>
    <w:p>
      <w:pPr>
        <w:spacing w:after="80" w:before="80"/>
      </w:pPr>
      <w:r>
        <w:rPr>
          <w:rFonts w:ascii="Arial" w:cs="Arial" w:eastAsia="Arial" w:hAnsi="Arial"/>
          <w:color w:val="000000"/>
          <w:sz w:val="20"/>
          <w:szCs w:val="20"/>
        </w:rPr>
        <w:t xml:space="preserve">x402 implements HTTP 402 (Payment Required) as a native payment layer. When an agent requests a verification, the server responds with a 402 status and payment requirements. The agent's facilitator negotiates payment, and the verification proceeds automatically.</w:t>
      </w:r>
    </w:p>
    <w:p>
      <w:pPr>
        <w:pStyle w:val="ListParagraph"/>
        <w:numPr>
          <w:ilvl w:val="0"/>
          <w:numId w:val="2"/>
        </w:numPr>
        <w:spacing w:after="60" w:before="60"/>
      </w:pPr>
      <w:r>
        <w:rPr>
          <w:rFonts w:ascii="Arial" w:cs="Arial" w:eastAsia="Arial" w:hAnsi="Arial"/>
          <w:b/>
          <w:bCs/>
          <w:color w:val="000000"/>
          <w:sz w:val="20"/>
          <w:szCs w:val="20"/>
        </w:rPr>
        <w:t xml:space="preserve">Self-hosted facilitator:</w:t>
      </w:r>
      <w:r>
        <w:rPr>
          <w:rFonts w:ascii="Arial" w:cs="Arial" w:eastAsia="Arial" w:hAnsi="Arial"/>
          <w:color w:val="000000"/>
          <w:sz w:val="20"/>
          <w:szCs w:val="20"/>
        </w:rPr>
        <w:t xml:space="preserve"> Production deployments use a self-hosted facilitator (not Coinbase-hosted) for full control over payment routing, fee management, and compliance with financial regulations.</w:t>
      </w:r>
    </w:p>
    <w:p>
      <w:pPr>
        <w:pStyle w:val="ListParagraph"/>
        <w:numPr>
          <w:ilvl w:val="0"/>
          <w:numId w:val="2"/>
        </w:numPr>
        <w:spacing w:after="60" w:before="60"/>
      </w:pPr>
      <w:r>
        <w:rPr>
          <w:rFonts w:ascii="Arial" w:cs="Arial" w:eastAsia="Arial" w:hAnsi="Arial"/>
          <w:b/>
          <w:bCs/>
          <w:color w:val="000000"/>
          <w:sz w:val="20"/>
          <w:szCs w:val="20"/>
        </w:rPr>
        <w:t xml:space="preserve">Agent-to-agent compliance checking:</w:t>
      </w:r>
      <w:r>
        <w:rPr>
          <w:rFonts w:ascii="Arial" w:cs="Arial" w:eastAsia="Arial" w:hAnsi="Arial"/>
          <w:color w:val="000000"/>
          <w:sz w:val="20"/>
          <w:szCs w:val="20"/>
        </w:rPr>
        <w:t xml:space="preserve"> AI agents autonomously pay to verify the regulatory status of counterparties, documents, or transactions in real time.</w:t>
      </w:r>
    </w:p>
    <w:p>
      <w:pPr>
        <w:pStyle w:val="ListParagraph"/>
        <w:numPr>
          <w:ilvl w:val="0"/>
          <w:numId w:val="2"/>
        </w:numPr>
        <w:spacing w:after="60" w:before="60"/>
      </w:pPr>
      <w:r>
        <w:rPr>
          <w:rFonts w:ascii="Arial" w:cs="Arial" w:eastAsia="Arial" w:hAnsi="Arial"/>
          <w:b/>
          <w:bCs/>
          <w:color w:val="000000"/>
          <w:sz w:val="20"/>
          <w:szCs w:val="20"/>
        </w:rPr>
        <w:t xml:space="preserve">Compliance-specific API endpoints:</w:t>
      </w:r>
      <w:r>
        <w:rPr>
          <w:rFonts w:ascii="Arial" w:cs="Arial" w:eastAsia="Arial" w:hAnsi="Arial"/>
          <w:color w:val="000000"/>
          <w:sz w:val="20"/>
          <w:szCs w:val="20"/>
        </w:rPr>
        <w:t xml:space="preserve"> Alongside standard verification endpoints, dedicated compliance endpoints enable regulatory document lookup, jurisdiction-specific checks, and audit trail generation.</w:t>
      </w:r>
    </w:p>
    <w:p>
      <w:pPr>
        <w:spacing w:after="80" w:before="80"/>
      </w:pPr>
      <w:r>
        <w:rPr>
          <w:rFonts w:ascii="Arial" w:cs="Arial" w:eastAsia="Arial" w:hAnsi="Arial"/>
          <w:color w:val="000000"/>
          <w:sz w:val="20"/>
          <w:szCs w:val="20"/>
        </w:rPr>
        <w:t xml:space="preserve">1.2 Implementation Architecture</w:t>
      </w:r>
    </w:p>
    <w:p>
      <w:pPr>
        <w:spacing w:after="80" w:before="80"/>
      </w:pPr>
      <w:r>
        <w:rPr>
          <w:rFonts w:ascii="Arial" w:cs="Arial" w:eastAsia="Arial" w:hAnsi="Arial"/>
          <w:color w:val="000000"/>
          <w:sz w:val="20"/>
          <w:szCs w:val="20"/>
        </w:rPr>
        <w:t xml:space="preserve">The x402 implementation consists of four core components:</w:t>
      </w:r>
    </w:p>
    <w:p>
      <w:pPr>
        <w:pStyle w:val="ListParagraph"/>
        <w:numPr>
          <w:ilvl w:val="0"/>
          <w:numId w:val="3"/>
        </w:numPr>
        <w:spacing w:after="60" w:before="60"/>
      </w:pPr>
      <w:r>
        <w:rPr>
          <w:rFonts w:ascii="Arial" w:cs="Arial" w:eastAsia="Arial" w:hAnsi="Arial"/>
          <w:color w:val="000000"/>
          <w:sz w:val="20"/>
          <w:szCs w:val="20"/>
        </w:rPr>
        <w:t xml:space="preserve">Payment Gateway: Receives 402 responses and negotiates payment terms with the facilitator.</w:t>
      </w:r>
    </w:p>
    <w:p>
      <w:pPr>
        <w:pStyle w:val="ListParagraph"/>
        <w:numPr>
          <w:ilvl w:val="0"/>
          <w:numId w:val="3"/>
        </w:numPr>
        <w:spacing w:after="60" w:before="60"/>
      </w:pPr>
      <w:r>
        <w:rPr>
          <w:rFonts w:ascii="Arial" w:cs="Arial" w:eastAsia="Arial" w:hAnsi="Arial"/>
          <w:color w:val="000000"/>
          <w:sz w:val="20"/>
          <w:szCs w:val="20"/>
        </w:rPr>
        <w:t xml:space="preserve">Self-Hosted Facilitator: Manages USDC/stablecoin settlements on Base L2, handles fee splitting, and maintains transaction logs.</w:t>
      </w:r>
    </w:p>
    <w:p>
      <w:pPr>
        <w:pStyle w:val="ListParagraph"/>
        <w:numPr>
          <w:ilvl w:val="0"/>
          <w:numId w:val="3"/>
        </w:numPr>
        <w:spacing w:after="60" w:before="60"/>
      </w:pPr>
      <w:r>
        <w:rPr>
          <w:rFonts w:ascii="Arial" w:cs="Arial" w:eastAsia="Arial" w:hAnsi="Arial"/>
          <w:color w:val="000000"/>
          <w:sz w:val="20"/>
          <w:szCs w:val="20"/>
        </w:rPr>
        <w:t xml:space="preserve">Verification Engine: Processes the paid request --- document anchoring, regulatory lookup, or compliance check.</w:t>
      </w:r>
    </w:p>
    <w:p>
      <w:pPr>
        <w:pStyle w:val="ListParagraph"/>
        <w:numPr>
          <w:ilvl w:val="0"/>
          <w:numId w:val="3"/>
        </w:numPr>
        <w:spacing w:after="60" w:before="60"/>
      </w:pPr>
      <w:r>
        <w:rPr>
          <w:rFonts w:ascii="Arial" w:cs="Arial" w:eastAsia="Arial" w:hAnsi="Arial"/>
          <w:color w:val="000000"/>
          <w:sz w:val="20"/>
          <w:szCs w:val="20"/>
        </w:rPr>
        <w:t xml:space="preserve">Audit Logger: Records every transaction with Bitcoin-anchored timestamps for immutable audit trails.</w:t>
      </w:r>
    </w:p>
    <w:p>
      <w:pPr>
        <w:spacing w:after="80" w:before="80"/>
      </w:pPr>
      <w:r>
        <w:rPr>
          <w:rFonts w:ascii="Arial" w:cs="Arial" w:eastAsia="Arial" w:hAnsi="Arial"/>
          <w:color w:val="000000"/>
          <w:sz w:val="20"/>
          <w:szCs w:val="20"/>
        </w:rPr>
        <w:t xml:space="preserve">1.3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**Endpoint**</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**Method**</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**Price**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/verify/document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POST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Anchor and verify a document hash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$0.002</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/verify/entity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POST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Verify entity regulatory status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$0.005</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/compliance/check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POST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Run compliance check against regulatory corpus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$0.01</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/compliance/monitor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POST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Subscribe to regulatory change monitoring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$0.05/day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/regulatory/lookup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GET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Look up specific regulatory filing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$0.002</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/attestation/create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POST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Create signed attestation certificate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$0.02</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/nessie/query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POST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Query Nessie for verified regulatory intelligence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$0.01</w:t>
            </w:r>
          </w:p>
        </w:tc>
      </w:tr>
    </w:tbl>
    <w:p>
      <w:pPr>
        <w:spacing w:after="80" w:before="80"/>
      </w:pPr>
      <w:r>
        <w:rPr>
          <w:rFonts w:ascii="Arial" w:cs="Arial" w:eastAsia="Arial" w:hAnsi="Arial"/>
          <w:color w:val="000000"/>
          <w:sz w:val="20"/>
          <w:szCs w:val="20"/>
        </w:rPr>
        <w:t xml:space="preserve">1.4 Integration Targets</w:t>
      </w:r>
    </w:p>
    <w:p>
      <w:pPr>
        <w:spacing w:after="80" w:before="80"/>
      </w:pPr>
      <w:r>
        <w:rPr>
          <w:rFonts w:ascii="Arial" w:cs="Arial" w:eastAsia="Arial" w:hAnsi="Arial"/>
          <w:color w:val="000000"/>
          <w:sz w:val="20"/>
          <w:szCs w:val="20"/>
        </w:rPr>
        <w:t xml:space="preserve">Agent framework integrations are prioritized by adoption and alignment with autonomous compliance use cases:</w:t>
      </w:r>
    </w:p>
    <w:p>
      <w:pPr>
        <w:pStyle w:val="ListParagraph"/>
        <w:numPr>
          <w:ilvl w:val="0"/>
          <w:numId w:val="2"/>
        </w:numPr>
        <w:spacing w:after="60" w:before="60"/>
      </w:pPr>
      <w:r>
        <w:rPr>
          <w:rFonts w:ascii="Arial" w:cs="Arial" w:eastAsia="Arial" w:hAnsi="Arial"/>
          <w:b/>
          <w:bCs/>
          <w:color w:val="000000"/>
          <w:sz w:val="20"/>
          <w:szCs w:val="20"/>
        </w:rPr>
        <w:t xml:space="preserve">MCP Server (Primary):</w:t>
      </w:r>
      <w:r>
        <w:rPr>
          <w:rFonts w:ascii="Arial" w:cs="Arial" w:eastAsia="Arial" w:hAnsi="Arial"/>
          <w:color w:val="000000"/>
          <w:sz w:val="20"/>
          <w:szCs w:val="20"/>
        </w:rPr>
        <w:t xml:space="preserve"> Model Context Protocol integration enables Claude, GPT, and other LLM agents to natively access Arkova verification and compliance tools.</w:t>
      </w:r>
    </w:p>
    <w:p>
      <w:pPr>
        <w:pStyle w:val="ListParagraph"/>
        <w:numPr>
          <w:ilvl w:val="0"/>
          <w:numId w:val="2"/>
        </w:numPr>
        <w:spacing w:after="60" w:before="60"/>
      </w:pPr>
      <w:r>
        <w:rPr>
          <w:rFonts w:ascii="Arial" w:cs="Arial" w:eastAsia="Arial" w:hAnsi="Arial"/>
          <w:b/>
          <w:bCs/>
          <w:color w:val="000000"/>
          <w:sz w:val="20"/>
          <w:szCs w:val="20"/>
        </w:rPr>
        <w:t xml:space="preserve">LangChain:</w:t>
      </w:r>
      <w:r>
        <w:rPr>
          <w:rFonts w:ascii="Arial" w:cs="Arial" w:eastAsia="Arial" w:hAnsi="Arial"/>
          <w:color w:val="000000"/>
          <w:sz w:val="20"/>
          <w:szCs w:val="20"/>
        </w:rPr>
        <w:t xml:space="preserve"> Tool and chain integrations for verification-in-the-loop workflows.</w:t>
      </w:r>
    </w:p>
    <w:p>
      <w:pPr>
        <w:pStyle w:val="ListParagraph"/>
        <w:numPr>
          <w:ilvl w:val="0"/>
          <w:numId w:val="2"/>
        </w:numPr>
        <w:spacing w:after="60" w:before="60"/>
      </w:pPr>
      <w:r>
        <w:rPr>
          <w:rFonts w:ascii="Arial" w:cs="Arial" w:eastAsia="Arial" w:hAnsi="Arial"/>
          <w:b/>
          <w:bCs/>
          <w:color w:val="000000"/>
          <w:sz w:val="20"/>
          <w:szCs w:val="20"/>
        </w:rPr>
        <w:t xml:space="preserve">CrewAI:</w:t>
      </w:r>
      <w:r>
        <w:rPr>
          <w:rFonts w:ascii="Arial" w:cs="Arial" w:eastAsia="Arial" w:hAnsi="Arial"/>
          <w:color w:val="000000"/>
          <w:sz w:val="20"/>
          <w:szCs w:val="20"/>
        </w:rPr>
        <w:t xml:space="preserve"> Multi-agent compliance workflows where specialized agents handle different regulatory domains.</w:t>
      </w:r>
    </w:p>
    <w:p>
      <w:pPr>
        <w:pStyle w:val="ListParagraph"/>
        <w:numPr>
          <w:ilvl w:val="0"/>
          <w:numId w:val="2"/>
        </w:numPr>
        <w:spacing w:after="60" w:before="60"/>
      </w:pPr>
      <w:r>
        <w:rPr>
          <w:rFonts w:ascii="Arial" w:cs="Arial" w:eastAsia="Arial" w:hAnsi="Arial"/>
          <w:b/>
          <w:bCs/>
          <w:color w:val="000000"/>
          <w:sz w:val="20"/>
          <w:szCs w:val="20"/>
        </w:rPr>
        <w:t xml:space="preserve">Custom REST API:</w:t>
      </w:r>
      <w:r>
        <w:rPr>
          <w:rFonts w:ascii="Arial" w:cs="Arial" w:eastAsia="Arial" w:hAnsi="Arial"/>
          <w:color w:val="000000"/>
          <w:sz w:val="20"/>
          <w:szCs w:val="20"/>
        </w:rPr>
        <w:t xml:space="preserve"> Direct HTTP integration for any agent framework or application.</w:t>
      </w:r>
    </w:p>
    <w:p>
      <w:pPr>
        <w:spacing w:after="80" w:before="80"/>
      </w:pPr>
      <w:r>
        <w:rPr>
          <w:rFonts w:ascii="Arial" w:cs="Arial" w:eastAsia="Arial" w:hAnsi="Arial"/>
          <w:color w:val="000000"/>
          <w:sz w:val="20"/>
          <w:szCs w:val="20"/>
        </w:rPr>
        <w:t xml:space="preserve">Part 2: Strategic Roadmap</w:t>
      </w:r>
    </w:p>
    <w:p>
      <w:pPr>
        <w:spacing w:after="80" w:before="80"/>
      </w:pPr>
      <w:r>
        <w:rPr>
          <w:rFonts w:ascii="Arial" w:cs="Arial" w:eastAsia="Arial" w:hAnsi="Arial"/>
          <w:color w:val="000000"/>
          <w:sz w:val="20"/>
          <w:szCs w:val="20"/>
        </w:rPr>
        <w:t xml:space="preserve">The roadmap is organized into three phases that build upon each other --- from foundational infrastructure to market dominance. Each phase includes specific deliverables, user stories with acceptance criteria, and measurable targets.</w:t>
      </w:r>
    </w:p>
    <w:p>
      <w:pPr>
        <w:spacing w:after="80" w:before="80"/>
      </w:pPr>
      <w:r>
        <w:rPr>
          <w:rFonts w:ascii="Arial" w:cs="Arial" w:eastAsia="Arial" w:hAnsi="Arial"/>
          <w:color w:val="000000"/>
          <w:sz w:val="20"/>
          <w:szCs w:val="20"/>
        </w:rPr>
        <w:t xml:space="preserve">Phase 1.5: Foundation --- API + Data + Nessie (Months 0--6)</w:t>
      </w:r>
    </w:p>
    <w:p>
      <w:pPr>
        <w:spacing w:after="80" w:before="80"/>
      </w:pPr>
      <w:r>
        <w:rPr>
          <w:rFonts w:ascii="Arial" w:cs="Arial" w:eastAsia="Arial" w:hAnsi="Arial"/>
          <w:color w:val="000000"/>
          <w:sz w:val="20"/>
          <w:szCs w:val="20"/>
        </w:rPr>
        <w:t xml:space="preserve">Phase 1.5 establishes the technical foundation: a production-ready API with x402 micropayments, global data ingestion pipelines, and the first Nessie prototype trained on verified data.</w:t>
      </w:r>
    </w:p>
    <w:p>
      <w:pPr>
        <w:spacing w:after="80" w:before="80"/>
      </w:pPr>
      <w:r>
        <w:rPr>
          <w:rFonts w:ascii="Arial" w:cs="Arial" w:eastAsia="Arial" w:hAnsi="Arial"/>
          <w:color w:val="000000"/>
          <w:sz w:val="20"/>
          <w:szCs w:val="20"/>
        </w:rPr>
        <w:t xml:space="preserve">Key Deliverables</w:t>
      </w:r>
    </w:p>
    <w:p>
      <w:pPr>
        <w:pStyle w:val="ListParagraph"/>
        <w:numPr>
          <w:ilvl w:val="0"/>
          <w:numId w:val="2"/>
        </w:numPr>
        <w:spacing w:after="60" w:before="60"/>
      </w:pPr>
      <w:r>
        <w:rPr>
          <w:rFonts w:ascii="Arial" w:cs="Arial" w:eastAsia="Arial" w:hAnsi="Arial"/>
          <w:color w:val="000000"/>
          <w:sz w:val="20"/>
          <w:szCs w:val="20"/>
        </w:rPr>
        <w:t xml:space="preserve">Public REST API with x402 micropayment integration</w:t>
      </w:r>
    </w:p>
    <w:p>
      <w:pPr>
        <w:pStyle w:val="ListParagraph"/>
        <w:numPr>
          <w:ilvl w:val="0"/>
          <w:numId w:val="2"/>
        </w:numPr>
        <w:spacing w:after="60" w:before="60"/>
      </w:pPr>
      <w:r>
        <w:rPr>
          <w:rFonts w:ascii="Arial" w:cs="Arial" w:eastAsia="Arial" w:hAnsi="Arial"/>
          <w:color w:val="000000"/>
          <w:sz w:val="20"/>
          <w:szCs w:val="20"/>
        </w:rPr>
        <w:t xml:space="preserve">Global data ingestion pipeline (EDGAR first, expanding to all jurisdictions)</w:t>
      </w:r>
    </w:p>
    <w:p>
      <w:pPr>
        <w:pStyle w:val="ListParagraph"/>
        <w:numPr>
          <w:ilvl w:val="0"/>
          <w:numId w:val="2"/>
        </w:numPr>
        <w:spacing w:after="60" w:before="60"/>
      </w:pPr>
      <w:r>
        <w:rPr>
          <w:rFonts w:ascii="Arial" w:cs="Arial" w:eastAsia="Arial" w:hAnsi="Arial"/>
          <w:color w:val="000000"/>
          <w:sz w:val="20"/>
          <w:szCs w:val="20"/>
        </w:rPr>
        <w:t xml:space="preserve">Nessie training: LoRA fine-tune on EDGAR filings (first model in 2--3 weeks)</w:t>
      </w:r>
    </w:p>
    <w:p>
      <w:pPr>
        <w:pStyle w:val="ListParagraph"/>
        <w:numPr>
          <w:ilvl w:val="0"/>
          <w:numId w:val="2"/>
        </w:numPr>
        <w:spacing w:after="60" w:before="60"/>
      </w:pPr>
      <w:r>
        <w:rPr>
          <w:rFonts w:ascii="Arial" w:cs="Arial" w:eastAsia="Arial" w:hAnsi="Arial"/>
          <w:color w:val="000000"/>
          <w:sz w:val="20"/>
          <w:szCs w:val="20"/>
        </w:rPr>
        <w:t xml:space="preserve">Dataset preparation infrastructure for multi-jurisdiction corpus</w:t>
      </w:r>
    </w:p>
    <w:p>
      <w:pPr>
        <w:pStyle w:val="ListParagraph"/>
        <w:numPr>
          <w:ilvl w:val="0"/>
          <w:numId w:val="2"/>
        </w:numPr>
        <w:spacing w:after="60" w:before="60"/>
      </w:pPr>
      <w:r>
        <w:rPr>
          <w:rFonts w:ascii="Arial" w:cs="Arial" w:eastAsia="Arial" w:hAnsi="Arial"/>
          <w:color w:val="000000"/>
          <w:sz w:val="20"/>
          <w:szCs w:val="20"/>
        </w:rPr>
        <w:t xml:space="preserve">Agent framework integrations (MCP server primary, LangChain, CrewAI)</w:t>
      </w:r>
    </w:p>
    <w:p>
      <w:pPr>
        <w:pStyle w:val="ListParagraph"/>
        <w:numPr>
          <w:ilvl w:val="0"/>
          <w:numId w:val="2"/>
        </w:numPr>
        <w:spacing w:after="60" w:before="60"/>
      </w:pPr>
      <w:r>
        <w:rPr>
          <w:rFonts w:ascii="Arial" w:cs="Arial" w:eastAsia="Arial" w:hAnsi="Arial"/>
          <w:color w:val="000000"/>
          <w:sz w:val="20"/>
          <w:szCs w:val="20"/>
        </w:rPr>
        <w:t xml:space="preserve">Free tier: 10,000 verifications/month</w:t>
      </w:r>
    </w:p>
    <w:p>
      <w:pPr>
        <w:pStyle w:val="ListParagraph"/>
        <w:numPr>
          <w:ilvl w:val="0"/>
          <w:numId w:val="2"/>
        </w:numPr>
        <w:spacing w:after="60" w:before="60"/>
      </w:pPr>
      <w:r>
        <w:rPr>
          <w:rFonts w:ascii="Arial" w:cs="Arial" w:eastAsia="Arial" w:hAnsi="Arial"/>
          <w:color w:val="000000"/>
          <w:sz w:val="20"/>
          <w:szCs w:val="20"/>
        </w:rPr>
        <w:t xml:space="preserve">Developer documentation, sandbox environment, and API playground</w:t>
      </w:r>
    </w:p>
    <w:p>
      <w:pPr>
        <w:pStyle w:val="ListParagraph"/>
        <w:numPr>
          <w:ilvl w:val="0"/>
          <w:numId w:val="2"/>
        </w:numPr>
        <w:spacing w:after="60" w:before="60"/>
      </w:pPr>
      <w:r>
        <w:rPr>
          <w:rFonts w:ascii="Arial" w:cs="Arial" w:eastAsia="Arial" w:hAnsi="Arial"/>
          <w:color w:val="000000"/>
          <w:sz w:val="20"/>
          <w:szCs w:val="20"/>
        </w:rPr>
        <w:t xml:space="preserve">Compliance checking endpoint (regulatory document lookup + verification)</w:t>
      </w:r>
    </w:p>
    <w:p>
      <w:pPr>
        <w:pStyle w:val="ListParagraph"/>
        <w:numPr>
          <w:ilvl w:val="0"/>
          <w:numId w:val="2"/>
        </w:numPr>
        <w:spacing w:after="60" w:before="60"/>
      </w:pPr>
      <w:r>
        <w:rPr>
          <w:rFonts w:ascii="Arial" w:cs="Arial" w:eastAsia="Arial" w:hAnsi="Arial"/>
          <w:color w:val="000000"/>
          <w:sz w:val="20"/>
          <w:szCs w:val="20"/>
        </w:rPr>
        <w:t xml:space="preserve">Multi-jurisdiction regulatory document anchoring begins</w:t>
      </w:r>
    </w:p>
    <w:p>
      <w:pPr>
        <w:spacing w:after="80" w:before="80"/>
      </w:pPr>
      <w:r>
        <w:rPr>
          <w:rFonts w:ascii="Arial" w:cs="Arial" w:eastAsia="Arial" w:hAnsi="Arial"/>
          <w:color w:val="000000"/>
          <w:sz w:val="20"/>
          <w:szCs w:val="20"/>
        </w:rPr>
        <w:t xml:space="preserve">Targets</w:t>
      </w:r>
    </w:p>
    <w:p>
      <w:pPr>
        <w:pStyle w:val="ListParagraph"/>
        <w:numPr>
          <w:ilvl w:val="0"/>
          <w:numId w:val="2"/>
        </w:numPr>
        <w:spacing w:after="60" w:before="60"/>
      </w:pPr>
      <w:r>
        <w:rPr>
          <w:rFonts w:ascii="Arial" w:cs="Arial" w:eastAsia="Arial" w:hAnsi="Arial"/>
          <w:color w:val="000000"/>
          <w:sz w:val="20"/>
          <w:szCs w:val="20"/>
        </w:rPr>
        <w:t xml:space="preserve">1M+ anchored documents across initial jurisdictions</w:t>
      </w:r>
    </w:p>
    <w:p>
      <w:pPr>
        <w:pStyle w:val="ListParagraph"/>
        <w:numPr>
          <w:ilvl w:val="0"/>
          <w:numId w:val="2"/>
        </w:numPr>
        <w:spacing w:after="60" w:before="60"/>
      </w:pPr>
      <w:r>
        <w:rPr>
          <w:rFonts w:ascii="Arial" w:cs="Arial" w:eastAsia="Arial" w:hAnsi="Arial"/>
          <w:color w:val="000000"/>
          <w:sz w:val="20"/>
          <w:szCs w:val="20"/>
        </w:rPr>
        <w:t xml:space="preserve">Working Nessie prototype with EDGAR domain expertise</w:t>
      </w:r>
    </w:p>
    <w:p>
      <w:pPr>
        <w:pStyle w:val="ListParagraph"/>
        <w:numPr>
          <w:ilvl w:val="0"/>
          <w:numId w:val="2"/>
        </w:numPr>
        <w:spacing w:after="60" w:before="60"/>
      </w:pPr>
      <w:r>
        <w:rPr>
          <w:rFonts w:ascii="Arial" w:cs="Arial" w:eastAsia="Arial" w:hAnsi="Arial"/>
          <w:color w:val="000000"/>
          <w:sz w:val="20"/>
          <w:szCs w:val="20"/>
        </w:rPr>
        <w:t xml:space="preserve">MCP server available in agent marketplaces</w:t>
      </w:r>
    </w:p>
    <w:p>
      <w:pPr>
        <w:pStyle w:val="ListParagraph"/>
        <w:numPr>
          <w:ilvl w:val="0"/>
          <w:numId w:val="2"/>
        </w:numPr>
        <w:spacing w:after="60" w:before="60"/>
      </w:pPr>
      <w:r>
        <w:rPr>
          <w:rFonts w:ascii="Arial" w:cs="Arial" w:eastAsia="Arial" w:hAnsi="Arial"/>
          <w:color w:val="000000"/>
          <w:sz w:val="20"/>
          <w:szCs w:val="20"/>
        </w:rPr>
        <w:t xml:space="preserve">First paying API customers</w:t>
      </w:r>
    </w:p>
    <w:p>
      <w:pPr>
        <w:spacing w:after="80" w:before="80"/>
      </w:pPr>
      <w:r>
        <w:rPr>
          <w:rFonts w:ascii="Arial" w:cs="Arial" w:eastAsia="Arial" w:hAnsi="Arial"/>
          <w:color w:val="000000"/>
          <w:sz w:val="20"/>
          <w:szCs w:val="20"/>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**User Story**</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**Acceptance Criteria**</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**Priority**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As an AI agent, I can pay $0.002 to verify a document hash via x402 without human intervention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Agent receives 402 response, facilitator processes payment, verification completes in &lt;2s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As a developer, I can integrate Arkova verification into my agent via MCP server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MCP server installable from marketplace, tools documented, sandbox available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As a compliance analyst, I can look up SEC filings with cryptographic proof of authenticity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EDGAR filings searchable by CIK/ticker, each result includes Bitcoin anchor proof</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As a developer, I can test the API for free with 10K verifications/month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Free tier auto-provisions on signup, usage dashboard shows remaining quota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P1</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As a regulatory researcher, I can query Nessie about SEC filing content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Nessie returns accurate answers with citations to specific anchored filings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P1</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As an agent, I can check regulatory compliance status for a given entity and jurisdiction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Compliance endpoint returns status, relevant regulations, and attestation certificate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P1</w:t>
            </w:r>
          </w:p>
        </w:tc>
      </w:tr>
    </w:tbl>
    <w:p>
      <w:pPr>
        <w:spacing w:after="80" w:before="80"/>
      </w:pPr>
      <w:r>
        <w:rPr>
          <w:rFonts w:ascii="Arial" w:cs="Arial" w:eastAsia="Arial" w:hAnsi="Arial"/>
          <w:color w:val="000000"/>
          <w:sz w:val="20"/>
          <w:szCs w:val="20"/>
        </w:rPr>
        <w:t xml:space="preserve">Phase II: Scale --- Compliance Intelligence (Months 6--18)</w:t>
      </w:r>
    </w:p>
    <w:p>
      <w:pPr>
        <w:spacing w:after="80" w:before="80"/>
      </w:pPr>
      <w:r>
        <w:rPr>
          <w:rFonts w:ascii="Arial" w:cs="Arial" w:eastAsia="Arial" w:hAnsi="Arial"/>
          <w:color w:val="000000"/>
          <w:sz w:val="20"/>
          <w:szCs w:val="20"/>
        </w:rPr>
        <w:t xml:space="preserve">Phase II deploys the SLM in production, scales to 10+ jurisdictions, and launches compliance-as-a-service. The platform transitions from verification infrastructure to full compliance intelligence.</w:t>
      </w:r>
    </w:p>
    <w:p>
      <w:pPr>
        <w:spacing w:after="80" w:before="80"/>
      </w:pPr>
      <w:r>
        <w:rPr>
          <w:rFonts w:ascii="Arial" w:cs="Arial" w:eastAsia="Arial" w:hAnsi="Arial"/>
          <w:color w:val="000000"/>
          <w:sz w:val="20"/>
          <w:szCs w:val="20"/>
        </w:rPr>
        <w:t xml:space="preserve">Key Deliverables</w:t>
      </w:r>
    </w:p>
    <w:p>
      <w:pPr>
        <w:pStyle w:val="ListParagraph"/>
        <w:numPr>
          <w:ilvl w:val="0"/>
          <w:numId w:val="2"/>
        </w:numPr>
        <w:spacing w:after="60" w:before="60"/>
      </w:pPr>
      <w:r>
        <w:rPr>
          <w:rFonts w:ascii="Arial" w:cs="Arial" w:eastAsia="Arial" w:hAnsi="Arial"/>
          <w:color w:val="000000"/>
          <w:sz w:val="20"/>
          <w:szCs w:val="20"/>
        </w:rPr>
        <w:t xml:space="preserve">Nessie deployed in production (RAG + fine-tuned Llama 3.1 8B model)</w:t>
      </w:r>
    </w:p>
    <w:p>
      <w:pPr>
        <w:pStyle w:val="ListParagraph"/>
        <w:numPr>
          <w:ilvl w:val="0"/>
          <w:numId w:val="2"/>
        </w:numPr>
        <w:spacing w:after="60" w:before="60"/>
      </w:pPr>
      <w:r>
        <w:rPr>
          <w:rFonts w:ascii="Arial" w:cs="Arial" w:eastAsia="Arial" w:hAnsi="Arial"/>
          <w:color w:val="000000"/>
          <w:sz w:val="20"/>
          <w:szCs w:val="20"/>
        </w:rPr>
        <w:t xml:space="preserve">Multi-jurisdiction regulatory intelligence with automated monitoring</w:t>
      </w:r>
    </w:p>
    <w:p>
      <w:pPr>
        <w:pStyle w:val="ListParagraph"/>
        <w:numPr>
          <w:ilvl w:val="0"/>
          <w:numId w:val="2"/>
        </w:numPr>
        <w:spacing w:after="60" w:before="60"/>
      </w:pPr>
      <w:r>
        <w:rPr>
          <w:rFonts w:ascii="Arial" w:cs="Arial" w:eastAsia="Arial" w:hAnsi="Arial"/>
          <w:color w:val="000000"/>
          <w:sz w:val="20"/>
          <w:szCs w:val="20"/>
        </w:rPr>
        <w:t xml:space="preserve">Compliance-as-a-service: automated checks against anchored regulatory corpus</w:t>
      </w:r>
    </w:p>
    <w:p>
      <w:pPr>
        <w:pStyle w:val="ListParagraph"/>
        <w:numPr>
          <w:ilvl w:val="0"/>
          <w:numId w:val="2"/>
        </w:numPr>
        <w:spacing w:after="60" w:before="60"/>
      </w:pPr>
      <w:r>
        <w:rPr>
          <w:rFonts w:ascii="Arial" w:cs="Arial" w:eastAsia="Arial" w:hAnsi="Arial"/>
          <w:color w:val="000000"/>
          <w:sz w:val="20"/>
          <w:szCs w:val="20"/>
        </w:rPr>
        <w:t xml:space="preserve">Agent identity verification and compliance certificates</w:t>
      </w:r>
    </w:p>
    <w:p>
      <w:pPr>
        <w:pStyle w:val="ListParagraph"/>
        <w:numPr>
          <w:ilvl w:val="0"/>
          <w:numId w:val="2"/>
        </w:numPr>
        <w:spacing w:after="60" w:before="60"/>
      </w:pPr>
      <w:r>
        <w:rPr>
          <w:rFonts w:ascii="Arial" w:cs="Arial" w:eastAsia="Arial" w:hAnsi="Arial"/>
          <w:color w:val="000000"/>
          <w:sz w:val="20"/>
          <w:szCs w:val="20"/>
        </w:rPr>
        <w:t xml:space="preserve">Real-time regulatory change detection across jurisdictions</w:t>
      </w:r>
    </w:p>
    <w:p>
      <w:pPr>
        <w:pStyle w:val="ListParagraph"/>
        <w:numPr>
          <w:ilvl w:val="0"/>
          <w:numId w:val="2"/>
        </w:numPr>
        <w:spacing w:after="60" w:before="60"/>
      </w:pPr>
      <w:r>
        <w:rPr>
          <w:rFonts w:ascii="Arial" w:cs="Arial" w:eastAsia="Arial" w:hAnsi="Arial"/>
          <w:color w:val="000000"/>
          <w:sz w:val="20"/>
          <w:szCs w:val="20"/>
        </w:rPr>
        <w:t xml:space="preserve">Attestation types: regulatory compliance, identity, credential, audit</w:t>
      </w:r>
    </w:p>
    <w:p>
      <w:pPr>
        <w:pStyle w:val="ListParagraph"/>
        <w:numPr>
          <w:ilvl w:val="0"/>
          <w:numId w:val="2"/>
        </w:numPr>
        <w:spacing w:after="60" w:before="60"/>
      </w:pPr>
      <w:r>
        <w:rPr>
          <w:rFonts w:ascii="Arial" w:cs="Arial" w:eastAsia="Arial" w:hAnsi="Arial"/>
          <w:color w:val="000000"/>
          <w:sz w:val="20"/>
          <w:szCs w:val="20"/>
        </w:rPr>
        <w:t xml:space="preserve">Multi-tenant compliance dashboards</w:t>
      </w:r>
    </w:p>
    <w:p>
      <w:pPr>
        <w:pStyle w:val="ListParagraph"/>
        <w:numPr>
          <w:ilvl w:val="0"/>
          <w:numId w:val="2"/>
        </w:numPr>
        <w:spacing w:after="60" w:before="60"/>
      </w:pPr>
      <w:r>
        <w:rPr>
          <w:rFonts w:ascii="Arial" w:cs="Arial" w:eastAsia="Arial" w:hAnsi="Arial"/>
          <w:color w:val="000000"/>
          <w:sz w:val="20"/>
          <w:szCs w:val="20"/>
        </w:rPr>
        <w:t xml:space="preserve">10+ jurisdictions fully covered with anchored regulatory data</w:t>
      </w:r>
    </w:p>
    <w:p>
      <w:pPr>
        <w:spacing w:after="80" w:before="80"/>
      </w:pPr>
      <w:r>
        <w:rPr>
          <w:rFonts w:ascii="Arial" w:cs="Arial" w:eastAsia="Arial" w:hAnsi="Arial"/>
          <w:color w:val="000000"/>
          <w:sz w:val="20"/>
          <w:szCs w:val="20"/>
        </w:rPr>
        <w:t xml:space="preserve">Targets</w:t>
      </w:r>
    </w:p>
    <w:p>
      <w:pPr>
        <w:pStyle w:val="ListParagraph"/>
        <w:numPr>
          <w:ilvl w:val="0"/>
          <w:numId w:val="2"/>
        </w:numPr>
        <w:spacing w:after="60" w:before="60"/>
      </w:pPr>
      <w:r>
        <w:rPr>
          <w:rFonts w:ascii="Arial" w:cs="Arial" w:eastAsia="Arial" w:hAnsi="Arial"/>
          <w:color w:val="000000"/>
          <w:sz w:val="20"/>
          <w:szCs w:val="20"/>
        </w:rPr>
        <w:t xml:space="preserve">$500K--$1.2M ARR</w:t>
      </w:r>
    </w:p>
    <w:p>
      <w:pPr>
        <w:pStyle w:val="ListParagraph"/>
        <w:numPr>
          <w:ilvl w:val="0"/>
          <w:numId w:val="2"/>
        </w:numPr>
        <w:spacing w:after="60" w:before="60"/>
      </w:pPr>
      <w:r>
        <w:rPr>
          <w:rFonts w:ascii="Arial" w:cs="Arial" w:eastAsia="Arial" w:hAnsi="Arial"/>
          <w:color w:val="000000"/>
          <w:sz w:val="20"/>
          <w:szCs w:val="20"/>
        </w:rPr>
        <w:t xml:space="preserve">10M+ anchored documents</w:t>
      </w:r>
    </w:p>
    <w:p>
      <w:pPr>
        <w:pStyle w:val="ListParagraph"/>
        <w:numPr>
          <w:ilvl w:val="0"/>
          <w:numId w:val="2"/>
        </w:numPr>
        <w:spacing w:after="60" w:before="60"/>
      </w:pPr>
      <w:r>
        <w:rPr>
          <w:rFonts w:ascii="Arial" w:cs="Arial" w:eastAsia="Arial" w:hAnsi="Arial"/>
          <w:color w:val="000000"/>
          <w:sz w:val="20"/>
          <w:szCs w:val="20"/>
        </w:rPr>
        <w:t xml:space="preserve">10+ jurisdictions with complete regulatory coverage</w:t>
      </w:r>
    </w:p>
    <w:p>
      <w:pPr>
        <w:pStyle w:val="ListParagraph"/>
        <w:numPr>
          <w:ilvl w:val="0"/>
          <w:numId w:val="2"/>
        </w:numPr>
        <w:spacing w:after="60" w:before="60"/>
      </w:pPr>
      <w:r>
        <w:rPr>
          <w:rFonts w:ascii="Arial" w:cs="Arial" w:eastAsia="Arial" w:hAnsi="Arial"/>
          <w:color w:val="000000"/>
          <w:sz w:val="20"/>
          <w:szCs w:val="20"/>
        </w:rPr>
        <w:t xml:space="preserve">Nessie handling majority of compliance queries</w:t>
      </w:r>
    </w:p>
    <w:p>
      <w:pPr>
        <w:spacing w:after="80" w:before="80"/>
      </w:pPr>
      <w:r>
        <w:rPr>
          <w:rFonts w:ascii="Arial" w:cs="Arial" w:eastAsia="Arial" w:hAnsi="Arial"/>
          <w:color w:val="000000"/>
          <w:sz w:val="20"/>
          <w:szCs w:val="20"/>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**User Story**</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**Acceptance Criteria**</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**Priority**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As a compliance officer, I receive real-time alerts when regulations change in my jurisdictions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Alerts delivered within 1 hour of regulatory publication, with diff analysis and impact assessment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As an AI agent, I can verify the identity and compliance status of another agent before transacting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Agent identity endpoint returns compliance certificates with cryptographic proof chain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As a fintech company, I can run automated compliance checks across multiple jurisdictions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API accepts entity + jurisdictions, returns comprehensive compliance report in &lt;10s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As an enterprise customer, I can view compliance status across my organization in a dashboard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Multi-tenant dashboard shows real-time compliance status, alerts, and audit trails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P1</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As a legal team, I can query Nessie for regulatory analysis with verified citations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Nessie provides analysis with links to anchored source documents and confidence scores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P1</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As a regtech company, I can build products on top of Arkova's compliance API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Developer portal with comprehensive docs, SDKs in 3+ languages, partner tier pricing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P2</w:t>
            </w:r>
          </w:p>
        </w:tc>
      </w:tr>
    </w:tbl>
    <w:p>
      <w:pPr>
        <w:spacing w:after="80" w:before="80"/>
      </w:pPr>
      <w:r>
        <w:rPr>
          <w:rFonts w:ascii="Arial" w:cs="Arial" w:eastAsia="Arial" w:hAnsi="Arial"/>
          <w:color w:val="000000"/>
          <w:sz w:val="20"/>
          <w:szCs w:val="20"/>
        </w:rPr>
        <w:t xml:space="preserve">Phase III: Dominance --- Full CCO Replacement (Months 18--36)</w:t>
      </w:r>
    </w:p>
    <w:p>
      <w:pPr>
        <w:spacing w:after="80" w:before="80"/>
      </w:pPr>
      <w:r>
        <w:rPr>
          <w:rFonts w:ascii="Arial" w:cs="Arial" w:eastAsia="Arial" w:hAnsi="Arial"/>
          <w:color w:val="000000"/>
          <w:sz w:val="20"/>
          <w:szCs w:val="20"/>
        </w:rPr>
        <w:t xml:space="preserve">Phase III delivers on Arkova's ultimate vision: autonomous compliance agents that monitor, flag, and remediate regulatory issues without human intervention. The platform becomes the operating system for global compliance.</w:t>
      </w:r>
    </w:p>
    <w:p>
      <w:pPr>
        <w:spacing w:after="80" w:before="80"/>
      </w:pPr>
      <w:r>
        <w:rPr>
          <w:rFonts w:ascii="Arial" w:cs="Arial" w:eastAsia="Arial" w:hAnsi="Arial"/>
          <w:color w:val="000000"/>
          <w:sz w:val="20"/>
          <w:szCs w:val="20"/>
        </w:rPr>
        <w:t xml:space="preserve">Key Deliverables</w:t>
      </w:r>
    </w:p>
    <w:p>
      <w:pPr>
        <w:pStyle w:val="ListParagraph"/>
        <w:numPr>
          <w:ilvl w:val="0"/>
          <w:numId w:val="2"/>
        </w:numPr>
        <w:spacing w:after="60" w:before="60"/>
      </w:pPr>
      <w:r>
        <w:rPr>
          <w:rFonts w:ascii="Arial" w:cs="Arial" w:eastAsia="Arial" w:hAnsi="Arial"/>
          <w:color w:val="000000"/>
          <w:sz w:val="20"/>
          <w:szCs w:val="20"/>
        </w:rPr>
        <w:t xml:space="preserve">Autonomous compliance agents that monitor, flag, and remediate issues</w:t>
      </w:r>
    </w:p>
    <w:p>
      <w:pPr>
        <w:pStyle w:val="ListParagraph"/>
        <w:numPr>
          <w:ilvl w:val="0"/>
          <w:numId w:val="2"/>
        </w:numPr>
        <w:spacing w:after="60" w:before="60"/>
      </w:pPr>
      <w:r>
        <w:rPr>
          <w:rFonts w:ascii="Arial" w:cs="Arial" w:eastAsia="Arial" w:hAnsi="Arial"/>
          <w:color w:val="000000"/>
          <w:sz w:val="20"/>
          <w:szCs w:val="20"/>
        </w:rPr>
        <w:t xml:space="preserve">E-signatures with eIDAS and jurisdiction-specific legal recognition</w:t>
      </w:r>
    </w:p>
    <w:p>
      <w:pPr>
        <w:pStyle w:val="ListParagraph"/>
        <w:numPr>
          <w:ilvl w:val="0"/>
          <w:numId w:val="2"/>
        </w:numPr>
        <w:spacing w:after="60" w:before="60"/>
      </w:pPr>
      <w:r>
        <w:rPr>
          <w:rFonts w:ascii="Arial" w:cs="Arial" w:eastAsia="Arial" w:hAnsi="Arial"/>
          <w:color w:val="000000"/>
          <w:sz w:val="20"/>
          <w:szCs w:val="20"/>
        </w:rPr>
        <w:t xml:space="preserve">QTSP partnership (partner with existing providers, not become one)</w:t>
      </w:r>
    </w:p>
    <w:p>
      <w:pPr>
        <w:pStyle w:val="ListParagraph"/>
        <w:numPr>
          <w:ilvl w:val="0"/>
          <w:numId w:val="2"/>
        </w:numPr>
        <w:spacing w:after="60" w:before="60"/>
      </w:pPr>
      <w:r>
        <w:rPr>
          <w:rFonts w:ascii="Arial" w:cs="Arial" w:eastAsia="Arial" w:hAnsi="Arial"/>
          <w:color w:val="000000"/>
          <w:sz w:val="20"/>
          <w:szCs w:val="20"/>
        </w:rPr>
        <w:t xml:space="preserve">Platform licensing: other companies build compliance products on Arkova</w:t>
      </w:r>
    </w:p>
    <w:p>
      <w:pPr>
        <w:pStyle w:val="ListParagraph"/>
        <w:numPr>
          <w:ilvl w:val="0"/>
          <w:numId w:val="2"/>
        </w:numPr>
        <w:spacing w:after="60" w:before="60"/>
      </w:pPr>
      <w:r>
        <w:rPr>
          <w:rFonts w:ascii="Arial" w:cs="Arial" w:eastAsia="Arial" w:hAnsi="Arial"/>
          <w:color w:val="000000"/>
          <w:sz w:val="20"/>
          <w:szCs w:val="20"/>
        </w:rPr>
        <w:t xml:space="preserve">Enterprise compliance suite replacing manual CCO workflows</w:t>
      </w:r>
    </w:p>
    <w:p>
      <w:pPr>
        <w:pStyle w:val="ListParagraph"/>
        <w:numPr>
          <w:ilvl w:val="0"/>
          <w:numId w:val="2"/>
        </w:numPr>
        <w:spacing w:after="60" w:before="60"/>
      </w:pPr>
      <w:r>
        <w:rPr>
          <w:rFonts w:ascii="Arial" w:cs="Arial" w:eastAsia="Arial" w:hAnsi="Arial"/>
          <w:color w:val="000000"/>
          <w:sz w:val="20"/>
          <w:szCs w:val="20"/>
        </w:rPr>
        <w:t xml:space="preserve">Continuous audit trails with Bitcoin-anchored proof</w:t>
      </w:r>
    </w:p>
    <w:p>
      <w:pPr>
        <w:pStyle w:val="ListParagraph"/>
        <w:numPr>
          <w:ilvl w:val="0"/>
          <w:numId w:val="2"/>
        </w:numPr>
        <w:spacing w:after="60" w:before="60"/>
      </w:pPr>
      <w:r>
        <w:rPr>
          <w:rFonts w:ascii="Arial" w:cs="Arial" w:eastAsia="Arial" w:hAnsi="Arial"/>
          <w:color w:val="000000"/>
          <w:sz w:val="20"/>
          <w:szCs w:val="20"/>
        </w:rPr>
        <w:t xml:space="preserve">Full legal defensibility across 30+ jurisdictions</w:t>
      </w:r>
    </w:p>
    <w:p>
      <w:pPr>
        <w:spacing w:after="80" w:before="80"/>
      </w:pPr>
      <w:r>
        <w:rPr>
          <w:rFonts w:ascii="Arial" w:cs="Arial" w:eastAsia="Arial" w:hAnsi="Arial"/>
          <w:color w:val="000000"/>
          <w:sz w:val="20"/>
          <w:szCs w:val="20"/>
        </w:rPr>
        <w:t xml:space="preserve">Targets</w:t>
      </w:r>
    </w:p>
    <w:p>
      <w:pPr>
        <w:pStyle w:val="ListParagraph"/>
        <w:numPr>
          <w:ilvl w:val="0"/>
          <w:numId w:val="2"/>
        </w:numPr>
        <w:spacing w:after="60" w:before="60"/>
      </w:pPr>
      <w:r>
        <w:rPr>
          <w:rFonts w:ascii="Arial" w:cs="Arial" w:eastAsia="Arial" w:hAnsi="Arial"/>
          <w:color w:val="000000"/>
          <w:sz w:val="20"/>
          <w:szCs w:val="20"/>
        </w:rPr>
        <w:t xml:space="preserve">$3M+ ARR</w:t>
      </w:r>
    </w:p>
    <w:p>
      <w:pPr>
        <w:pStyle w:val="ListParagraph"/>
        <w:numPr>
          <w:ilvl w:val="0"/>
          <w:numId w:val="2"/>
        </w:numPr>
        <w:spacing w:after="60" w:before="60"/>
      </w:pPr>
      <w:r>
        <w:rPr>
          <w:rFonts w:ascii="Arial" w:cs="Arial" w:eastAsia="Arial" w:hAnsi="Arial"/>
          <w:color w:val="000000"/>
          <w:sz w:val="20"/>
          <w:szCs w:val="20"/>
        </w:rPr>
        <w:t xml:space="preserve">100M+ anchored documents</w:t>
      </w:r>
    </w:p>
    <w:p>
      <w:pPr>
        <w:pStyle w:val="ListParagraph"/>
        <w:numPr>
          <w:ilvl w:val="0"/>
          <w:numId w:val="2"/>
        </w:numPr>
        <w:spacing w:after="60" w:before="60"/>
      </w:pPr>
      <w:r>
        <w:rPr>
          <w:rFonts w:ascii="Arial" w:cs="Arial" w:eastAsia="Arial" w:hAnsi="Arial"/>
          <w:color w:val="000000"/>
          <w:sz w:val="20"/>
          <w:szCs w:val="20"/>
        </w:rPr>
        <w:t xml:space="preserve">Nessie generating majority of revenue</w:t>
      </w:r>
    </w:p>
    <w:p>
      <w:pPr>
        <w:pStyle w:val="ListParagraph"/>
        <w:numPr>
          <w:ilvl w:val="0"/>
          <w:numId w:val="2"/>
        </w:numPr>
        <w:spacing w:after="60" w:before="60"/>
      </w:pPr>
      <w:r>
        <w:rPr>
          <w:rFonts w:ascii="Arial" w:cs="Arial" w:eastAsia="Arial" w:hAnsi="Arial"/>
          <w:color w:val="000000"/>
          <w:sz w:val="20"/>
          <w:szCs w:val="20"/>
        </w:rPr>
        <w:t xml:space="preserve">30+ jurisdictions with full coverage</w:t>
      </w:r>
    </w:p>
    <w:p>
      <w:pPr>
        <w:pStyle w:val="ListParagraph"/>
        <w:numPr>
          <w:ilvl w:val="0"/>
          <w:numId w:val="2"/>
        </w:numPr>
        <w:spacing w:after="60" w:before="60"/>
      </w:pPr>
      <w:r>
        <w:rPr>
          <w:rFonts w:ascii="Arial" w:cs="Arial" w:eastAsia="Arial" w:hAnsi="Arial"/>
          <w:color w:val="000000"/>
          <w:sz w:val="20"/>
          <w:szCs w:val="20"/>
        </w:rPr>
        <w:t xml:space="preserve">Platform licensing contributing 20%+ of revenue</w:t>
      </w:r>
    </w:p>
    <w:p>
      <w:pPr>
        <w:spacing w:after="80" w:before="80"/>
      </w:pPr>
      <w:r>
        <w:rPr>
          <w:rFonts w:ascii="Arial" w:cs="Arial" w:eastAsia="Arial" w:hAnsi="Arial"/>
          <w:color w:val="000000"/>
          <w:sz w:val="20"/>
          <w:szCs w:val="20"/>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**User Story**</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**Acceptance Criteria**</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**Priority**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As a CEO, I can replace manual CCO workflows with autonomous compliance monitoring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Platform handles end-to-end compliance: monitoring, alerting, remediation, and audit trail generation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As a legal executive, I can execute e-signatures with full legal recognition across jurisdictions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eIDAS-compliant signatures with QTSP partner integration, jurisdiction-specific validity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As a platform partner, I can build and sell compliance products on Arkova's infrastructure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Platform SDK, revenue sharing model, white-label capabilities, partner compliance dashboard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P1</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As an auditor, I can verify the complete compliance history of any entity with cryptographic proof</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Continuous audit trail queryable by entity, jurisdiction, time range; every entry Bitcoin-anchored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P1</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As a multinational corporation, I can manage compliance across 30+ jurisdictions in one platform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Single dashboard for global compliance, per-jurisdiction drill-down, cross-jurisdiction conflict detection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P0</w:t>
            </w:r>
          </w:p>
        </w:tc>
      </w:tr>
    </w:tbl>
    <w:p>
      <w:pPr>
        <w:spacing w:after="80" w:before="80"/>
      </w:pPr>
      <w:r>
        <w:rPr>
          <w:rFonts w:ascii="Arial" w:cs="Arial" w:eastAsia="Arial" w:hAnsi="Arial"/>
          <w:color w:val="000000"/>
          <w:sz w:val="20"/>
          <w:szCs w:val="20"/>
        </w:rPr>
        <w:t xml:space="preserve">Part 3: Nessie --- SLM Training Roadmap</w:t>
      </w:r>
    </w:p>
    <w:p>
      <w:pPr>
        <w:spacing w:after="80" w:before="80"/>
      </w:pPr>
      <w:r>
        <w:rPr>
          <w:rFonts w:ascii="Arial" w:cs="Arial" w:eastAsia="Arial" w:hAnsi="Arial"/>
          <w:color w:val="000000"/>
          <w:sz w:val="20"/>
          <w:szCs w:val="20"/>
        </w:rPr>
        <w:t xml:space="preserve">Nessie is Arkova's domain-specific language model and the platform's core intelligence product. It is the only language model with cryptographically verified training data --- every document in its training corpus is Bitcoin-anchored and provably authentic. This creates an unprecedented trust guarantee for regulatory and compliance AI.</w:t>
      </w:r>
    </w:p>
    <w:p>
      <w:pPr>
        <w:spacing w:after="80" w:before="80"/>
      </w:pPr>
      <w:r>
        <w:rPr>
          <w:rFonts w:ascii="Arial" w:cs="Arial" w:eastAsia="Arial" w:hAnsi="Arial"/>
          <w:color w:val="000000"/>
          <w:sz w:val="20"/>
          <w:szCs w:val="20"/>
        </w:rPr>
        <w:t xml:space="preserve">3.1 Architecture</w:t>
      </w:r>
    </w:p>
    <w:p>
      <w:pPr>
        <w:spacing w:after="80" w:before="80"/>
      </w:pPr>
      <w:r>
        <w:rPr>
          <w:rFonts w:ascii="Arial" w:cs="Arial" w:eastAsia="Arial" w:hAnsi="Arial"/>
          <w:b/>
          <w:bCs/>
          <w:color w:val="000000"/>
          <w:sz w:val="20"/>
          <w:szCs w:val="20"/>
        </w:rPr>
        <w:t xml:space="preserve">Base Model:</w:t>
      </w:r>
      <w:r>
        <w:rPr>
          <w:rFonts w:ascii="Arial" w:cs="Arial" w:eastAsia="Arial" w:hAnsi="Arial"/>
          <w:color w:val="000000"/>
          <w:sz w:val="20"/>
          <w:szCs w:val="20"/>
        </w:rPr>
        <w:t xml:space="preserve"> Llama 3.1 8B</w:t>
      </w:r>
    </w:p>
    <w:p>
      <w:pPr>
        <w:spacing w:after="80" w:before="80"/>
      </w:pPr>
      <w:r>
        <w:rPr>
          <w:rFonts w:ascii="Arial" w:cs="Arial" w:eastAsia="Arial" w:hAnsi="Arial"/>
          <w:color w:val="000000"/>
          <w:sz w:val="20"/>
          <w:szCs w:val="20"/>
        </w:rPr>
        <w:t xml:space="preserve">Nessie is built on Llama 3.1 8B. The 8B parameter size strikes the optimal balance between capability and deployability --- large enough for sophisticated regulatory reasoning while small enough for client-side inference via WebLLM, preserving Arkova's privacy guarantee.</w:t>
      </w:r>
    </w:p>
    <w:p>
      <w:pPr>
        <w:spacing w:after="80" w:before="80"/>
      </w:pPr>
      <w:r>
        <w:rPr>
          <w:rFonts w:ascii="Arial" w:cs="Arial" w:eastAsia="Arial" w:hAnsi="Arial"/>
          <w:b/>
          <w:bCs/>
          <w:color w:val="000000"/>
          <w:sz w:val="20"/>
          <w:szCs w:val="20"/>
        </w:rPr>
        <w:t xml:space="preserve">Fine-Tuning Approach:</w:t>
      </w:r>
      <w:r>
        <w:rPr>
          <w:rFonts w:ascii="Arial" w:cs="Arial" w:eastAsia="Arial" w:hAnsi="Arial"/>
          <w:color w:val="000000"/>
          <w:sz w:val="20"/>
          <w:szCs w:val="20"/>
        </w:rPr>
        <w:t xml:space="preserve"> LoRA adapters per domain</w:t>
      </w:r>
    </w:p>
    <w:p>
      <w:pPr>
        <w:spacing w:after="80" w:before="80"/>
      </w:pPr>
      <w:r>
        <w:rPr>
          <w:rFonts w:ascii="Arial" w:cs="Arial" w:eastAsia="Arial" w:hAnsi="Arial"/>
          <w:color w:val="000000"/>
          <w:sz w:val="20"/>
          <w:szCs w:val="20"/>
        </w:rPr>
        <w:t xml:space="preserve">Rather than a single monolithic fine-tune, Nessie uses domain-specific LoRA adapters (SEC filings, patents, academic papers, regulatory documents per jurisdiction). This enables modular deployment and targeted updates without retraining the entire model.</w:t>
      </w:r>
    </w:p>
    <w:p>
      <w:pPr>
        <w:spacing w:after="80" w:before="80"/>
      </w:pPr>
      <w:r>
        <w:rPr>
          <w:rFonts w:ascii="Arial" w:cs="Arial" w:eastAsia="Arial" w:hAnsi="Arial"/>
          <w:b/>
          <w:bCs/>
          <w:color w:val="000000"/>
          <w:sz w:val="20"/>
          <w:szCs w:val="20"/>
        </w:rPr>
        <w:t xml:space="preserve">Inference Strategy:</w:t>
      </w:r>
      <w:r>
        <w:rPr>
          <w:rFonts w:ascii="Arial" w:cs="Arial" w:eastAsia="Arial" w:hAnsi="Arial"/>
          <w:color w:val="000000"/>
          <w:sz w:val="20"/>
          <w:szCs w:val="20"/>
        </w:rPr>
        <w:t xml:space="preserve"> RAG-first, then fine-tuning (hybrid approach)</w:t>
      </w:r>
    </w:p>
    <w:p>
      <w:pPr>
        <w:spacing w:after="80" w:before="80"/>
      </w:pPr>
      <w:r>
        <w:rPr>
          <w:rFonts w:ascii="Arial" w:cs="Arial" w:eastAsia="Arial" w:hAnsi="Arial"/>
          <w:color w:val="000000"/>
          <w:sz w:val="20"/>
          <w:szCs w:val="20"/>
        </w:rPr>
        <w:t xml:space="preserve">RAG (Retrieval-Augmented Generation) against the anchored corpus provides Nessie's primary knowledge layer. Fine-tuned LoRA adapters improve reasoning quality and reduce hallucination. The hybrid approach maximizes accuracy while minimizing training costs.</w:t>
      </w:r>
    </w:p>
    <w:p>
      <w:pPr>
        <w:spacing w:after="80" w:before="80"/>
      </w:pPr>
      <w:r>
        <w:rPr>
          <w:rFonts w:ascii="Arial" w:cs="Arial" w:eastAsia="Arial" w:hAnsi="Arial"/>
          <w:color w:val="000000"/>
          <w:sz w:val="20"/>
          <w:szCs w:val="20"/>
        </w:rPr>
        <w:t xml:space="preserve">3.2 Training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**Phase**</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**Domain**</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**Data Source**</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**Timeline**</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**Estimated Docs**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SEC Filings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EDGAR (US)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Weeks 1--4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500K+</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Patents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USPTO, IP Australia, EPO, CIPO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Months 2--4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1M+</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Academic / Legal</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AustLII, CanLII, SAFLII, Kenya Law</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Months 3--6</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2M+</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Regulatory (Wave 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UK Companies House, ACRA, ASIC</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Months 4--8</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3M+</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Regulatory (Wave 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EU, India, Japan, South Korea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Months 6--12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5M+</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6</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Regulatory (Wave 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LatAm, Africa, Middle East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Months 10--18</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10M+</w:t>
            </w:r>
          </w:p>
        </w:tc>
      </w:tr>
    </w:tbl>
    <w:p>
      <w:pPr>
        <w:spacing w:after="80" w:before="80"/>
      </w:pPr>
      <w:r>
        <w:rPr>
          <w:rFonts w:ascii="Arial" w:cs="Arial" w:eastAsia="Arial" w:hAnsi="Arial"/>
          <w:color w:val="000000"/>
          <w:sz w:val="20"/>
          <w:szCs w:val="20"/>
        </w:rPr>
        <w:t xml:space="preserve">3.3 Nessie Infrastructure</w:t>
      </w:r>
    </w:p>
    <w:p>
      <w:pPr>
        <w:pStyle w:val="ListParagraph"/>
        <w:numPr>
          <w:ilvl w:val="0"/>
          <w:numId w:val="2"/>
        </w:numPr>
        <w:spacing w:after="60" w:before="60"/>
      </w:pPr>
      <w:r>
        <w:rPr>
          <w:rFonts w:ascii="Arial" w:cs="Arial" w:eastAsia="Arial" w:hAnsi="Arial"/>
          <w:b/>
          <w:bCs/>
          <w:color w:val="000000"/>
          <w:sz w:val="20"/>
          <w:szCs w:val="20"/>
        </w:rPr>
        <w:t xml:space="preserve">Initial Training:</w:t>
      </w:r>
      <w:r>
        <w:rPr>
          <w:rFonts w:ascii="Arial" w:cs="Arial" w:eastAsia="Arial" w:hAnsi="Arial"/>
          <w:color w:val="000000"/>
          <w:sz w:val="20"/>
          <w:szCs w:val="20"/>
        </w:rPr>
        <w:t xml:space="preserve"> Together AI managed infrastructure for rapid prototyping and first Nessie LoRA adapters.</w:t>
      </w:r>
    </w:p>
    <w:p>
      <w:pPr>
        <w:pStyle w:val="ListParagraph"/>
        <w:numPr>
          <w:ilvl w:val="0"/>
          <w:numId w:val="2"/>
        </w:numPr>
        <w:spacing w:after="60" w:before="60"/>
      </w:pPr>
      <w:r>
        <w:rPr>
          <w:rFonts w:ascii="Arial" w:cs="Arial" w:eastAsia="Arial" w:hAnsi="Arial"/>
          <w:b/>
          <w:bCs/>
          <w:color w:val="000000"/>
          <w:sz w:val="20"/>
          <w:szCs w:val="20"/>
        </w:rPr>
        <w:t xml:space="preserve">Production Training:</w:t>
      </w:r>
      <w:r>
        <w:rPr>
          <w:rFonts w:ascii="Arial" w:cs="Arial" w:eastAsia="Arial" w:hAnsi="Arial"/>
          <w:color w:val="000000"/>
          <w:sz w:val="20"/>
          <w:szCs w:val="20"/>
        </w:rPr>
        <w:t xml:space="preserve"> Self-hosted GPU cluster (A100/H100) for ongoing Nessie fine-tuning and model updates.</w:t>
      </w:r>
    </w:p>
    <w:p>
      <w:pPr>
        <w:pStyle w:val="ListParagraph"/>
        <w:numPr>
          <w:ilvl w:val="0"/>
          <w:numId w:val="2"/>
        </w:numPr>
        <w:spacing w:after="60" w:before="60"/>
      </w:pPr>
      <w:r>
        <w:rPr>
          <w:rFonts w:ascii="Arial" w:cs="Arial" w:eastAsia="Arial" w:hAnsi="Arial"/>
          <w:b/>
          <w:bCs/>
          <w:color w:val="000000"/>
          <w:sz w:val="20"/>
          <w:szCs w:val="20"/>
        </w:rPr>
        <w:t xml:space="preserve">Client-Side Inference:</w:t>
      </w:r>
      <w:r>
        <w:rPr>
          <w:rFonts w:ascii="Arial" w:cs="Arial" w:eastAsia="Arial" w:hAnsi="Arial"/>
          <w:color w:val="000000"/>
          <w:sz w:val="20"/>
          <w:szCs w:val="20"/>
        </w:rPr>
        <w:t xml:space="preserve"> WebLLM enables browser-based Nessie inference, ensuring user data never leaves the client device. This preserves Arkova's privacy guarantee and enables use cases in regulated industries where data residency is critical.</w:t>
      </w:r>
    </w:p>
    <w:p>
      <w:pPr>
        <w:spacing w:after="80" w:before="80"/>
      </w:pPr>
      <w:r>
        <w:rPr>
          <w:rFonts w:ascii="Arial" w:cs="Arial" w:eastAsia="Arial" w:hAnsi="Arial"/>
          <w:color w:val="000000"/>
          <w:sz w:val="20"/>
          <w:szCs w:val="20"/>
        </w:rPr>
        <w:t xml:space="preserve">3.4 Cost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**Cost Category**</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**Year 1**</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**Year 2**</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**Year 3**</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GPU Compute (Training)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$200K--$350K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$150K--$250K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$100K--$200K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GPU Compute (Inference)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$80K--$150K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$200K--$400K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$300K--$500K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Data Pipeline Engineering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$200K--$300K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$150K--$200K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$100K--$150K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ML Engineering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$100K--$120K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$200K--$300K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$300K--$400K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Total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$580K--$920K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$700K--$1.15M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$800K--$1.25M</w:t>
            </w:r>
          </w:p>
        </w:tc>
      </w:tr>
    </w:tbl>
    <w:p>
      <w:pPr>
        <w:spacing w:after="80" w:before="80"/>
      </w:pPr>
      <w:r>
        <w:rPr>
          <w:rFonts w:ascii="Arial" w:cs="Arial" w:eastAsia="Arial" w:hAnsi="Arial"/>
          <w:color w:val="000000"/>
          <w:sz w:val="20"/>
          <w:szCs w:val="20"/>
        </w:rPr>
        <w:t xml:space="preserve">3.5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**Revenue Stream**</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**Year 1**</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**Year 2**</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**Year 3**</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Nessie API Queries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$200K--$800K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$1M--$3M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$3M--$8M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Compliance SaaS (Nessie-powered)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$500K--$2M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$2M--$5M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$5M--$15M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Enterprise Nessie Licensing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$500K--$5.5M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$2M--$10M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$5M--$20M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Total Projected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$1.2M--$8.3M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$5M--$18M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$13M--$43M</w:t>
            </w:r>
          </w:p>
        </w:tc>
      </w:tr>
    </w:tbl>
    <w:p>
      <w:pPr>
        <w:spacing w:after="80" w:before="80"/>
      </w:pPr>
      <w:r>
        <w:rPr>
          <w:rFonts w:ascii="Arial" w:cs="Arial" w:eastAsia="Arial" w:hAnsi="Arial"/>
          <w:color w:val="000000"/>
          <w:sz w:val="20"/>
          <w:szCs w:val="20"/>
        </w:rPr>
        <w:t xml:space="preserve">3.6 The Nessie Moat: Verified Training Data</w:t>
      </w:r>
    </w:p>
    <w:p>
      <w:pPr>
        <w:spacing w:after="80" w:before="80"/>
      </w:pPr>
      <w:r>
        <w:rPr>
          <w:rFonts w:ascii="Arial" w:cs="Arial" w:eastAsia="Arial" w:hAnsi="Arial"/>
          <w:color w:val="000000"/>
          <w:sz w:val="20"/>
          <w:szCs w:val="20"/>
        </w:rPr>
        <w:t xml:space="preserve">Every document in Nessie's training corpus has a Bitcoin-anchored timestamp proving when it was ingested and that it has not been altered. This creates a unique competitive advantage:</w:t>
      </w:r>
    </w:p>
    <w:p>
      <w:pPr>
        <w:pStyle w:val="ListParagraph"/>
        <w:numPr>
          <w:ilvl w:val="0"/>
          <w:numId w:val="2"/>
        </w:numPr>
        <w:spacing w:after="60" w:before="60"/>
      </w:pPr>
      <w:r>
        <w:rPr>
          <w:rFonts w:ascii="Arial" w:cs="Arial" w:eastAsia="Arial" w:hAnsi="Arial"/>
          <w:b/>
          <w:bCs/>
          <w:color w:val="000000"/>
          <w:sz w:val="20"/>
          <w:szCs w:val="20"/>
        </w:rPr>
        <w:t xml:space="preserve">Provenance:</w:t>
      </w:r>
      <w:r>
        <w:rPr>
          <w:rFonts w:ascii="Arial" w:cs="Arial" w:eastAsia="Arial" w:hAnsi="Arial"/>
          <w:color w:val="000000"/>
          <w:sz w:val="20"/>
          <w:szCs w:val="20"/>
        </w:rPr>
        <w:t xml:space="preserve"> Users can trace any Nessie output back to its verified source documents.</w:t>
      </w:r>
    </w:p>
    <w:p>
      <w:pPr>
        <w:pStyle w:val="ListParagraph"/>
        <w:numPr>
          <w:ilvl w:val="0"/>
          <w:numId w:val="2"/>
        </w:numPr>
        <w:spacing w:after="60" w:before="60"/>
      </w:pPr>
      <w:r>
        <w:rPr>
          <w:rFonts w:ascii="Arial" w:cs="Arial" w:eastAsia="Arial" w:hAnsi="Arial"/>
          <w:b/>
          <w:bCs/>
          <w:color w:val="000000"/>
          <w:sz w:val="20"/>
          <w:szCs w:val="20"/>
        </w:rPr>
        <w:t xml:space="preserve">Auditability:</w:t>
      </w:r>
      <w:r>
        <w:rPr>
          <w:rFonts w:ascii="Arial" w:cs="Arial" w:eastAsia="Arial" w:hAnsi="Arial"/>
          <w:color w:val="000000"/>
          <w:sz w:val="20"/>
          <w:szCs w:val="20"/>
        </w:rPr>
        <w:t xml:space="preserve"> Regulators can independently verify the training data's authenticity.</w:t>
      </w:r>
    </w:p>
    <w:p>
      <w:pPr>
        <w:pStyle w:val="ListParagraph"/>
        <w:numPr>
          <w:ilvl w:val="0"/>
          <w:numId w:val="2"/>
        </w:numPr>
        <w:spacing w:after="60" w:before="60"/>
      </w:pPr>
      <w:r>
        <w:rPr>
          <w:rFonts w:ascii="Arial" w:cs="Arial" w:eastAsia="Arial" w:hAnsi="Arial"/>
          <w:b/>
          <w:bCs/>
          <w:color w:val="000000"/>
          <w:sz w:val="20"/>
          <w:szCs w:val="20"/>
        </w:rPr>
        <w:t xml:space="preserve">Legal defensibility:</w:t>
      </w:r>
      <w:r>
        <w:rPr>
          <w:rFonts w:ascii="Arial" w:cs="Arial" w:eastAsia="Arial" w:hAnsi="Arial"/>
          <w:color w:val="000000"/>
          <w:sz w:val="20"/>
          <w:szCs w:val="20"/>
        </w:rPr>
        <w:t xml:space="preserve"> Outputs carry the same evidentiary weight as the underlying anchored documents.</w:t>
      </w:r>
    </w:p>
    <w:p>
      <w:pPr>
        <w:pStyle w:val="ListParagraph"/>
        <w:numPr>
          <w:ilvl w:val="0"/>
          <w:numId w:val="2"/>
        </w:numPr>
        <w:spacing w:after="60" w:before="60"/>
      </w:pPr>
      <w:r>
        <w:rPr>
          <w:rFonts w:ascii="Arial" w:cs="Arial" w:eastAsia="Arial" w:hAnsi="Arial"/>
          <w:b/>
          <w:bCs/>
          <w:color w:val="000000"/>
          <w:sz w:val="20"/>
          <w:szCs w:val="20"/>
        </w:rPr>
        <w:t xml:space="preserve">Anti-hallucination:</w:t>
      </w:r>
      <w:r>
        <w:rPr>
          <w:rFonts w:ascii="Arial" w:cs="Arial" w:eastAsia="Arial" w:hAnsi="Arial"/>
          <w:color w:val="000000"/>
          <w:sz w:val="20"/>
          <w:szCs w:val="20"/>
        </w:rPr>
        <w:t xml:space="preserve"> RAG against verified corpus with provenance tracking dramatically reduces hallucination risk.</w:t>
      </w:r>
    </w:p>
    <w:p>
      <w:pPr>
        <w:spacing w:after="80" w:before="80"/>
      </w:pPr>
      <w:r>
        <w:rPr>
          <w:rFonts w:ascii="Arial" w:cs="Arial" w:eastAsia="Arial" w:hAnsi="Arial"/>
          <w:color w:val="000000"/>
          <w:sz w:val="20"/>
          <w:szCs w:val="20"/>
        </w:rPr>
        <w:t xml:space="preserve">3.7 Multi-Lingual Training</w:t>
      </w:r>
    </w:p>
    <w:p>
      <w:pPr>
        <w:spacing w:after="80" w:before="80"/>
      </w:pPr>
      <w:r>
        <w:rPr>
          <w:rFonts w:ascii="Arial" w:cs="Arial" w:eastAsia="Arial" w:hAnsi="Arial"/>
          <w:color w:val="000000"/>
          <w:sz w:val="20"/>
          <w:szCs w:val="20"/>
        </w:rPr>
        <w:t xml:space="preserve">Global jurisdiction coverage requires multi-lingual capability. The training pipeline processes documents in their original language and produces LoRA adapters with language-specific fine-tuning:</w:t>
      </w:r>
    </w:p>
    <w:p>
      <w:pPr>
        <w:pStyle w:val="ListParagraph"/>
        <w:numPr>
          <w:ilvl w:val="0"/>
          <w:numId w:val="2"/>
        </w:numPr>
        <w:spacing w:after="60" w:before="60"/>
      </w:pPr>
      <w:r>
        <w:rPr>
          <w:rFonts w:ascii="Arial" w:cs="Arial" w:eastAsia="Arial" w:hAnsi="Arial"/>
          <w:b/>
          <w:bCs/>
          <w:color w:val="000000"/>
          <w:sz w:val="20"/>
          <w:szCs w:val="20"/>
        </w:rPr>
        <w:t xml:space="preserve">Wave 1 (English):</w:t>
      </w:r>
      <w:r>
        <w:rPr>
          <w:rFonts w:ascii="Arial" w:cs="Arial" w:eastAsia="Arial" w:hAnsi="Arial"/>
          <w:color w:val="000000"/>
          <w:sz w:val="20"/>
          <w:szCs w:val="20"/>
        </w:rPr>
        <w:t xml:space="preserve"> US, UK, Australia, Canada, Singapore, Kenya, South Africa, Nigeria, Ghana, India, Hong Kong.</w:t>
      </w:r>
    </w:p>
    <w:p>
      <w:pPr>
        <w:pStyle w:val="ListParagraph"/>
        <w:numPr>
          <w:ilvl w:val="0"/>
          <w:numId w:val="2"/>
        </w:numPr>
        <w:spacing w:after="60" w:before="60"/>
      </w:pPr>
      <w:r>
        <w:rPr>
          <w:rFonts w:ascii="Arial" w:cs="Arial" w:eastAsia="Arial" w:hAnsi="Arial"/>
          <w:b/>
          <w:bCs/>
          <w:color w:val="000000"/>
          <w:sz w:val="20"/>
          <w:szCs w:val="20"/>
        </w:rPr>
        <w:t xml:space="preserve">Wave 2 (European):</w:t>
      </w:r>
      <w:r>
        <w:rPr>
          <w:rFonts w:ascii="Arial" w:cs="Arial" w:eastAsia="Arial" w:hAnsi="Arial"/>
          <w:color w:val="000000"/>
          <w:sz w:val="20"/>
          <w:szCs w:val="20"/>
        </w:rPr>
        <w:t xml:space="preserve"> French, German, Dutch, Italian via EUR-Lex and national registries.</w:t>
      </w:r>
    </w:p>
    <w:p>
      <w:pPr>
        <w:pStyle w:val="ListParagraph"/>
        <w:numPr>
          <w:ilvl w:val="0"/>
          <w:numId w:val="2"/>
        </w:numPr>
        <w:spacing w:after="60" w:before="60"/>
      </w:pPr>
      <w:r>
        <w:rPr>
          <w:rFonts w:ascii="Arial" w:cs="Arial" w:eastAsia="Arial" w:hAnsi="Arial"/>
          <w:b/>
          <w:bCs/>
          <w:color w:val="000000"/>
          <w:sz w:val="20"/>
          <w:szCs w:val="20"/>
        </w:rPr>
        <w:t xml:space="preserve">Wave 3 (Asian):</w:t>
      </w:r>
      <w:r>
        <w:rPr>
          <w:rFonts w:ascii="Arial" w:cs="Arial" w:eastAsia="Arial" w:hAnsi="Arial"/>
          <w:color w:val="000000"/>
          <w:sz w:val="20"/>
          <w:szCs w:val="20"/>
        </w:rPr>
        <w:t xml:space="preserve"> Japanese (EDINET), Korean (DART), Simplified Chinese (CNINFO).</w:t>
      </w:r>
    </w:p>
    <w:p>
      <w:pPr>
        <w:pStyle w:val="ListParagraph"/>
        <w:numPr>
          <w:ilvl w:val="0"/>
          <w:numId w:val="2"/>
        </w:numPr>
        <w:spacing w:after="60" w:before="60"/>
      </w:pPr>
      <w:r>
        <w:rPr>
          <w:rFonts w:ascii="Arial" w:cs="Arial" w:eastAsia="Arial" w:hAnsi="Arial"/>
          <w:b/>
          <w:bCs/>
          <w:color w:val="000000"/>
          <w:sz w:val="20"/>
          <w:szCs w:val="20"/>
        </w:rPr>
        <w:t xml:space="preserve">Wave 4 (Latin American):</w:t>
      </w:r>
      <w:r>
        <w:rPr>
          <w:rFonts w:ascii="Arial" w:cs="Arial" w:eastAsia="Arial" w:hAnsi="Arial"/>
          <w:color w:val="000000"/>
          <w:sz w:val="20"/>
          <w:szCs w:val="20"/>
        </w:rPr>
        <w:t xml:space="preserve"> Portuguese (Brazil CVM, INPI), Spanish (Mexico, Colombia, Chile, Argentina, Peru).</w:t>
      </w:r>
    </w:p>
    <w:p>
      <w:pPr>
        <w:pStyle w:val="ListParagraph"/>
        <w:numPr>
          <w:ilvl w:val="0"/>
          <w:numId w:val="2"/>
        </w:numPr>
        <w:spacing w:after="60" w:before="60"/>
      </w:pPr>
      <w:r>
        <w:rPr>
          <w:rFonts w:ascii="Arial" w:cs="Arial" w:eastAsia="Arial" w:hAnsi="Arial"/>
          <w:b/>
          <w:bCs/>
          <w:color w:val="000000"/>
          <w:sz w:val="20"/>
          <w:szCs w:val="20"/>
        </w:rPr>
        <w:t xml:space="preserve">Wave 5 (Middle Eastern):</w:t>
      </w:r>
      <w:r>
        <w:rPr>
          <w:rFonts w:ascii="Arial" w:cs="Arial" w:eastAsia="Arial" w:hAnsi="Arial"/>
          <w:color w:val="000000"/>
          <w:sz w:val="20"/>
          <w:szCs w:val="20"/>
        </w:rPr>
        <w:t xml:space="preserve"> Arabic (UAE DIFC/ADGM, Saudi Tadawul).</w:t>
      </w:r>
    </w:p>
    <w:p>
      <w:pPr>
        <w:spacing w:after="80" w:before="80"/>
      </w:pPr>
      <w:r>
        <w:rPr>
          <w:rFonts w:ascii="Arial" w:cs="Arial" w:eastAsia="Arial" w:hAnsi="Arial"/>
          <w:color w:val="000000"/>
          <w:sz w:val="20"/>
          <w:szCs w:val="20"/>
        </w:rPr>
        <w:t xml:space="preserve">Part 4: Global Data Bootstrap Strategy</w:t>
      </w:r>
    </w:p>
    <w:p>
      <w:pPr>
        <w:spacing w:after="80" w:before="80"/>
      </w:pPr>
      <w:r>
        <w:rPr>
          <w:rFonts w:ascii="Arial" w:cs="Arial" w:eastAsia="Arial" w:hAnsi="Arial"/>
          <w:color w:val="000000"/>
          <w:sz w:val="20"/>
          <w:szCs w:val="20"/>
        </w:rPr>
        <w:t xml:space="preserve">Arkova's competitive moat depends on building the world's most comprehensive corpus of Bitcoin-anchored regulatory documents. This section details the prioritized jurisdiction rollout, balancing commercial value, data accessibility, and legal feasibility.</w:t>
      </w:r>
    </w:p>
    <w:p>
      <w:pPr>
        <w:spacing w:after="80" w:before="80"/>
      </w:pPr>
      <w:r>
        <w:rPr>
          <w:rFonts w:ascii="Arial" w:cs="Arial" w:eastAsia="Arial" w:hAnsi="Arial"/>
          <w:color w:val="000000"/>
          <w:sz w:val="20"/>
          <w:szCs w:val="20"/>
        </w:rPr>
        <w:t xml:space="preserve">4.1 Jurisdiction Priority Framework</w:t>
      </w:r>
    </w:p>
    <w:p>
      <w:pPr>
        <w:spacing w:after="80" w:before="80"/>
      </w:pPr>
      <w:r>
        <w:rPr>
          <w:rFonts w:ascii="Arial" w:cs="Arial" w:eastAsia="Arial" w:hAnsi="Arial"/>
          <w:color w:val="000000"/>
          <w:sz w:val="20"/>
          <w:szCs w:val="20"/>
        </w:rPr>
        <w:t xml:space="preserve">Jurisdictions are ranked by a composite score of three factors:</w:t>
      </w:r>
    </w:p>
    <w:p>
      <w:pPr>
        <w:pStyle w:val="ListParagraph"/>
        <w:numPr>
          <w:ilvl w:val="0"/>
          <w:numId w:val="2"/>
        </w:numPr>
        <w:spacing w:after="60" w:before="60"/>
      </w:pPr>
      <w:r>
        <w:rPr>
          <w:rFonts w:ascii="Arial" w:cs="Arial" w:eastAsia="Arial" w:hAnsi="Arial"/>
          <w:b/>
          <w:bCs/>
          <w:color w:val="000000"/>
          <w:sz w:val="20"/>
          <w:szCs w:val="20"/>
        </w:rPr>
        <w:t xml:space="preserve">Commercial Value:</w:t>
      </w:r>
      <w:r>
        <w:rPr>
          <w:rFonts w:ascii="Arial" w:cs="Arial" w:eastAsia="Arial" w:hAnsi="Arial"/>
          <w:color w:val="000000"/>
          <w:sz w:val="20"/>
          <w:szCs w:val="20"/>
        </w:rPr>
        <w:t xml:space="preserve"> Market size, willingness to pay, regulatory complexity.</w:t>
      </w:r>
    </w:p>
    <w:p>
      <w:pPr>
        <w:pStyle w:val="ListParagraph"/>
        <w:numPr>
          <w:ilvl w:val="0"/>
          <w:numId w:val="2"/>
        </w:numPr>
        <w:spacing w:after="60" w:before="60"/>
      </w:pPr>
      <w:r>
        <w:rPr>
          <w:rFonts w:ascii="Arial" w:cs="Arial" w:eastAsia="Arial" w:hAnsi="Arial"/>
          <w:b/>
          <w:bCs/>
          <w:color w:val="000000"/>
          <w:sz w:val="20"/>
          <w:szCs w:val="20"/>
        </w:rPr>
        <w:t xml:space="preserve">Data Accessibility:</w:t>
      </w:r>
      <w:r>
        <w:rPr>
          <w:rFonts w:ascii="Arial" w:cs="Arial" w:eastAsia="Arial" w:hAnsi="Arial"/>
          <w:color w:val="000000"/>
          <w:sz w:val="20"/>
          <w:szCs w:val="20"/>
        </w:rPr>
        <w:t xml:space="preserve"> Quality of public APIs, structured data availability, language barriers.</w:t>
      </w:r>
    </w:p>
    <w:p>
      <w:pPr>
        <w:pStyle w:val="ListParagraph"/>
        <w:numPr>
          <w:ilvl w:val="0"/>
          <w:numId w:val="2"/>
        </w:numPr>
        <w:spacing w:after="60" w:before="60"/>
      </w:pPr>
      <w:r>
        <w:rPr>
          <w:rFonts w:ascii="Arial" w:cs="Arial" w:eastAsia="Arial" w:hAnsi="Arial"/>
          <w:b/>
          <w:bCs/>
          <w:color w:val="000000"/>
          <w:sz w:val="20"/>
          <w:szCs w:val="20"/>
        </w:rPr>
        <w:t xml:space="preserve">Legal Feasibility:</w:t>
      </w:r>
      <w:r>
        <w:rPr>
          <w:rFonts w:ascii="Arial" w:cs="Arial" w:eastAsia="Arial" w:hAnsi="Arial"/>
          <w:color w:val="000000"/>
          <w:sz w:val="20"/>
          <w:szCs w:val="20"/>
        </w:rPr>
        <w:t xml:space="preserve"> Data licensing, scraping legality, privacy regulations.</w:t>
      </w:r>
    </w:p>
    <w:p>
      <w:pPr>
        <w:spacing w:after="80" w:before="80"/>
      </w:pPr>
      <w:r>
        <w:rPr>
          <w:rFonts w:ascii="Arial" w:cs="Arial" w:eastAsia="Arial" w:hAnsi="Arial"/>
          <w:color w:val="000000"/>
          <w:sz w:val="20"/>
          <w:szCs w:val="20"/>
        </w:rPr>
        <w:t xml:space="preserve">4.2 Wave 1: English-Speaking, Structured APIs (Months 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**Jurisdiction**</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**Data Sources**</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**Document Types**</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**Est. Volume**</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**Access Method**</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United States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EDGAR, USPTO, Federal Register, PACER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SEC filings, patents, regulations, court records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API + bulk download</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United Kingdom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Companies House, IPO, legislation.gov.uk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Company filings, patents, legislation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API</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Australia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ASIC, AustLII, IP Australia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Company filings, case law, patents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API + scraping</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Canada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SEDAR+, CIPO, CanLII</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Securities filings, patents, case law</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API + bulk</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Singapore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ACRA, SGX, IPOS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Company filings, exchange filings, IP</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500K+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API</w:t>
            </w:r>
          </w:p>
        </w:tc>
      </w:tr>
    </w:tbl>
    <w:p>
      <w:pPr>
        <w:spacing w:after="80" w:before="80"/>
      </w:pPr>
      <w:r>
        <w:rPr>
          <w:rFonts w:ascii="Arial" w:cs="Arial" w:eastAsia="Arial" w:hAnsi="Arial"/>
          <w:color w:val="000000"/>
          <w:sz w:val="20"/>
          <w:szCs w:val="20"/>
        </w:rPr>
        <w:t xml:space="preserve">4.3 Wave 2: Mixed Language, Good APIs (Months 4--12)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**Jurisdiction**</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**Data Sources**</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**Language**</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**Est. Volume**</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**Complexity**</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European Union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EUIPO, EPO, EUR-Lex</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Multi (EN/FR/DE)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Medium</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India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MCA, SEBI, Controller General of Patents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English + Hindi</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Medium</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Japan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EDINET, JPO, e-Gov</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Japanese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High</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South Korea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DART, KIPO, Korean Law</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Korean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High</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Hong Kong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CR, HKEX, HKIPO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English + Chinese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500K+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Medium</w:t>
            </w:r>
          </w:p>
        </w:tc>
      </w:tr>
    </w:tbl>
    <w:p>
      <w:pPr>
        <w:spacing w:after="80" w:before="80"/>
      </w:pPr>
      <w:r>
        <w:rPr>
          <w:rFonts w:ascii="Arial" w:cs="Arial" w:eastAsia="Arial" w:hAnsi="Arial"/>
          <w:color w:val="000000"/>
          <w:sz w:val="20"/>
          <w:szCs w:val="20"/>
        </w:rPr>
        <w:t xml:space="preserve">4.4 Wave 3: Emerging Markets (Months 8--18)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**Region**</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**Key Jurisdictions**</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**Data Sources**</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**Challenge Level**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Latin America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Brazil (CVM, INPI), Mexico (BMV, IMPI), Colombia, Chile, Argentina, Peru</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Securities commissions, IP offices, legal databases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High --- varied APIs, scraping heavy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Africa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Kenya (Gazette, eCitizen, Kenya Law), South Africa (CIPC, SAFLII), Nigeria, Ghana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Government gazettes, company registries, case law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High --- limited digital infrastructure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Middle East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UAE (DIFC, ADGM), Saudi Arabia (Tadawul)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Free zone registries, exchanges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Medium --- English available in free zones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China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CNINFO, CNIPA, China Judgments Online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Exchange filings, patents, court decisions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Very High --- language, access restrictions</w:t>
            </w:r>
          </w:p>
        </w:tc>
      </w:tr>
    </w:tbl>
    <w:p>
      <w:pPr>
        <w:spacing w:after="80" w:before="80"/>
      </w:pPr>
      <w:r>
        <w:rPr>
          <w:rFonts w:ascii="Arial" w:cs="Arial" w:eastAsia="Arial" w:hAnsi="Arial"/>
          <w:color w:val="000000"/>
          <w:sz w:val="20"/>
          <w:szCs w:val="20"/>
        </w:rPr>
        <w:t xml:space="preserve">4.5 Technical Architecture for Multi-Jurisdiction Ingestion</w:t>
      </w:r>
    </w:p>
    <w:p>
      <w:pPr>
        <w:spacing w:after="80" w:before="80"/>
      </w:pPr>
      <w:r>
        <w:rPr>
          <w:rFonts w:ascii="Arial" w:cs="Arial" w:eastAsia="Arial" w:hAnsi="Arial"/>
          <w:color w:val="000000"/>
          <w:sz w:val="20"/>
          <w:szCs w:val="20"/>
        </w:rPr>
        <w:t xml:space="preserve">The ingestion pipeline is designed for maximum flexibility across diverse data sources:</w:t>
      </w:r>
    </w:p>
    <w:p>
      <w:pPr>
        <w:pStyle w:val="ListParagraph"/>
        <w:numPr>
          <w:ilvl w:val="0"/>
          <w:numId w:val="3"/>
        </w:numPr>
        <w:spacing w:after="60" w:before="60"/>
      </w:pPr>
      <w:r>
        <w:rPr>
          <w:rFonts w:ascii="Arial" w:cs="Arial" w:eastAsia="Arial" w:hAnsi="Arial"/>
          <w:color w:val="000000"/>
          <w:sz w:val="20"/>
          <w:szCs w:val="20"/>
        </w:rPr>
        <w:t xml:space="preserve">Source Adapters: Pluggable adapters per data source (API client, web scraper, bulk download handler). Each adapter normalizes documents into a common schema.</w:t>
      </w:r>
    </w:p>
    <w:p>
      <w:pPr>
        <w:pStyle w:val="ListParagraph"/>
        <w:numPr>
          <w:ilvl w:val="0"/>
          <w:numId w:val="3"/>
        </w:numPr>
        <w:spacing w:after="60" w:before="60"/>
      </w:pPr>
      <w:r>
        <w:rPr>
          <w:rFonts w:ascii="Arial" w:cs="Arial" w:eastAsia="Arial" w:hAnsi="Arial"/>
          <w:color w:val="000000"/>
          <w:sz w:val="20"/>
          <w:szCs w:val="20"/>
        </w:rPr>
        <w:t xml:space="preserve">Document Processor: Extracts text, metadata, and structure. Handles multi-language content with language detection and translation where needed.</w:t>
      </w:r>
    </w:p>
    <w:p>
      <w:pPr>
        <w:pStyle w:val="ListParagraph"/>
        <w:numPr>
          <w:ilvl w:val="0"/>
          <w:numId w:val="3"/>
        </w:numPr>
        <w:spacing w:after="60" w:before="60"/>
      </w:pPr>
      <w:r>
        <w:rPr>
          <w:rFonts w:ascii="Arial" w:cs="Arial" w:eastAsia="Arial" w:hAnsi="Arial"/>
          <w:color w:val="000000"/>
          <w:sz w:val="20"/>
          <w:szCs w:val="20"/>
        </w:rPr>
        <w:t xml:space="preserve">Anchoring Engine: Bitcoin-timestamps every document upon ingestion. Creates merkle trees for batch anchoring efficiency.</w:t>
      </w:r>
    </w:p>
    <w:p>
      <w:pPr>
        <w:pStyle w:val="ListParagraph"/>
        <w:numPr>
          <w:ilvl w:val="0"/>
          <w:numId w:val="3"/>
        </w:numPr>
        <w:spacing w:after="60" w:before="60"/>
      </w:pPr>
      <w:r>
        <w:rPr>
          <w:rFonts w:ascii="Arial" w:cs="Arial" w:eastAsia="Arial" w:hAnsi="Arial"/>
          <w:color w:val="000000"/>
          <w:sz w:val="20"/>
          <w:szCs w:val="20"/>
        </w:rPr>
        <w:t xml:space="preserve">Index Builder: Builds searchable indices per jurisdiction, document type, and language. Feeds the RAG pipeline for SLM queries.</w:t>
      </w:r>
    </w:p>
    <w:p>
      <w:pPr>
        <w:pStyle w:val="ListParagraph"/>
        <w:numPr>
          <w:ilvl w:val="0"/>
          <w:numId w:val="3"/>
        </w:numPr>
        <w:spacing w:after="60" w:before="60"/>
      </w:pPr>
      <w:r>
        <w:rPr>
          <w:rFonts w:ascii="Arial" w:cs="Arial" w:eastAsia="Arial" w:hAnsi="Arial"/>
          <w:color w:val="000000"/>
          <w:sz w:val="20"/>
          <w:szCs w:val="20"/>
        </w:rPr>
        <w:t xml:space="preserve">Quality Assurance: Automated validation of document completeness, deduplication, and cross-referencing against known filing databases.</w:t>
      </w:r>
    </w:p>
    <w:p>
      <w:pPr>
        <w:spacing w:after="80" w:before="80"/>
      </w:pPr>
      <w:r>
        <w:rPr>
          <w:rFonts w:ascii="Arial" w:cs="Arial" w:eastAsia="Arial" w:hAnsi="Arial"/>
          <w:color w:val="000000"/>
          <w:sz w:val="20"/>
          <w:szCs w:val="20"/>
        </w:rPr>
        <w:t xml:space="preserve">4.6 Legal Analysis by Region</w:t>
      </w:r>
    </w:p>
    <w:p>
      <w:pPr>
        <w:spacing w:after="80" w:before="80"/>
      </w:pPr>
      <w:r>
        <w:rPr>
          <w:rFonts w:ascii="Arial" w:cs="Arial" w:eastAsia="Arial" w:hAnsi="Arial"/>
          <w:color w:val="000000"/>
          <w:sz w:val="20"/>
          <w:szCs w:val="20"/>
        </w:rPr>
        <w:t xml:space="preserve">Data collection legality varies significantly by jurisdiction. Key considerations:</w:t>
      </w:r>
    </w:p>
    <w:p>
      <w:pPr>
        <w:pStyle w:val="ListParagraph"/>
        <w:numPr>
          <w:ilvl w:val="0"/>
          <w:numId w:val="2"/>
        </w:numPr>
        <w:spacing w:after="60" w:before="60"/>
      </w:pPr>
      <w:r>
        <w:rPr>
          <w:rFonts w:ascii="Arial" w:cs="Arial" w:eastAsia="Arial" w:hAnsi="Arial"/>
          <w:b/>
          <w:bCs/>
          <w:color w:val="000000"/>
          <w:sz w:val="20"/>
          <w:szCs w:val="20"/>
        </w:rPr>
        <w:t xml:space="preserve">US/UK/Australia/Canada:</w:t>
      </w:r>
      <w:r>
        <w:rPr>
          <w:rFonts w:ascii="Arial" w:cs="Arial" w:eastAsia="Arial" w:hAnsi="Arial"/>
          <w:color w:val="000000"/>
          <w:sz w:val="20"/>
          <w:szCs w:val="20"/>
        </w:rPr>
        <w:t xml:space="preserve"> Public records are freely available for commercial use. Government data is generally not copyrightable.</w:t>
      </w:r>
    </w:p>
    <w:p>
      <w:pPr>
        <w:pStyle w:val="ListParagraph"/>
        <w:numPr>
          <w:ilvl w:val="0"/>
          <w:numId w:val="2"/>
        </w:numPr>
        <w:spacing w:after="60" w:before="60"/>
      </w:pPr>
      <w:r>
        <w:rPr>
          <w:rFonts w:ascii="Arial" w:cs="Arial" w:eastAsia="Arial" w:hAnsi="Arial"/>
          <w:b/>
          <w:bCs/>
          <w:color w:val="000000"/>
          <w:sz w:val="20"/>
          <w:szCs w:val="20"/>
        </w:rPr>
        <w:t xml:space="preserve">EU:</w:t>
      </w:r>
      <w:r>
        <w:rPr>
          <w:rFonts w:ascii="Arial" w:cs="Arial" w:eastAsia="Arial" w:hAnsi="Arial"/>
          <w:color w:val="000000"/>
          <w:sz w:val="20"/>
          <w:szCs w:val="20"/>
        </w:rPr>
        <w:t xml:space="preserve"> Database Directive applies. Scraping may trigger sui generis database rights. Use official APIs and bulk download programs where available.</w:t>
      </w:r>
    </w:p>
    <w:p>
      <w:pPr>
        <w:pStyle w:val="ListParagraph"/>
        <w:numPr>
          <w:ilvl w:val="0"/>
          <w:numId w:val="2"/>
        </w:numPr>
        <w:spacing w:after="60" w:before="60"/>
      </w:pPr>
      <w:r>
        <w:rPr>
          <w:rFonts w:ascii="Arial" w:cs="Arial" w:eastAsia="Arial" w:hAnsi="Arial"/>
          <w:b/>
          <w:bCs/>
          <w:color w:val="000000"/>
          <w:sz w:val="20"/>
          <w:szCs w:val="20"/>
        </w:rPr>
        <w:t xml:space="preserve">Japan/Korea:</w:t>
      </w:r>
      <w:r>
        <w:rPr>
          <w:rFonts w:ascii="Arial" w:cs="Arial" w:eastAsia="Arial" w:hAnsi="Arial"/>
          <w:color w:val="000000"/>
          <w:sz w:val="20"/>
          <w:szCs w:val="20"/>
        </w:rPr>
        <w:t xml:space="preserve"> Copyright on government works varies. Japan allows reproduction for informational use; Korea requires case-by-case analysis.</w:t>
      </w:r>
    </w:p>
    <w:p>
      <w:pPr>
        <w:pStyle w:val="ListParagraph"/>
        <w:numPr>
          <w:ilvl w:val="0"/>
          <w:numId w:val="2"/>
        </w:numPr>
        <w:spacing w:after="60" w:before="60"/>
      </w:pPr>
      <w:r>
        <w:rPr>
          <w:rFonts w:ascii="Arial" w:cs="Arial" w:eastAsia="Arial" w:hAnsi="Arial"/>
          <w:b/>
          <w:bCs/>
          <w:color w:val="000000"/>
          <w:sz w:val="20"/>
          <w:szCs w:val="20"/>
        </w:rPr>
        <w:t xml:space="preserve">Kenya/South Africa:</w:t>
      </w:r>
      <w:r>
        <w:rPr>
          <w:rFonts w:ascii="Arial" w:cs="Arial" w:eastAsia="Arial" w:hAnsi="Arial"/>
          <w:color w:val="000000"/>
          <w:sz w:val="20"/>
          <w:szCs w:val="20"/>
        </w:rPr>
        <w:t xml:space="preserve"> Carson is actively working with local counsel in Kenya. Government gazettes are public domain. Case law databases require licensing review.</w:t>
      </w:r>
    </w:p>
    <w:p>
      <w:pPr>
        <w:pStyle w:val="ListParagraph"/>
        <w:numPr>
          <w:ilvl w:val="0"/>
          <w:numId w:val="2"/>
        </w:numPr>
        <w:spacing w:after="60" w:before="60"/>
      </w:pPr>
      <w:r>
        <w:rPr>
          <w:rFonts w:ascii="Arial" w:cs="Arial" w:eastAsia="Arial" w:hAnsi="Arial"/>
          <w:b/>
          <w:bCs/>
          <w:color w:val="000000"/>
          <w:sz w:val="20"/>
          <w:szCs w:val="20"/>
        </w:rPr>
        <w:t xml:space="preserve">China:</w:t>
      </w:r>
      <w:r>
        <w:rPr>
          <w:rFonts w:ascii="Arial" w:cs="Arial" w:eastAsia="Arial" w:hAnsi="Arial"/>
          <w:color w:val="000000"/>
          <w:sz w:val="20"/>
          <w:szCs w:val="20"/>
        </w:rPr>
        <w:t xml:space="preserve"> Significant access restrictions. Data localization requirements may necessitate in-country infrastructure.</w:t>
      </w:r>
    </w:p>
    <w:p>
      <w:pPr>
        <w:pStyle w:val="ListParagraph"/>
        <w:numPr>
          <w:ilvl w:val="0"/>
          <w:numId w:val="2"/>
        </w:numPr>
        <w:spacing w:after="60" w:before="60"/>
      </w:pPr>
      <w:r>
        <w:rPr>
          <w:rFonts w:ascii="Arial" w:cs="Arial" w:eastAsia="Arial" w:hAnsi="Arial"/>
          <w:b/>
          <w:bCs/>
          <w:color w:val="000000"/>
          <w:sz w:val="20"/>
          <w:szCs w:val="20"/>
        </w:rPr>
        <w:t xml:space="preserve">UAE/Saudi:</w:t>
      </w:r>
      <w:r>
        <w:rPr>
          <w:rFonts w:ascii="Arial" w:cs="Arial" w:eastAsia="Arial" w:hAnsi="Arial"/>
          <w:color w:val="000000"/>
          <w:sz w:val="20"/>
          <w:szCs w:val="20"/>
        </w:rPr>
        <w:t xml:space="preserve"> Free zone data (DIFC, ADGM) is accessible in English. Mainland data requires Arabic processing and local legal review.</w:t>
      </w:r>
    </w:p>
    <w:p>
      <w:pPr>
        <w:spacing w:after="80" w:before="80"/>
      </w:pPr>
      <w:r>
        <w:rPr>
          <w:rFonts w:ascii="Arial" w:cs="Arial" w:eastAsia="Arial" w:hAnsi="Arial"/>
          <w:color w:val="000000"/>
          <w:sz w:val="20"/>
          <w:szCs w:val="20"/>
        </w:rPr>
        <w:t xml:space="preserve">4.7 Timeline and Cost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**Wave**</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**Timeline**</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**Engineering Cost**</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**Legal/Licensing Cost**</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**Total**</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Wave 1 (US, UK, AU, CA, SG)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Months 0--6</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$150K--$250K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$20K--$40K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$170K--$290K</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Wave 2 (EU, IN, JP, KR, HK)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Months 4--12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$200K--$350K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$40K--$80K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$240K--$430K</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Wave 3 (LatAm, Africa, ME, CN)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Months 8--18</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$250K--$400K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$60K--$120K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$310K--$520K</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Total</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18 months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$600K--$1M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$120K--$240K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$720K--$1.24M</w:t>
            </w:r>
          </w:p>
        </w:tc>
      </w:tr>
    </w:tbl>
    <w:p>
      <w:pPr>
        <w:spacing w:after="80" w:before="80"/>
      </w:pPr>
      <w:r>
        <w:rPr>
          <w:rFonts w:ascii="Arial" w:cs="Arial" w:eastAsia="Arial" w:hAnsi="Arial"/>
          <w:color w:val="000000"/>
          <w:sz w:val="20"/>
          <w:szCs w:val="20"/>
        </w:rPr>
        <w:t xml:space="preserve">Part 5: Gap Analysis &amp; Risk Assessment</w:t>
      </w:r>
    </w:p>
    <w:p>
      <w:pPr>
        <w:spacing w:after="80" w:before="80"/>
      </w:pPr>
      <w:r>
        <w:rPr>
          <w:rFonts w:ascii="Arial" w:cs="Arial" w:eastAsia="Arial" w:hAnsi="Arial"/>
          <w:color w:val="000000"/>
          <w:sz w:val="20"/>
          <w:szCs w:val="20"/>
        </w:rPr>
        <w:t xml:space="preserve">5.1 Critical Path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**Dependency**</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**Impact**</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**Mitigation**</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AWS KMS for Bitcoin mainnet signing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Blocks production mainnet anchoring; testnet only without it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Apply for KMS asymmetric signing access; fallback to self-managed HSM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Blocked --- application pending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Nessie training infrastructure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Delays Nessie prototype and production deployment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Together AI for initial runs; self-hosted GPU cluster for scale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In progress --- EDGAR fetcher building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Self-hosted x402 facilitator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Production payment processing depends on facilitator stability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Extensive load testing; Coinbase hosted as fallback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In development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QTSP partnership for e-signatures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Phase III e-signature functionality blocked without partner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Begin outreach to European QTSPs in Phase II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Not started</w:t>
            </w:r>
          </w:p>
        </w:tc>
      </w:tr>
    </w:tbl>
    <w:p>
      <w:pPr>
        <w:spacing w:after="80" w:before="80"/>
      </w:pPr>
      <w:r>
        <w:rPr>
          <w:rFonts w:ascii="Arial" w:cs="Arial" w:eastAsia="Arial" w:hAnsi="Arial"/>
          <w:color w:val="000000"/>
          <w:sz w:val="20"/>
          <w:szCs w:val="20"/>
        </w:rPr>
        <w:t xml:space="preserve">5.2 Technical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**Risk**</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**Probability**</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**Impact**</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**Mitigation**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Multi-language NLP quality in Nessie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Language-specific LoRA adapters; human-in-the-loop for low-resource languages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Data source API instability/changes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Adapter abstraction layer; monitoring and alerting on ingestion failures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WebLLM performance on consumer hardware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Quantization (4-bit/8-bit); progressive model loading; server-side fallback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Bitcoin anchoring costs at scale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Low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Merkle tree batching; anchor once per block with thousands of documents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Rate limiting on government data sources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Respectful scraping; bulk download where available; caching layer</w:t>
            </w:r>
          </w:p>
        </w:tc>
      </w:tr>
    </w:tbl>
    <w:p>
      <w:pPr>
        <w:spacing w:after="80" w:before="80"/>
      </w:pPr>
      <w:r>
        <w:rPr>
          <w:rFonts w:ascii="Arial" w:cs="Arial" w:eastAsia="Arial" w:hAnsi="Arial"/>
          <w:color w:val="000000"/>
          <w:sz w:val="20"/>
          <w:szCs w:val="20"/>
        </w:rPr>
        <w:t xml:space="preserve">5.3 Regulatory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**Jurisdiction**</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**Risk**</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EU (GDPR)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Data processing of regulatory filings may contain PII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PII detection and redaction pipeline; GDPR-compliant processing agreements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China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Data localization requirements; CAC approval may be needed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In-country infrastructure; local legal counsel; phased approach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India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DPDP Act compliance for data processing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Process only public filings; no personal data retention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Brazil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LGPD compliance; Portuguese language processing quality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Local data processing; human review for quality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Kenya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Evolving data protection framework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Active engagement with local counsel (in progress)</w:t>
            </w:r>
          </w:p>
        </w:tc>
      </w:tr>
    </w:tbl>
    <w:p>
      <w:pPr>
        <w:spacing w:after="80" w:before="80"/>
      </w:pPr>
      <w:r>
        <w:rPr>
          <w:rFonts w:ascii="Arial" w:cs="Arial" w:eastAsia="Arial" w:hAnsi="Arial"/>
          <w:color w:val="000000"/>
          <w:sz w:val="20"/>
          <w:szCs w:val="20"/>
        </w:rPr>
        <w:t xml:space="preserve">5.4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**Competitor**</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**Focus**</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**Arkova Advantage**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Harvey AI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Legal AI assistant for law firms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Harvey lacks cryptographic verification; not compliance-focused; no micropayment API for agents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AlphaSense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Financial research and market intelligence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AlphaSense is search-only; no anchoring, no compliance automation, no Nessie-class verified AI, no agent interoperability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Chainalysis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Blockchain analytics and compliance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Chainalysis focuses on crypto transactions; Arkova covers all regulatory domains with verified AI</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Thomson Reuters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Legal research and compliance tools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Legacy architecture; no AI-native compliance; no micropayment agent economy integration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Compliance.ai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Regulatory change management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Narrow focus on change tracking; no verified corpus, no Nessie, no Bitcoin anchoring</w:t>
            </w:r>
          </w:p>
        </w:tc>
      </w:tr>
    </w:tbl>
    <w:p>
      <w:pPr>
        <w:spacing w:after="80" w:before="80"/>
      </w:pPr>
      <w:r>
        <w:rPr>
          <w:rFonts w:ascii="Arial" w:cs="Arial" w:eastAsia="Arial" w:hAnsi="Arial"/>
          <w:color w:val="000000"/>
          <w:sz w:val="20"/>
          <w:szCs w:val="20"/>
        </w:rPr>
        <w:t xml:space="preserve">5.5 SOC 2 Timeline</w:t>
      </w:r>
    </w:p>
    <w:p>
      <w:pPr>
        <w:spacing w:after="80" w:before="80"/>
      </w:pPr>
      <w:r>
        <w:rPr>
          <w:rFonts w:ascii="Arial" w:cs="Arial" w:eastAsia="Arial" w:hAnsi="Arial"/>
          <w:color w:val="000000"/>
          <w:sz w:val="20"/>
          <w:szCs w:val="20"/>
        </w:rPr>
        <w:t xml:space="preserve">SOC 2 Type II certification is targeted for Month 12. Key milestones:</w:t>
      </w:r>
    </w:p>
    <w:p>
      <w:pPr>
        <w:pStyle w:val="ListParagraph"/>
        <w:numPr>
          <w:ilvl w:val="0"/>
          <w:numId w:val="2"/>
        </w:numPr>
        <w:spacing w:after="60" w:before="60"/>
      </w:pPr>
      <w:r>
        <w:rPr>
          <w:rFonts w:ascii="Arial" w:cs="Arial" w:eastAsia="Arial" w:hAnsi="Arial"/>
          <w:b/>
          <w:bCs/>
          <w:color w:val="000000"/>
          <w:sz w:val="20"/>
          <w:szCs w:val="20"/>
        </w:rPr>
        <w:t xml:space="preserve">Month 3:</w:t>
      </w:r>
      <w:r>
        <w:rPr>
          <w:rFonts w:ascii="Arial" w:cs="Arial" w:eastAsia="Arial" w:hAnsi="Arial"/>
          <w:color w:val="000000"/>
          <w:sz w:val="20"/>
          <w:szCs w:val="20"/>
        </w:rPr>
        <w:t xml:space="preserve"> Security policies and procedures documented. Access controls implemented.</w:t>
      </w:r>
    </w:p>
    <w:p>
      <w:pPr>
        <w:pStyle w:val="ListParagraph"/>
        <w:numPr>
          <w:ilvl w:val="0"/>
          <w:numId w:val="2"/>
        </w:numPr>
        <w:spacing w:after="60" w:before="60"/>
      </w:pPr>
      <w:r>
        <w:rPr>
          <w:rFonts w:ascii="Arial" w:cs="Arial" w:eastAsia="Arial" w:hAnsi="Arial"/>
          <w:b/>
          <w:bCs/>
          <w:color w:val="000000"/>
          <w:sz w:val="20"/>
          <w:szCs w:val="20"/>
        </w:rPr>
        <w:t xml:space="preserve">Month 6:</w:t>
      </w:r>
      <w:r>
        <w:rPr>
          <w:rFonts w:ascii="Arial" w:cs="Arial" w:eastAsia="Arial" w:hAnsi="Arial"/>
          <w:color w:val="000000"/>
          <w:sz w:val="20"/>
          <w:szCs w:val="20"/>
        </w:rPr>
        <w:t xml:space="preserve"> SOC 2 Type I audit initiated. Remediation of any findings.</w:t>
      </w:r>
    </w:p>
    <w:p>
      <w:pPr>
        <w:pStyle w:val="ListParagraph"/>
        <w:numPr>
          <w:ilvl w:val="0"/>
          <w:numId w:val="2"/>
        </w:numPr>
        <w:spacing w:after="60" w:before="60"/>
      </w:pPr>
      <w:r>
        <w:rPr>
          <w:rFonts w:ascii="Arial" w:cs="Arial" w:eastAsia="Arial" w:hAnsi="Arial"/>
          <w:b/>
          <w:bCs/>
          <w:color w:val="000000"/>
          <w:sz w:val="20"/>
          <w:szCs w:val="20"/>
        </w:rPr>
        <w:t xml:space="preserve">Month 9:</w:t>
      </w:r>
      <w:r>
        <w:rPr>
          <w:rFonts w:ascii="Arial" w:cs="Arial" w:eastAsia="Arial" w:hAnsi="Arial"/>
          <w:color w:val="000000"/>
          <w:sz w:val="20"/>
          <w:szCs w:val="20"/>
        </w:rPr>
        <w:t xml:space="preserve"> Observation period begins for Type II.</w:t>
      </w:r>
    </w:p>
    <w:p>
      <w:pPr>
        <w:pStyle w:val="ListParagraph"/>
        <w:numPr>
          <w:ilvl w:val="0"/>
          <w:numId w:val="2"/>
        </w:numPr>
        <w:spacing w:after="60" w:before="60"/>
      </w:pPr>
      <w:r>
        <w:rPr>
          <w:rFonts w:ascii="Arial" w:cs="Arial" w:eastAsia="Arial" w:hAnsi="Arial"/>
          <w:b/>
          <w:bCs/>
          <w:color w:val="000000"/>
          <w:sz w:val="20"/>
          <w:szCs w:val="20"/>
        </w:rPr>
        <w:t xml:space="preserve">Month 12:</w:t>
      </w:r>
      <w:r>
        <w:rPr>
          <w:rFonts w:ascii="Arial" w:cs="Arial" w:eastAsia="Arial" w:hAnsi="Arial"/>
          <w:color w:val="000000"/>
          <w:sz w:val="20"/>
          <w:szCs w:val="20"/>
        </w:rPr>
        <w:t xml:space="preserve"> SOC 2 Type II report issued.</w:t>
      </w:r>
    </w:p>
    <w:p>
      <w:pPr>
        <w:spacing w:after="80" w:before="80"/>
      </w:pPr>
      <w:r>
        <w:rPr>
          <w:rFonts w:ascii="Arial" w:cs="Arial" w:eastAsia="Arial" w:hAnsi="Arial"/>
          <w:color w:val="000000"/>
          <w:sz w:val="20"/>
          <w:szCs w:val="20"/>
        </w:rPr>
        <w:t xml:space="preserve">Appendix</w:t>
      </w:r>
    </w:p>
    <w:p>
      <w:pPr>
        <w:spacing w:after="80" w:before="80"/>
      </w:pPr>
      <w:r>
        <w:rPr>
          <w:rFonts w:ascii="Arial" w:cs="Arial" w:eastAsia="Arial" w:hAnsi="Arial"/>
          <w:color w:val="000000"/>
          <w:sz w:val="20"/>
          <w:szCs w:val="20"/>
        </w:rPr>
        <w:t xml:space="preserve">A. Open Questions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**Question**</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**Owner**</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**Status**</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**Target Date**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AWS KMS approval timeline for asymmetric signing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Carson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Pending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TBD</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Optimal QTSP partners for eIDAS e-signatures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Legal</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Not started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Month 12</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China data localization architecture and cost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Engineering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Research</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Month 8</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Kenya legal counsel engagement scope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Carson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In progress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Month 2</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Nessie/WebLLM performance benchmarks on target hardware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ML Team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Not started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Month 4</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6</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Multi-jurisdiction conflict-of-law implications for compliance attestations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Legal</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Not started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Month 6</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7</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Pricing validation for compliance SaaS tiers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Product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Not started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Month 3</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8</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Nessie accuracy benchmarks vs. GPT-4/Claude on regulatory tasks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ML Team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Planned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Month 5</w:t>
            </w:r>
          </w:p>
        </w:tc>
      </w:tr>
    </w:tbl>
    <w:p>
      <w:pPr>
        <w:spacing w:after="80" w:before="80"/>
      </w:pPr>
      <w:r>
        <w:rPr>
          <w:rFonts w:ascii="Arial" w:cs="Arial" w:eastAsia="Arial" w:hAnsi="Arial"/>
          <w:color w:val="000000"/>
          <w:sz w:val="20"/>
          <w:szCs w:val="20"/>
        </w:rPr>
        <w:t xml:space="preserve">B. Competitive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**Capability**</w:t>
            </w:r>
          </w:p>
        </w:tc>
        <w:tc>
          <w:tcPr>
            <w:tcW w:type="dxa" w:w="15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**Arkova**</w:t>
            </w:r>
          </w:p>
        </w:tc>
        <w:tc>
          <w:tcPr>
            <w:tcW w:type="dxa" w:w="15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**Harvey AI**</w:t>
            </w:r>
          </w:p>
        </w:tc>
        <w:tc>
          <w:tcPr>
            <w:tcW w:type="dxa" w:w="15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**AlphaSense**</w:t>
            </w:r>
          </w:p>
        </w:tc>
        <w:tc>
          <w:tcPr>
            <w:tcW w:type="dxa" w:w="15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**Chainalysis**</w:t>
            </w:r>
          </w:p>
        </w:tc>
        <w:tc>
          <w:tcPr>
            <w:tcW w:type="dxa" w:w="15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**Compliance.ai**</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Cryptographic Verification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Partial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Bitcoin Anchoring</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Agent Micropayments (x402)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Nessie (Verified SLM)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Multi-Jurisdiction Coverage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Limited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Limited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Crypto-focused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US + EU</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Compliance Automation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Full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Partial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Partial</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Client-Side Inference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Real-Time Regulatory Monitoring</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Partial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E-Signature Integration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Planned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t>
            </w:r>
          </w:p>
        </w:tc>
      </w:tr>
    </w:tbl>
    <w:p>
      <w:pPr>
        <w:spacing w:after="80" w:before="80"/>
      </w:pPr>
      <w:r>
        <w:rPr>
          <w:rFonts w:ascii="Arial" w:cs="Arial" w:eastAsia="Arial" w:hAnsi="Arial"/>
          <w:color w:val="000000"/>
          <w:sz w:val="20"/>
          <w:szCs w:val="20"/>
        </w:rPr>
        <w:t xml:space="preserve">C. Technical Architecture Overview</w:t>
      </w:r>
    </w:p>
    <w:p>
      <w:pPr>
        <w:spacing w:after="80" w:before="80"/>
      </w:pPr>
      <w:r>
        <w:rPr>
          <w:rFonts w:ascii="Arial" w:cs="Arial" w:eastAsia="Arial" w:hAnsi="Arial"/>
          <w:color w:val="000000"/>
          <w:sz w:val="20"/>
          <w:szCs w:val="20"/>
        </w:rPr>
        <w:t xml:space="preserve">The Arkova platform architecture consists of five primary layers:</w:t>
      </w:r>
    </w:p>
    <w:p>
      <w:pPr>
        <w:pStyle w:val="ListParagraph"/>
        <w:numPr>
          <w:ilvl w:val="0"/>
          <w:numId w:val="3"/>
        </w:numPr>
        <w:spacing w:after="60" w:before="60"/>
      </w:pPr>
      <w:r>
        <w:rPr>
          <w:rFonts w:ascii="Arial" w:cs="Arial" w:eastAsia="Arial" w:hAnsi="Arial"/>
          <w:color w:val="000000"/>
          <w:sz w:val="20"/>
          <w:szCs w:val="20"/>
        </w:rPr>
        <w:t xml:space="preserve">Data Ingestion Layer: Source adapters, document processors, and the anchoring engine. Handles multi-jurisdiction, multi-language document intake.</w:t>
      </w:r>
    </w:p>
    <w:p>
      <w:pPr>
        <w:pStyle w:val="ListParagraph"/>
        <w:numPr>
          <w:ilvl w:val="0"/>
          <w:numId w:val="3"/>
        </w:numPr>
        <w:spacing w:after="60" w:before="60"/>
      </w:pPr>
      <w:r>
        <w:rPr>
          <w:rFonts w:ascii="Arial" w:cs="Arial" w:eastAsia="Arial" w:hAnsi="Arial"/>
          <w:color w:val="000000"/>
          <w:sz w:val="20"/>
          <w:szCs w:val="20"/>
        </w:rPr>
        <w:t xml:space="preserve">Verification Layer: Bitcoin anchoring via direct OP_RETURN, cryptographic hash verification, and merkle tree management.</w:t>
      </w:r>
    </w:p>
    <w:p>
      <w:pPr>
        <w:pStyle w:val="ListParagraph"/>
        <w:numPr>
          <w:ilvl w:val="0"/>
          <w:numId w:val="3"/>
        </w:numPr>
        <w:spacing w:after="60" w:before="60"/>
      </w:pPr>
      <w:r>
        <w:rPr>
          <w:rFonts w:ascii="Arial" w:cs="Arial" w:eastAsia="Arial" w:hAnsi="Arial"/>
          <w:color w:val="000000"/>
          <w:sz w:val="20"/>
          <w:szCs w:val="20"/>
        </w:rPr>
        <w:t xml:space="preserve">Intelligence Layer: Nessie (Llama 3.1 8B + LoRA), RAG pipeline, and compliance reasoning engine.</w:t>
      </w:r>
    </w:p>
    <w:p>
      <w:pPr>
        <w:pStyle w:val="ListParagraph"/>
        <w:numPr>
          <w:ilvl w:val="0"/>
          <w:numId w:val="3"/>
        </w:numPr>
        <w:spacing w:after="60" w:before="60"/>
      </w:pPr>
      <w:r>
        <w:rPr>
          <w:rFonts w:ascii="Arial" w:cs="Arial" w:eastAsia="Arial" w:hAnsi="Arial"/>
          <w:color w:val="000000"/>
          <w:sz w:val="20"/>
          <w:szCs w:val="20"/>
        </w:rPr>
        <w:t xml:space="preserve">API Layer: REST API with x402 payment integration, MCP server, and agent framework SDKs.</w:t>
      </w:r>
    </w:p>
    <w:p>
      <w:pPr>
        <w:pStyle w:val="ListParagraph"/>
        <w:numPr>
          <w:ilvl w:val="0"/>
          <w:numId w:val="3"/>
        </w:numPr>
        <w:spacing w:after="60" w:before="60"/>
      </w:pPr>
      <w:r>
        <w:rPr>
          <w:rFonts w:ascii="Arial" w:cs="Arial" w:eastAsia="Arial" w:hAnsi="Arial"/>
          <w:color w:val="000000"/>
          <w:sz w:val="20"/>
          <w:szCs w:val="20"/>
        </w:rPr>
        <w:t xml:space="preserve">Application Layer: Compliance dashboards, monitoring tools, and enterprise management console.</w:t>
      </w:r>
    </w:p>
    <w:p>
      <w:pPr>
        <w:spacing w:after="80" w:before="80"/>
      </w:pPr>
      <w:r>
        <w:rPr>
          <w:rFonts w:ascii="Arial" w:cs="Arial" w:eastAsia="Arial" w:hAnsi="Arial"/>
          <w:color w:val="000000"/>
          <w:sz w:val="20"/>
          <w:szCs w:val="20"/>
        </w:rPr>
        <w:t xml:space="preserve">Each layer is independently scalable and designed for multi-tenant operation with jurisdiction-level data isolation where required by regulation.</w:t>
      </w:r>
    </w:p>
    <w:p>
      <w:r>
        <w:br w:type="page"/>
      </w:r>
    </w:p>
    <w:p>
      <w:pPr>
        <w:spacing w:after="200" w:before="2400"/>
        <w:jc w:val="center"/>
      </w:pPr>
      <w:r>
        <w:rPr>
          <w:rFonts w:ascii="Arial" w:cs="Arial" w:eastAsia="Arial" w:hAnsi="Arial"/>
          <w:b/>
          <w:bCs/>
          <w:color w:val="2B5797"/>
          <w:sz w:val="48"/>
          <w:szCs w:val="48"/>
        </w:rPr>
        <w:t xml:space="preserve">PART 2</w:t>
      </w:r>
    </w:p>
    <w:p>
      <w:pPr>
        <w:spacing w:after="100" w:before="200"/>
        <w:jc w:val="center"/>
      </w:pPr>
      <w:r>
        <w:rPr>
          <w:rFonts w:ascii="Arial" w:cs="Arial" w:eastAsia="Arial" w:hAnsi="Arial"/>
          <w:b/>
          <w:bCs/>
          <w:color w:val="333333"/>
          <w:sz w:val="36"/>
          <w:szCs w:val="36"/>
        </w:rPr>
        <w:t xml:space="preserve">Nessie — Verified Intelligence Deep Dive</w:t>
      </w:r>
    </w:p>
    <w:p>
      <w:pPr>
        <w:spacing w:after="600" w:before="100"/>
        <w:jc w:val="center"/>
      </w:pPr>
      <w:r>
        <w:rPr>
          <w:rFonts w:ascii="Arial" w:cs="Arial" w:eastAsia="Arial" w:hAnsi="Arial"/>
          <w:i/>
          <w:iCs/>
          <w:color w:val="666666"/>
          <w:sz w:val="24"/>
          <w:szCs w:val="24"/>
        </w:rPr>
        <w:t xml:space="preserve">Source: Arkova-Verified-Intelligence-SLM-Analysis.docx</w:t>
      </w:r>
    </w:p>
    <w:p>
      <w:pPr>
        <w:pBdr>
          <w:bottom w:val="single" w:color="2B5797" w:sz="6" w:space="1"/>
        </w:pBdr>
        <w:spacing w:after="400" w:before="200"/>
        <w:jc w:val="center"/>
      </w:pPr>
      <w:r>
        <w:rPr>
          <w:sz w:val="10"/>
          <w:szCs w:val="10"/>
        </w:rPr>
        <w:t xml:space="preserve"> </w:t>
      </w:r>
    </w:p>
    <w:p>
      <w:pPr>
        <w:spacing w:after="80" w:before="80"/>
      </w:pPr>
      <w:r>
        <w:rPr>
          <w:rFonts w:ascii="Arial" w:cs="Arial" w:eastAsia="Arial" w:hAnsi="Arial"/>
          <w:b/>
          <w:bCs/>
          <w:color w:val="000000"/>
          <w:sz w:val="20"/>
          <w:szCs w:val="20"/>
        </w:rPr>
        <w:t xml:space="preserve">ARKOVA</w:t>
      </w:r>
    </w:p>
    <w:p>
      <w:pPr>
        <w:spacing w:after="80" w:before="80"/>
      </w:pPr>
      <w:r>
        <w:rPr>
          <w:rFonts w:ascii="Arial" w:cs="Arial" w:eastAsia="Arial" w:hAnsi="Arial"/>
          <w:color w:val="000000"/>
          <w:sz w:val="20"/>
          <w:szCs w:val="20"/>
        </w:rPr>
        <w:t xml:space="preserve">Arkova --- Nessie</w:t>
      </w:r>
    </w:p>
    <w:p>
      <w:pPr>
        <w:spacing w:after="80" w:before="80"/>
      </w:pPr>
      <w:r>
        <w:rPr>
          <w:rFonts w:ascii="Arial" w:cs="Arial" w:eastAsia="Arial" w:hAnsi="Arial"/>
          <w:color w:val="000000"/>
          <w:sz w:val="20"/>
          <w:szCs w:val="20"/>
        </w:rPr>
        <w:t xml:space="preserve">Building Verified Intelligence on Cryptographically Anchored Data</w:t>
      </w:r>
    </w:p>
    <w:p>
      <w:pPr>
        <w:spacing w:after="80" w:before="80"/>
      </w:pPr>
      <w:r>
        <w:rPr>
          <w:rFonts w:ascii="Arial" w:cs="Arial" w:eastAsia="Arial" w:hAnsi="Arial"/>
          <w:color w:val="000000"/>
          <w:sz w:val="20"/>
          <w:szCs w:val="20"/>
        </w:rPr>
        <w:t xml:space="preserve">Strategic &amp; Technical Analysis | March 2026</w:t>
      </w:r>
    </w:p>
    <w:p>
      <w:pPr>
        <w:spacing w:after="80" w:before="80"/>
      </w:pPr>
      <w:r>
        <w:rPr>
          <w:rFonts w:ascii="Arial" w:cs="Arial" w:eastAsia="Arial" w:hAnsi="Arial"/>
          <w:b/>
          <w:bCs/>
          <w:color w:val="000000"/>
          <w:sz w:val="20"/>
          <w:szCs w:val="20"/>
        </w:rPr>
        <w:t xml:space="preserve">CONFIDENTIAL</w:t>
      </w:r>
    </w:p>
    <w:p>
      <w:pPr>
        <w:spacing w:after="80" w:before="80"/>
      </w:pPr>
      <w:r>
        <w:rPr>
          <w:rFonts w:ascii="Arial" w:cs="Arial" w:eastAsia="Arial" w:hAnsi="Arial"/>
          <w:color w:val="000000"/>
          <w:sz w:val="20"/>
          <w:szCs w:val="20"/>
        </w:rPr>
        <w:t xml:space="preserve">Prepared for Arkova Leadership</w:t>
      </w:r>
    </w:p>
    <w:p>
      <w:pPr>
        <w:spacing w:after="80" w:before="80"/>
      </w:pPr>
      <w:r>
        <w:rPr>
          <w:rFonts w:ascii="Arial" w:cs="Arial" w:eastAsia="Arial" w:hAnsi="Arial"/>
          <w:b/>
          <w:bCs/>
          <w:color w:val="000000"/>
          <w:sz w:val="20"/>
          <w:szCs w:val="20"/>
        </w:rPr>
        <w:t xml:space="preserve">Executive Summary</w:t>
      </w:r>
    </w:p>
    <w:p>
      <w:pPr>
        <w:spacing w:after="80" w:before="80"/>
      </w:pPr>
      <w:r>
        <w:rPr>
          <w:rFonts w:ascii="Arial" w:cs="Arial" w:eastAsia="Arial" w:hAnsi="Arial"/>
          <w:color w:val="000000"/>
          <w:sz w:val="20"/>
          <w:szCs w:val="20"/>
        </w:rPr>
        <w:t xml:space="preserve">This document presents a comprehensive strategic and technical analysis of building Nessie, a verification-aware Small Language Model (SLM), for Arkova. The core thesis: Arkova can create the first language model whose training data is entirely comprised of cryptographically verified, Bitcoin-anchored documents, enabling every model output to be traced to a tamper-evident source.</w:t>
      </w:r>
    </w:p>
    <w:p>
      <w:pPr>
        <w:spacing w:after="80" w:before="80"/>
      </w:pPr>
      <w:r>
        <w:rPr>
          <w:rFonts w:ascii="Arial" w:cs="Arial" w:eastAsia="Arial" w:hAnsi="Arial"/>
          <w:b/>
          <w:bCs/>
          <w:color w:val="000000"/>
          <w:sz w:val="20"/>
          <w:szCs w:val="20"/>
        </w:rPr>
        <w:t xml:space="preserve">The Opportunity</w:t>
      </w:r>
    </w:p>
    <w:p>
      <w:pPr>
        <w:spacing w:after="80" w:before="80"/>
      </w:pPr>
      <w:r>
        <w:rPr>
          <w:rFonts w:ascii="Arial" w:cs="Arial" w:eastAsia="Arial" w:hAnsi="Arial"/>
          <w:color w:val="000000"/>
          <w:sz w:val="20"/>
          <w:szCs w:val="20"/>
        </w:rPr>
        <w:t xml:space="preserve">Arkova is uniquely positioned at the intersection of three converging trends: the enterprise demand for trustworthy AI ($91B document AI market by 2034), the regulatory push for AI transparency (EU AI Act training data disclosure requirements effective August 2025), and the growing crisis of AI hallucination (37-45% citation hallucination rates in leading AI search tools). No existing competitor combines cryptographic document verification with domain-specific AI, creating a defensible first-mover advantage.</w:t>
      </w:r>
    </w:p>
    <w:p>
      <w:pPr>
        <w:spacing w:after="80" w:before="80"/>
      </w:pPr>
      <w:r>
        <w:rPr>
          <w:rFonts w:ascii="Arial" w:cs="Arial" w:eastAsia="Arial" w:hAnsi="Arial"/>
          <w:b/>
          <w:bCs/>
          <w:color w:val="000000"/>
          <w:sz w:val="20"/>
          <w:szCs w:val="20"/>
        </w:rPr>
        <w:t xml:space="preserve">Key Findings</w:t>
      </w:r>
    </w:p>
    <w:p>
      <w:pPr>
        <w:pStyle w:val="ListParagraph"/>
        <w:numPr>
          <w:ilvl w:val="0"/>
          <w:numId w:val="2"/>
        </w:numPr>
        <w:spacing w:after="60" w:before="60"/>
      </w:pPr>
      <w:r>
        <w:rPr>
          <w:rFonts w:ascii="Arial" w:cs="Arial" w:eastAsia="Arial" w:hAnsi="Arial"/>
          <w:color w:val="000000"/>
          <w:sz w:val="20"/>
          <w:szCs w:val="20"/>
        </w:rPr>
        <w:t xml:space="preserve">A hybrid RAG + fine-tuned approach for Nessie is optimal, using a 7B-parameter base model (Llama 3.1 or Mistral) with LoRA adapters for domain specialization across SEC, USPTO, and academic corpora.</w:t>
      </w:r>
    </w:p>
    <w:p>
      <w:pPr>
        <w:pStyle w:val="ListParagraph"/>
        <w:numPr>
          <w:ilvl w:val="0"/>
          <w:numId w:val="2"/>
        </w:numPr>
        <w:spacing w:after="60" w:before="60"/>
      </w:pPr>
      <w:r>
        <w:rPr>
          <w:rFonts w:ascii="Arial" w:cs="Arial" w:eastAsia="Arial" w:hAnsi="Arial"/>
          <w:color w:val="000000"/>
          <w:sz w:val="20"/>
          <w:szCs w:val="20"/>
        </w:rPr>
        <w:t xml:space="preserve">Year 1 total investment is estimated at ~$175K-$240K, using a synthetic data distillation approach: 1 ML engineer ($150-180K), synthetic data generation via Claude/Gemini APIs ($5-10K), and compute for fine-tuning on Together AI/Modal ($20-50K). Use existing frontier models (Claude, Gemini) to generate synthetic training data and instruction/completion pairs from the anchored corpus. This distillation approach eliminates the need for manual data labeling and reduces the ML team from 3-4 to 1 strong engineer.</w:t>
      </w:r>
    </w:p>
    <w:p>
      <w:pPr>
        <w:pStyle w:val="ListParagraph"/>
        <w:numPr>
          <w:ilvl w:val="0"/>
          <w:numId w:val="2"/>
        </w:numPr>
        <w:spacing w:after="60" w:before="60"/>
      </w:pPr>
      <w:r>
        <w:rPr>
          <w:rFonts w:ascii="Arial" w:cs="Arial" w:eastAsia="Arial" w:hAnsi="Arial"/>
          <w:color w:val="000000"/>
          <w:sz w:val="20"/>
          <w:szCs w:val="20"/>
        </w:rPr>
        <w:t xml:space="preserve">Client-side inference is feasible for 1B-3B models via WebLLM/WebGPU at 40-180 tokens/second, preserving the documents-never-leave-device guarantee.</w:t>
      </w:r>
    </w:p>
    <w:p>
      <w:pPr>
        <w:pStyle w:val="ListParagraph"/>
        <w:numPr>
          <w:ilvl w:val="0"/>
          <w:numId w:val="2"/>
        </w:numPr>
        <w:spacing w:after="60" w:before="60"/>
      </w:pPr>
      <w:r>
        <w:rPr>
          <w:rFonts w:ascii="Arial" w:cs="Arial" w:eastAsia="Arial" w:hAnsi="Arial"/>
          <w:color w:val="000000"/>
          <w:sz w:val="20"/>
          <w:szCs w:val="20"/>
        </w:rPr>
        <w:t xml:space="preserve">The verified training data moat is real but nuanced: RAG with provenance tracking (linking outputs to Bitcoin-anchored source documents) is more defensible than pure fine-tuning attribution.</w:t>
      </w:r>
    </w:p>
    <w:p>
      <w:pPr>
        <w:pStyle w:val="ListParagraph"/>
        <w:numPr>
          <w:ilvl w:val="0"/>
          <w:numId w:val="2"/>
        </w:numPr>
        <w:spacing w:after="60" w:before="60"/>
      </w:pPr>
      <w:r>
        <w:rPr>
          <w:rFonts w:ascii="Arial" w:cs="Arial" w:eastAsia="Arial" w:hAnsi="Arial"/>
          <w:color w:val="000000"/>
          <w:sz w:val="20"/>
          <w:szCs w:val="20"/>
        </w:rPr>
        <w:t xml:space="preserve">Revenue projections range from $1.2M (conservative) to $8.5M (aggressive) in Year 1, with a break-even timeline of 14-22 months.</w:t>
      </w:r>
    </w:p>
    <w:p>
      <w:pPr>
        <w:pStyle w:val="ListParagraph"/>
        <w:numPr>
          <w:ilvl w:val="0"/>
          <w:numId w:val="2"/>
        </w:numPr>
        <w:spacing w:after="60" w:before="60"/>
      </w:pPr>
      <w:r>
        <w:rPr>
          <w:rFonts w:ascii="Arial" w:cs="Arial" w:eastAsia="Arial" w:hAnsi="Arial"/>
          <w:color w:val="000000"/>
          <w:sz w:val="20"/>
          <w:szCs w:val="20"/>
        </w:rPr>
        <w:t xml:space="preserve">The competitive landscape shows no direct competitor combining blockchain-anchored verification with domain-specific LLMs. Harvey ($11B), AlphaSense ($4B), and Perplexity ($21B) each address fragments of the opportunity.</w:t>
      </w:r>
    </w:p>
    <w:p>
      <w:pPr>
        <w:spacing w:after="80" w:before="80"/>
      </w:pPr>
      <w:r>
        <w:rPr>
          <w:rFonts w:ascii="Arial" w:cs="Arial" w:eastAsia="Arial" w:hAnsi="Arial"/>
          <w:b/>
          <w:bCs/>
          <w:color w:val="000000"/>
          <w:sz w:val="20"/>
          <w:szCs w:val="20"/>
        </w:rPr>
        <w:t xml:space="preserve">Recommendation: Conditional GO</w:t>
      </w:r>
    </w:p>
    <w:p>
      <w:pPr>
        <w:spacing w:after="80" w:before="80"/>
      </w:pPr>
      <w:r>
        <w:rPr>
          <w:rFonts w:ascii="Arial" w:cs="Arial" w:eastAsia="Arial" w:hAnsi="Arial"/>
          <w:color w:val="000000"/>
          <w:sz w:val="20"/>
          <w:szCs w:val="20"/>
        </w:rPr>
        <w:t xml:space="preserve">We recommend proceeding with a phased approach, starting with RAG-first architecture (Months 1-3) and adding selective fine-tuning (Months 4-8) once the corpus exceeds 5M anchored documents. This de-risks the investment while validating product-market fit before committing to full Nessie training. The critical decision gate is at Month 4: if verification API usage exceeds 50K queries/month, proceed to Phase 2. If not, continue with RAG-only and revisit.</w:t>
      </w:r>
    </w:p>
    <w:p>
      <w:pPr>
        <w:spacing w:after="80" w:before="80"/>
      </w:pPr>
      <w:r>
        <w:rPr>
          <w:rFonts w:ascii="Arial" w:cs="Arial" w:eastAsia="Arial" w:hAnsi="Arial"/>
          <w:b/>
          <w:bCs/>
          <w:color w:val="000000"/>
          <w:sz w:val="20"/>
          <w:szCs w:val="20"/>
        </w:rPr>
        <w:t xml:space="preserve">1. Architecture Options</w:t>
      </w:r>
    </w:p>
    <w:p>
      <w:pPr>
        <w:spacing w:after="80" w:before="80"/>
      </w:pPr>
      <w:r>
        <w:rPr>
          <w:rFonts w:ascii="Arial" w:cs="Arial" w:eastAsia="Arial" w:hAnsi="Arial"/>
          <w:b/>
          <w:bCs/>
          <w:color w:val="000000"/>
          <w:sz w:val="20"/>
          <w:szCs w:val="20"/>
        </w:rPr>
        <w:t xml:space="preserve">1.1 Base Model Comparison</w:t>
      </w:r>
    </w:p>
    <w:p>
      <w:pPr>
        <w:spacing w:after="80" w:before="80"/>
      </w:pPr>
      <w:r>
        <w:rPr>
          <w:rFonts w:ascii="Arial" w:cs="Arial" w:eastAsia="Arial" w:hAnsi="Arial"/>
          <w:color w:val="000000"/>
          <w:sz w:val="20"/>
          <w:szCs w:val="20"/>
        </w:rPr>
        <w:t xml:space="preserve">The following table compares leading open-source models suitable for fine-tuning on Arkova's verified document corpus. Selection criteria prioritize commercial license compatibility, fine-tuning efficiency, and domain-specific document understanding.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**Model**</w:t>
            </w:r>
          </w:p>
        </w:tc>
        <w:tc>
          <w:tcPr>
            <w:tcW w:type="dxa" w:w="15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**Params**</w:t>
            </w:r>
          </w:p>
        </w:tc>
        <w:tc>
          <w:tcPr>
            <w:tcW w:type="dxa" w:w="15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**Context**</w:t>
            </w:r>
          </w:p>
        </w:tc>
        <w:tc>
          <w:tcPr>
            <w:tcW w:type="dxa" w:w="15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**License**</w:t>
            </w:r>
          </w:p>
        </w:tc>
        <w:tc>
          <w:tcPr>
            <w:tcW w:type="dxa" w:w="15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**LoRA VRAM**</w:t>
            </w:r>
          </w:p>
        </w:tc>
        <w:tc>
          <w:tcPr>
            <w:tcW w:type="dxa" w:w="15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**MMLU**</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Llama 3.1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8B / 70B</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128K</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Meta Community*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8-9 GB / 46 GB</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73%</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Llama 3.2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1B / 3B</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128K</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Meta Community*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 GB / 6 GB</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N/A (edge)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Llama 3.3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70B</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128K</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Meta Community*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~46 GB</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68.9% (PRO)</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Mistral Small 3.1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24B</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128K</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Modified MIT**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~20 GB</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84.8%</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Phi-3 Mini</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3.8B</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128K</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MIT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~10 GB</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Competitive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Phi-4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14B</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16K</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MIT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~16 GB</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Strong STEM</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Qwen 2.5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7B / 14B / 72B</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128K</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Apache 2.0***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8 GB / 14 GB / 46 GB</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74.2% (72B)</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Gemma 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9B / 27B</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8K</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Gemma License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~10 GB / 24 GB</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Class-leading</w:t>
            </w:r>
          </w:p>
        </w:tc>
      </w:tr>
    </w:tbl>
    <w:p>
      <w:pPr>
        <w:spacing w:after="80" w:before="80"/>
      </w:pPr>
      <w:r>
        <w:rPr>
          <w:rFonts w:ascii="Arial" w:cs="Arial" w:eastAsia="Arial" w:hAnsi="Arial"/>
          <w:b/>
          <w:bCs/>
          <w:color w:val="000000"/>
          <w:sz w:val="20"/>
          <w:szCs w:val="20"/>
        </w:rPr>
        <w:t xml:space="preserve"> Restricts competitors with &gt;700M users. </w:t>
      </w:r>
      <w:r>
        <w:rPr>
          <w:rFonts w:ascii="Arial" w:cs="Arial" w:eastAsia="Arial" w:hAnsi="Arial"/>
          <w:color w:val="000000"/>
          <w:sz w:val="20"/>
          <w:szCs w:val="20"/>
        </w:rPr>
        <w:t xml:space="preserve"> Revenue conditions for $20M+ companies. **</w:t>
      </w:r>
      <w:r>
        <w:rPr>
          <w:rFonts w:ascii="Arial" w:cs="Arial" w:eastAsia="Arial" w:hAnsi="Arial"/>
          <w:i/>
          <w:iCs/>
          <w:color w:val="000000"/>
          <w:sz w:val="20"/>
          <w:szCs w:val="20"/>
        </w:rPr>
        <w:t xml:space="preserve"> 3B/72B use Qwen License.</w:t>
      </w:r>
    </w:p>
    <w:p>
      <w:pPr>
        <w:spacing w:after="80" w:before="80"/>
      </w:pPr>
      <w:r>
        <w:rPr>
          <w:rFonts w:ascii="Arial" w:cs="Arial" w:eastAsia="Arial" w:hAnsi="Arial"/>
          <w:b/>
          <w:bCs/>
          <w:color w:val="000000"/>
          <w:sz w:val="20"/>
          <w:szCs w:val="20"/>
        </w:rPr>
        <w:t xml:space="preserve">1.2 Recommended Base Model: Llama 3.1 8B</w:t>
      </w:r>
    </w:p>
    <w:p>
      <w:pPr>
        <w:spacing w:after="80" w:before="80"/>
      </w:pPr>
      <w:r>
        <w:rPr>
          <w:rFonts w:ascii="Arial" w:cs="Arial" w:eastAsia="Arial" w:hAnsi="Arial"/>
          <w:color w:val="000000"/>
          <w:sz w:val="20"/>
          <w:szCs w:val="20"/>
        </w:rPr>
        <w:t xml:space="preserve">For Arkova's use case, the Llama 3.1 8B model offers the optimal balance of performance, fine-tuning efficiency, and ecosystem maturity. Key factors:</w:t>
      </w:r>
    </w:p>
    <w:p>
      <w:pPr>
        <w:pStyle w:val="ListParagraph"/>
        <w:numPr>
          <w:ilvl w:val="0"/>
          <w:numId w:val="2"/>
        </w:numPr>
        <w:spacing w:after="60" w:before="60"/>
      </w:pPr>
      <w:r>
        <w:rPr>
          <w:rFonts w:ascii="Arial" w:cs="Arial" w:eastAsia="Arial" w:hAnsi="Arial"/>
          <w:color w:val="000000"/>
          <w:sz w:val="20"/>
          <w:szCs w:val="20"/>
        </w:rPr>
        <w:t xml:space="preserve">128K context window handles full SEC 10-K filings (typically 30K-80K tokens) without truncation.</w:t>
      </w:r>
    </w:p>
    <w:p>
      <w:pPr>
        <w:pStyle w:val="ListParagraph"/>
        <w:numPr>
          <w:ilvl w:val="0"/>
          <w:numId w:val="2"/>
        </w:numPr>
        <w:spacing w:after="60" w:before="60"/>
      </w:pPr>
      <w:r>
        <w:rPr>
          <w:rFonts w:ascii="Arial" w:cs="Arial" w:eastAsia="Arial" w:hAnsi="Arial"/>
          <w:color w:val="000000"/>
          <w:sz w:val="20"/>
          <w:szCs w:val="20"/>
        </w:rPr>
        <w:t xml:space="preserve">LoRA fine-tuning requires only 8-9 GB VRAM, achievable on a single consumer GPU or cloud A100.</w:t>
      </w:r>
    </w:p>
    <w:p>
      <w:pPr>
        <w:pStyle w:val="ListParagraph"/>
        <w:numPr>
          <w:ilvl w:val="0"/>
          <w:numId w:val="2"/>
        </w:numPr>
        <w:spacing w:after="60" w:before="60"/>
      </w:pPr>
      <w:r>
        <w:rPr>
          <w:rFonts w:ascii="Arial" w:cs="Arial" w:eastAsia="Arial" w:hAnsi="Arial"/>
          <w:color w:val="000000"/>
          <w:sz w:val="20"/>
          <w:szCs w:val="20"/>
        </w:rPr>
        <w:t xml:space="preserve">Meta Community License permits commercial use for companies under 700M monthly active users, well within Arkova's trajectory.</w:t>
      </w:r>
    </w:p>
    <w:p>
      <w:pPr>
        <w:pStyle w:val="ListParagraph"/>
        <w:numPr>
          <w:ilvl w:val="0"/>
          <w:numId w:val="2"/>
        </w:numPr>
        <w:spacing w:after="60" w:before="60"/>
      </w:pPr>
      <w:r>
        <w:rPr>
          <w:rFonts w:ascii="Arial" w:cs="Arial" w:eastAsia="Arial" w:hAnsi="Arial"/>
          <w:color w:val="000000"/>
          <w:sz w:val="20"/>
          <w:szCs w:val="20"/>
        </w:rPr>
        <w:t xml:space="preserve">Extensive fine-tuning ecosystem: Unsloth achieves 2.1x faster training with 60% less memory.</w:t>
      </w:r>
    </w:p>
    <w:p>
      <w:pPr>
        <w:pStyle w:val="ListParagraph"/>
        <w:numPr>
          <w:ilvl w:val="0"/>
          <w:numId w:val="2"/>
        </w:numPr>
        <w:spacing w:after="60" w:before="60"/>
      </w:pPr>
      <w:r>
        <w:rPr>
          <w:rFonts w:ascii="Arial" w:cs="Arial" w:eastAsia="Arial" w:hAnsi="Arial"/>
          <w:color w:val="000000"/>
          <w:sz w:val="20"/>
          <w:szCs w:val="20"/>
        </w:rPr>
        <w:t xml:space="preserve">Strong baseline NLP performance at 73% MMLU provides a solid foundation for domain specialization.</w:t>
      </w:r>
    </w:p>
    <w:p>
      <w:pPr>
        <w:spacing w:after="80" w:before="80"/>
      </w:pPr>
      <w:r>
        <w:rPr>
          <w:rFonts w:ascii="Arial" w:cs="Arial" w:eastAsia="Arial" w:hAnsi="Arial"/>
          <w:color w:val="000000"/>
          <w:sz w:val="20"/>
          <w:szCs w:val="20"/>
        </w:rPr>
        <w:t xml:space="preserve">For edge/client-side deployment, Llama 3.2 1B or 3B provide an excellent fallback, running at 40-60 tokens/second in-browser via WebLLM.</w:t>
      </w:r>
    </w:p>
    <w:p>
      <w:pPr>
        <w:spacing w:after="80" w:before="80"/>
      </w:pPr>
      <w:r>
        <w:rPr>
          <w:rFonts w:ascii="Arial" w:cs="Arial" w:eastAsia="Arial" w:hAnsi="Arial"/>
          <w:b/>
          <w:bCs/>
          <w:color w:val="000000"/>
          <w:sz w:val="20"/>
          <w:szCs w:val="20"/>
        </w:rPr>
        <w:t xml:space="preserve">1.3 Model Size Tradeoffs</w:t>
      </w:r>
    </w:p>
    <w:p>
      <w:pPr>
        <w:spacing w:after="80" w:before="80"/>
      </w:pPr>
      <w:r>
        <w:rPr>
          <w:rFonts w:ascii="Arial" w:cs="Arial" w:eastAsia="Arial" w:hAnsi="Arial"/>
          <w:color w:val="000000"/>
          <w:sz w:val="20"/>
          <w:szCs w:val="20"/>
        </w:rPr>
        <w:t xml:space="preserve">The sweet spot for domain-specific financial/legal/academic understanding is 7B-14B parameters. Here is the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**Size**</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**Domain Fit**</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**Infra Cost**</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**Edge Deploy?**</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**Verdict**</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1B</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Limited comprehension of complex filings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$50-100/mo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Yes (browser)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RAG companion only</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3B</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Adequate for structured extraction tasks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$100-200/mo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Yes (browser)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Good for client-side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7B</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Strong document understanding with fine-tuning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$300-800/mo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Edge server only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SWEET SPOT</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13-14B</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Excellent reasoning, diminishing returns vs 7B</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$600-1,500/mo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Consider if 7B insufficient</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70B</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Marginal improvement for 10x cost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$3,000-8,000/mo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Overkill for domain tasks</w:t>
            </w:r>
          </w:p>
        </w:tc>
      </w:tr>
    </w:tbl>
    <w:p>
      <w:pPr>
        <w:spacing w:after="80" w:before="80"/>
      </w:pPr>
      <w:r>
        <w:rPr>
          <w:rFonts w:ascii="Arial" w:cs="Arial" w:eastAsia="Arial" w:hAnsi="Arial"/>
          <w:b/>
          <w:bCs/>
          <w:color w:val="000000"/>
          <w:sz w:val="20"/>
          <w:szCs w:val="20"/>
        </w:rPr>
        <w:t xml:space="preserve">1.4 Quantization for Edge Deployment</w:t>
      </w:r>
    </w:p>
    <w:p>
      <w:pPr>
        <w:spacing w:after="80" w:before="80"/>
      </w:pPr>
      <w:r>
        <w:rPr>
          <w:rFonts w:ascii="Arial" w:cs="Arial" w:eastAsia="Arial" w:hAnsi="Arial"/>
          <w:color w:val="000000"/>
          <w:sz w:val="20"/>
          <w:szCs w:val="20"/>
        </w:rPr>
        <w:t xml:space="preserve">Quantization reduces model size and inference cost with minimal quality loss. AWQ (Activation-Aware Weight Quantization) is recommended for GPU inference, retaining 95-99% of full-precision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**Format**</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**Quality Retention**</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**GPU Speed**</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**CPU Support**</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**Best For**</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GGUF</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~92%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Moderate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Excellent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CPU/Apple Silicon</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GPTQ</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~90%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Very Fast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None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Legacy GPU workflows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AWQ</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95-99%</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Fastest (741 tok/s)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Limited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Production GPU inference</w:t>
            </w:r>
          </w:p>
        </w:tc>
      </w:tr>
    </w:tbl>
    <w:p>
      <w:pPr>
        <w:spacing w:after="80" w:before="80"/>
      </w:pPr>
      <w:r>
        <w:rPr>
          <w:rFonts w:ascii="Arial" w:cs="Arial" w:eastAsia="Arial" w:hAnsi="Arial"/>
          <w:b/>
          <w:bCs/>
          <w:color w:val="000000"/>
          <w:sz w:val="20"/>
          <w:szCs w:val="20"/>
        </w:rPr>
        <w:t xml:space="preserve">1.5 Multi-LoRA Domain Specialization</w:t>
      </w:r>
    </w:p>
    <w:p>
      <w:pPr>
        <w:spacing w:after="80" w:before="80"/>
      </w:pPr>
      <w:r>
        <w:rPr>
          <w:rFonts w:ascii="Arial" w:cs="Arial" w:eastAsia="Arial" w:hAnsi="Arial"/>
          <w:color w:val="000000"/>
          <w:sz w:val="20"/>
          <w:szCs w:val="20"/>
        </w:rPr>
        <w:t xml:space="preserve">Rather than a single monolithic model, Arkova should deploy domain-specific LoRA adapters that can be hot-swapped at inference time:</w:t>
      </w:r>
    </w:p>
    <w:p>
      <w:pPr>
        <w:pStyle w:val="ListParagraph"/>
        <w:numPr>
          <w:ilvl w:val="0"/>
          <w:numId w:val="2"/>
        </w:numPr>
        <w:spacing w:after="60" w:before="60"/>
      </w:pPr>
      <w:r>
        <w:rPr>
          <w:rFonts w:ascii="Arial" w:cs="Arial" w:eastAsia="Arial" w:hAnsi="Arial"/>
          <w:color w:val="000000"/>
          <w:sz w:val="20"/>
          <w:szCs w:val="20"/>
        </w:rPr>
        <w:t xml:space="preserve">SEC/Financial Adapter: Fine-tuned on 10-K, 10-Q, 8-K filings, proxy statements, and earnings transcripts. Specializes in financial terminology, risk factor extraction, and regulatory cross-referencing.</w:t>
      </w:r>
    </w:p>
    <w:p>
      <w:pPr>
        <w:pStyle w:val="ListParagraph"/>
        <w:numPr>
          <w:ilvl w:val="0"/>
          <w:numId w:val="2"/>
        </w:numPr>
        <w:spacing w:after="60" w:before="60"/>
      </w:pPr>
      <w:r>
        <w:rPr>
          <w:rFonts w:ascii="Arial" w:cs="Arial" w:eastAsia="Arial" w:hAnsi="Arial"/>
          <w:color w:val="000000"/>
          <w:sz w:val="20"/>
          <w:szCs w:val="20"/>
        </w:rPr>
        <w:t xml:space="preserve">USPTO/Patent Adapter: Trained on patent claims, specifications, and prosecution histories. Optimized for prior art search and claim interpretation.</w:t>
      </w:r>
    </w:p>
    <w:p>
      <w:pPr>
        <w:pStyle w:val="ListParagraph"/>
        <w:numPr>
          <w:ilvl w:val="0"/>
          <w:numId w:val="2"/>
        </w:numPr>
        <w:spacing w:after="60" w:before="60"/>
      </w:pPr>
      <w:r>
        <w:rPr>
          <w:rFonts w:ascii="Arial" w:cs="Arial" w:eastAsia="Arial" w:hAnsi="Arial"/>
          <w:color w:val="000000"/>
          <w:sz w:val="20"/>
          <w:szCs w:val="20"/>
        </w:rPr>
        <w:t xml:space="preserve">Academic Adapter: Fine-tuned on OpenAlex papers across disciplines. Specializes in citation verification, methodology assessment, and retraction detection.</w:t>
      </w:r>
    </w:p>
    <w:p>
      <w:pPr>
        <w:pStyle w:val="ListParagraph"/>
        <w:numPr>
          <w:ilvl w:val="0"/>
          <w:numId w:val="2"/>
        </w:numPr>
        <w:spacing w:after="60" w:before="60"/>
      </w:pPr>
      <w:r>
        <w:rPr>
          <w:rFonts w:ascii="Arial" w:cs="Arial" w:eastAsia="Arial" w:hAnsi="Arial"/>
          <w:color w:val="000000"/>
          <w:sz w:val="20"/>
          <w:szCs w:val="20"/>
        </w:rPr>
        <w:t xml:space="preserve">Legal/Regulatory Adapter: Trained on Federal Register entries, CFR text, and administrative law. Optimized for compliance checking and regulatory citation.</w:t>
      </w:r>
    </w:p>
    <w:p>
      <w:pPr>
        <w:spacing w:after="80" w:before="80"/>
      </w:pPr>
      <w:r>
        <w:rPr>
          <w:rFonts w:ascii="Arial" w:cs="Arial" w:eastAsia="Arial" w:hAnsi="Arial"/>
          <w:color w:val="000000"/>
          <w:sz w:val="20"/>
          <w:szCs w:val="20"/>
        </w:rPr>
        <w:t xml:space="preserve">MoLoRA (Mixture of LoRA) enables per-token routing with 96-98% classification accuracy, automatically selecting the appropriate adapter based on input content.</w:t>
      </w:r>
    </w:p>
    <w:p>
      <w:pPr>
        <w:spacing w:after="80" w:before="80"/>
      </w:pPr>
      <w:r>
        <w:rPr>
          <w:rFonts w:ascii="Arial" w:cs="Arial" w:eastAsia="Arial" w:hAnsi="Arial"/>
          <w:b/>
          <w:bCs/>
          <w:color w:val="000000"/>
          <w:sz w:val="20"/>
          <w:szCs w:val="20"/>
        </w:rPr>
        <w:t xml:space="preserve">1.6 RAG vs. Fine-Tuning vs. Hybrid</w:t>
      </w:r>
    </w:p>
    <w:p>
      <w:pPr>
        <w:spacing w:after="80" w:before="80"/>
      </w:pPr>
      <w:r>
        <w:rPr>
          <w:rFonts w:ascii="Arial" w:cs="Arial" w:eastAsia="Arial" w:hAnsi="Arial"/>
          <w:color w:val="000000"/>
          <w:sz w:val="20"/>
          <w:szCs w:val="20"/>
        </w:rPr>
        <w:t xml:space="preserve">For Arkova, the hybrid approach is clearly optimal. Here is the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**Approach**</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**When to Use**</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**Arkova Application**</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**Cost**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RAG Only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Rapidly changing data, need citations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Phase 1: Verification queries with source links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$500-2K/mo</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Fine-Tuning Only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Stable domain, behavioral patterns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Not recommended standalone (loses citation trail)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$2-5K per run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Hybrid (Recommended)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Domain reasoning + current facts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Phase 2+: Fine-tuned for doc understanding, RAG for retrieval + citation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$1-3K/mo ongoing</w:t>
            </w:r>
          </w:p>
        </w:tc>
      </w:tr>
    </w:tbl>
    <w:p>
      <w:pPr>
        <w:spacing w:after="80" w:before="80"/>
      </w:pPr>
      <w:r>
        <w:rPr>
          <w:rFonts w:ascii="Arial" w:cs="Arial" w:eastAsia="Arial" w:hAnsi="Arial"/>
          <w:color w:val="000000"/>
          <w:sz w:val="20"/>
          <w:szCs w:val="20"/>
        </w:rPr>
        <w:t xml:space="preserve">The hybrid architecture fine-tunes the base model to understand document structure, legal/financial terminology, and reasoning patterns, while RAG provides the retrieval layer that links every output to specific Bitcoin-anchored source documents. This is the only architecture that preserves the provenance chain.</w:t>
      </w:r>
    </w:p>
    <w:p>
      <w:pPr>
        <w:spacing w:after="80" w:before="80"/>
      </w:pPr>
      <w:r>
        <w:rPr>
          <w:rFonts w:ascii="Arial" w:cs="Arial" w:eastAsia="Arial" w:hAnsi="Arial"/>
          <w:b/>
          <w:bCs/>
          <w:color w:val="000000"/>
          <w:sz w:val="20"/>
          <w:szCs w:val="20"/>
        </w:rPr>
        <w:t xml:space="preserve">1.7 Embedding Models for the Verification Index</w:t>
      </w:r>
    </w:p>
    <w:p>
      <w:pPr>
        <w:spacing w:after="80" w:before="80"/>
      </w:pPr>
      <w:r>
        <w:rPr>
          <w:rFonts w:ascii="Arial" w:cs="Arial" w:eastAsia="Arial" w:hAnsi="Arial"/>
          <w:color w:val="000000"/>
          <w:sz w:val="20"/>
          <w:szCs w:val="20"/>
        </w:rPr>
        <w:t xml:space="preserve">The retrieval layer requires high-quality embeddings to find relevant anchored documents. Recommended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**Model**</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**Dimensions**</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**Context**</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**Strength**</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**Cost**</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Jina v3 (Recommended)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2048</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8,192 tokens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 MTEB multilingual, flexible dims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Open-source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BGE-M3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1024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8,192 tokens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Dense + sparse + multi-vector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Open-source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Nomic Embed v2 MoE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768</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8,192 tokens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Efficient MoE, Matryoshka support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Open-source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E5-Small</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384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512 tokens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14x faster, budget option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Open-source</w:t>
            </w:r>
          </w:p>
        </w:tc>
      </w:tr>
    </w:tbl>
    <w:p>
      <w:pPr>
        <w:spacing w:after="80" w:before="80"/>
      </w:pPr>
      <w:r>
        <w:rPr>
          <w:rFonts w:ascii="Arial" w:cs="Arial" w:eastAsia="Arial" w:hAnsi="Arial"/>
          <w:color w:val="000000"/>
          <w:sz w:val="20"/>
          <w:szCs w:val="20"/>
        </w:rPr>
        <w:t xml:space="preserve">Jina v3 is the primary recommendation due to its #1 MTEB ranking, Matryoshka dimensionality reduction (allows trading storage for speed), and multimodal capability for processing document images and charts.</w:t>
      </w:r>
    </w:p>
    <w:p>
      <w:pPr>
        <w:spacing w:after="80" w:before="80"/>
      </w:pPr>
      <w:r>
        <w:rPr>
          <w:rFonts w:ascii="Arial" w:cs="Arial" w:eastAsia="Arial" w:hAnsi="Arial"/>
          <w:b/>
          <w:bCs/>
          <w:color w:val="000000"/>
          <w:sz w:val="20"/>
          <w:szCs w:val="20"/>
        </w:rPr>
        <w:t xml:space="preserve">2. Training Infrastructure &amp; Costs</w:t>
      </w:r>
    </w:p>
    <w:p>
      <w:pPr>
        <w:spacing w:after="80" w:before="80"/>
      </w:pPr>
      <w:r>
        <w:rPr>
          <w:rFonts w:ascii="Arial" w:cs="Arial" w:eastAsia="Arial" w:hAnsi="Arial"/>
          <w:b/>
          <w:bCs/>
          <w:color w:val="000000"/>
          <w:sz w:val="20"/>
          <w:szCs w:val="20"/>
        </w:rPr>
        <w:t xml:space="preserve">2.1 Cloud GPU Pricing Comparison</w:t>
      </w:r>
    </w:p>
    <w:p>
      <w:pPr>
        <w:spacing w:after="80" w:before="80"/>
      </w:pPr>
      <w:r>
        <w:rPr>
          <w:rFonts w:ascii="Arial" w:cs="Arial" w:eastAsia="Arial" w:hAnsi="Arial"/>
          <w:color w:val="000000"/>
          <w:sz w:val="20"/>
          <w:szCs w:val="20"/>
        </w:rPr>
        <w:t xml:space="preserve">GPU cloud pricing has dropped dramatically through 2025-2026, with AWS reducing H100 pricing by 44% in June 2025. The following reflects current market rates as of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**Provider**</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**GPU**</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**$/GPU-hr (On-Demand)**</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**$/GPU-hr (Spot/Discount)**</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**Notes**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AWS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H100 (p5)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$3.90-4.20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~$1.90 (3yr plan)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44% price cut June 2025</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AWS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A100 (p4d)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$4.10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~$2.50 (spot)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Mature, widely available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GCP</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H100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~$2.25 (spot)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A3-High instances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Lambda Labs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H100 SXM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$2.99</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Specialist, no spot</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Lambda Labs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B200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$4.99</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2x H100 FLOPS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RunPod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H100 SXM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$2.69</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Variable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Per-second billing</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Vast.ai</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H100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$1.49-2.99</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$1.49 (marketplace)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Cheapest, variable quality</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CoreWeave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H100 PCIe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$4.76</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~$1.90 (committed)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Up to 60% discount</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Modal</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L40S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~$1.95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Free tier ($30 credit)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Per-second billing</w:t>
            </w:r>
          </w:p>
        </w:tc>
      </w:tr>
    </w:tbl>
    <w:p>
      <w:pPr>
        <w:spacing w:after="80" w:before="80"/>
      </w:pPr>
      <w:r>
        <w:rPr>
          <w:rFonts w:ascii="Arial" w:cs="Arial" w:eastAsia="Arial" w:hAnsi="Arial"/>
          <w:b/>
          <w:bCs/>
          <w:color w:val="000000"/>
          <w:sz w:val="20"/>
          <w:szCs w:val="20"/>
        </w:rPr>
        <w:t xml:space="preserve">2.2 Fine-Tuning Cost Estimates</w:t>
      </w:r>
    </w:p>
    <w:p>
      <w:pPr>
        <w:spacing w:after="80" w:before="80"/>
      </w:pPr>
      <w:r>
        <w:rPr>
          <w:rFonts w:ascii="Arial" w:cs="Arial" w:eastAsia="Arial" w:hAnsi="Arial"/>
          <w:color w:val="000000"/>
          <w:sz w:val="20"/>
          <w:szCs w:val="20"/>
        </w:rPr>
        <w:t xml:space="preserve">Cost estimates assume Arkova's initial corpus of 10M documents, averaging 500 tokens each (5B total tokens). LoRA fine-tuning is recommended over full fine-tuning for 80% cost reduction.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**Method**</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**Model Size**</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**Est. Cost/Run**</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**GPU Req.**</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**Time Est.**</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LoRA (Together AI)</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7B</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$2,500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Managed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4-8 hours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LoRA (Self-hosted)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7B</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$500-1,000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1x A100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6-12 hours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LoRA (Self-hosted)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13B</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$1,000-2,000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1x A100 80GB</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12-24 hours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QLoRA (Self-hosted)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70B</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$1,500-3,000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1x A100 80GB</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24-48 hours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Full Fine-Tune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7B</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$5,000-10,000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4x A100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24-48 hours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Full Fine-Tune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13B</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$10,000-20,000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8x A100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48-96 hours</w:t>
            </w:r>
          </w:p>
        </w:tc>
      </w:tr>
    </w:tbl>
    <w:p>
      <w:pPr>
        <w:spacing w:after="80" w:before="80"/>
      </w:pPr>
      <w:r>
        <w:rPr>
          <w:rFonts w:ascii="Arial" w:cs="Arial" w:eastAsia="Arial" w:hAnsi="Arial"/>
          <w:b/>
          <w:bCs/>
          <w:color w:val="000000"/>
          <w:sz w:val="20"/>
          <w:szCs w:val="20"/>
        </w:rPr>
        <w:t xml:space="preserve">2.3 Managed Fine-Tuning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**Provider**</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**Pricing Model**</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**Est. Cost (7B, 5B tokens)**</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**Turnaround**</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**Models Supported**</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Together AI</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$0.50/M tokens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~$2,500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4-12 hrs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Llama, Mistral, Qwen, Gemma</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Fireworks AI</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$0.50/M tokens (&lt;16B)</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~$2,500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4-12 hrs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Llama, Mistral, custom</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Predibase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Token-based (varies)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~$1,000-2,000 (LoRA)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2-8 hrs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LoRA specialist, many models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Anyscale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 fixed + $4/M tokens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~$20,005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Variable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Llama 2/3, Mistral</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OpenPipe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Token-based (custom)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Contact sales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Variable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Various via third-party</w:t>
            </w:r>
          </w:p>
        </w:tc>
      </w:tr>
    </w:tbl>
    <w:p>
      <w:pPr>
        <w:spacing w:after="80" w:before="80"/>
      </w:pPr>
      <w:r>
        <w:rPr>
          <w:rFonts w:ascii="Arial" w:cs="Arial" w:eastAsia="Arial" w:hAnsi="Arial"/>
          <w:b/>
          <w:bCs/>
          <w:color w:val="000000"/>
          <w:sz w:val="20"/>
          <w:szCs w:val="20"/>
        </w:rPr>
        <w:t xml:space="preserve">2.4 Dataset Preparation Costs</w:t>
      </w:r>
    </w:p>
    <w:p>
      <w:pPr>
        <w:spacing w:after="80" w:before="80"/>
      </w:pPr>
      <w:r>
        <w:rPr>
          <w:rFonts w:ascii="Arial" w:cs="Arial" w:eastAsia="Arial" w:hAnsi="Arial"/>
          <w:color w:val="000000"/>
          <w:sz w:val="20"/>
          <w:szCs w:val="20"/>
        </w:rPr>
        <w:t xml:space="preserve">Preparing 10M+ documents for fine-tuning involves tokenization, cleaning, formatting, and quality assurance. Government and public documents (SEC EDGAR, USPTO, OpenAlex) require less cleaning than general web data but still need structured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**Task**</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**Approach**</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**Est. Cost**</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**Timeline**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Document parsing/extraction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Automated pipeline (Python)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$500-1,000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1-2 weeks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Tokenization (5B tokens)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HuggingFace tokenizers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~$200 compute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1-2 days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Quality filtering/dedup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MinHash + perplexity filter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$300-500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2-3 days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Instruction formatting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Template-based conversion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$200-400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 week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QA &amp; validation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Spot-check + automated metrics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$500-1,000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 week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TOTAL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 </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$1,700-3,100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3-4 weeks</w:t>
            </w:r>
          </w:p>
        </w:tc>
      </w:tr>
    </w:tbl>
    <w:p>
      <w:pPr>
        <w:spacing w:after="80" w:before="80"/>
      </w:pPr>
      <w:r>
        <w:rPr>
          <w:rFonts w:ascii="Arial" w:cs="Arial" w:eastAsia="Arial" w:hAnsi="Arial"/>
          <w:b/>
          <w:bCs/>
          <w:color w:val="000000"/>
          <w:sz w:val="20"/>
          <w:szCs w:val="20"/>
        </w:rPr>
        <w:t xml:space="preserve">2.5 Ongoing Training Costs</w:t>
      </w:r>
    </w:p>
    <w:p>
      <w:pPr>
        <w:spacing w:after="80" w:before="80"/>
      </w:pPr>
      <w:r>
        <w:rPr>
          <w:rFonts w:ascii="Arial" w:cs="Arial" w:eastAsia="Arial" w:hAnsi="Arial"/>
          <w:color w:val="000000"/>
          <w:sz w:val="20"/>
          <w:szCs w:val="20"/>
        </w:rPr>
        <w:t xml:space="preserve">As the corpus grows beyond the initial 10M documents, Arkova needs a continuous learning strategy. Incremental LoRA updates are 70-90% cheaper than full retraining.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**Scenario**</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**Monthly Cost**</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**Approach**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Monthly LoRA refresh (7B)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$200-500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Retrain adapter on new documents only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Quarterly full retrain (7B)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$800-2,000/quarter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Full LoRA retrain on entire corpus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Embedding index updates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$100-300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Incremental vector DB updates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Data pipeline maintenance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$500-1,000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ETL, monitoring, quality checks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TOTAL ONGOING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$800-1,800/mo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 </w:t>
            </w:r>
          </w:p>
        </w:tc>
      </w:tr>
    </w:tbl>
    <w:p>
      <w:pPr>
        <w:spacing w:after="80" w:before="80"/>
      </w:pPr>
      <w:r>
        <w:rPr>
          <w:rFonts w:ascii="Arial" w:cs="Arial" w:eastAsia="Arial" w:hAnsi="Arial"/>
          <w:b/>
          <w:bCs/>
          <w:color w:val="000000"/>
          <w:sz w:val="20"/>
          <w:szCs w:val="20"/>
        </w:rPr>
        <w:t xml:space="preserve">2.6 Year 1 Infrastructure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**Conservative**</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**Moderate**</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**Aggressive**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Dataset preparation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$5,000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Initial fine-tuning (3 runs)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$7,500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$15,000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Inference infrastructure (12 mo)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$6,000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$12,000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$36,000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Embedding/vector DB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$1,200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$3,600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$7,200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ML engineering (1 FTE)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$150,000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$165,000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$180,000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Synthetic data APIs + fine-tune compute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$25,000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$40,000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$60,000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Managed services/tools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$12,000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$24,000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Contingency (15%)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$70,000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$92,000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$121,000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TOTAL YEAR 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$537,200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$710,100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$928,200</w:t>
            </w:r>
          </w:p>
        </w:tc>
      </w:tr>
    </w:tbl>
    <w:p>
      <w:pPr>
        <w:spacing w:after="80" w:before="80"/>
      </w:pPr>
      <w:r>
        <w:rPr>
          <w:rFonts w:ascii="Arial" w:cs="Arial" w:eastAsia="Arial" w:hAnsi="Arial"/>
          <w:b/>
          <w:bCs/>
          <w:color w:val="000000"/>
          <w:sz w:val="20"/>
          <w:szCs w:val="20"/>
        </w:rPr>
        <w:t xml:space="preserve">3. Inference &amp; Deployment</w:t>
      </w:r>
    </w:p>
    <w:p>
      <w:pPr>
        <w:spacing w:after="80" w:before="80"/>
      </w:pPr>
      <w:r>
        <w:rPr>
          <w:rFonts w:ascii="Arial" w:cs="Arial" w:eastAsia="Arial" w:hAnsi="Arial"/>
          <w:b/>
          <w:bCs/>
          <w:color w:val="000000"/>
          <w:sz w:val="20"/>
          <w:szCs w:val="20"/>
        </w:rPr>
        <w:t xml:space="preserve">3.1 Self-Hosted Inference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**Framework**</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**Throughput**</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**Best For**</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**GPU Needs**</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**Maturity**</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vLLM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12,500 tok/s (8B, H100)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High-concurrency batch serving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A100/H100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Production-ready</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TGI (HuggingFace)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3x tokens on long prompts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Latency-sensitive, long context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A100/H100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Maintenance mode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llama.cpp</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150 tok/s (RTX 4090)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Portable, CPU/edge, development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Optional GPU</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Extremely mature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Ollama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NPU-optimized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Local dev, desktop apps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Optional</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Rapidly evolving</w:t>
            </w:r>
          </w:p>
        </w:tc>
      </w:tr>
    </w:tbl>
    <w:p>
      <w:pPr>
        <w:spacing w:after="80" w:before="80"/>
      </w:pPr>
      <w:r>
        <w:rPr>
          <w:rFonts w:ascii="Arial" w:cs="Arial" w:eastAsia="Arial" w:hAnsi="Arial"/>
          <w:color w:val="000000"/>
          <w:sz w:val="20"/>
          <w:szCs w:val="20"/>
        </w:rPr>
        <w:t xml:space="preserve">For Arkova's verification API, vLLM is recommended for server-side inference due to its PagedAttention mechanism and high throughput at concurrency. For development and testing, Ollama provides the fastest iteration cycle.</w:t>
      </w:r>
    </w:p>
    <w:p>
      <w:pPr>
        <w:spacing w:after="80" w:before="80"/>
      </w:pPr>
      <w:r>
        <w:rPr>
          <w:rFonts w:ascii="Arial" w:cs="Arial" w:eastAsia="Arial" w:hAnsi="Arial"/>
          <w:b/>
          <w:bCs/>
          <w:color w:val="000000"/>
          <w:sz w:val="20"/>
          <w:szCs w:val="20"/>
        </w:rPr>
        <w:t xml:space="preserve">3.2 Managed Inference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**Provider**</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**Pricing (per 1M tokens)**</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**Latency**</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**Special Features**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Together AI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$0.03-0.09 (small models)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Low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50% batch discount, Blackwell-optimized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Fireworks AI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$0.20-0.50 (serverless)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Low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Cached input 50% off, fine-tuned at base rate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Groq</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$0.11-0.79 (model dependent)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Ultra-low (LPU)</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300 tok/s on 70B, 10x H100 speed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Cerebras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$0.10-12.00 (tier dependent)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Ultra-low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969 tok/s on 405B, free tier available</w:t>
            </w:r>
          </w:p>
        </w:tc>
      </w:tr>
    </w:tbl>
    <w:p>
      <w:pPr>
        <w:spacing w:after="80" w:before="80"/>
      </w:pPr>
      <w:r>
        <w:rPr>
          <w:rFonts w:ascii="Arial" w:cs="Arial" w:eastAsia="Arial" w:hAnsi="Arial"/>
          <w:b/>
          <w:bCs/>
          <w:color w:val="000000"/>
          <w:sz w:val="20"/>
          <w:szCs w:val="20"/>
        </w:rPr>
        <w:t xml:space="preserve">3.3 Edge Deployment: Cloudflare Workers AI</w:t>
      </w:r>
    </w:p>
    <w:p>
      <w:pPr>
        <w:spacing w:after="80" w:before="80"/>
      </w:pPr>
      <w:r>
        <w:rPr>
          <w:rFonts w:ascii="Arial" w:cs="Arial" w:eastAsia="Arial" w:hAnsi="Arial"/>
          <w:color w:val="000000"/>
          <w:sz w:val="20"/>
          <w:szCs w:val="20"/>
        </w:rPr>
        <w:t xml:space="preserve">Given Arkova's existing Cloudflare Workers stack, Workers AI is a natural fit for edge inference. Current capabilities:</w:t>
      </w:r>
    </w:p>
    <w:p>
      <w:pPr>
        <w:pStyle w:val="ListParagraph"/>
        <w:numPr>
          <w:ilvl w:val="0"/>
          <w:numId w:val="2"/>
        </w:numPr>
        <w:spacing w:after="60" w:before="60"/>
      </w:pPr>
      <w:r>
        <w:rPr>
          <w:rFonts w:ascii="Arial" w:cs="Arial" w:eastAsia="Arial" w:hAnsi="Arial"/>
          <w:color w:val="000000"/>
          <w:sz w:val="20"/>
          <w:szCs w:val="20"/>
        </w:rPr>
        <w:t xml:space="preserve">Supports models up to Llama 3.3 70B (FP8 quantized) and Kimi K2.5 with 256K context.</w:t>
      </w:r>
    </w:p>
    <w:p>
      <w:pPr>
        <w:pStyle w:val="ListParagraph"/>
        <w:numPr>
          <w:ilvl w:val="0"/>
          <w:numId w:val="2"/>
        </w:numPr>
        <w:spacing w:after="60" w:before="60"/>
      </w:pPr>
      <w:r>
        <w:rPr>
          <w:rFonts w:ascii="Arial" w:cs="Arial" w:eastAsia="Arial" w:hAnsi="Arial"/>
          <w:color w:val="000000"/>
          <w:sz w:val="20"/>
          <w:szCs w:val="20"/>
        </w:rPr>
        <w:t xml:space="preserve">Pricing: $0.011 per 1,000 Neurons (free tier: 10,000 Neurons/day).</w:t>
      </w:r>
    </w:p>
    <w:p>
      <w:pPr>
        <w:pStyle w:val="ListParagraph"/>
        <w:numPr>
          <w:ilvl w:val="0"/>
          <w:numId w:val="2"/>
        </w:numPr>
        <w:spacing w:after="60" w:before="60"/>
      </w:pPr>
      <w:r>
        <w:rPr>
          <w:rFonts w:ascii="Arial" w:cs="Arial" w:eastAsia="Arial" w:hAnsi="Arial"/>
          <w:color w:val="000000"/>
          <w:sz w:val="20"/>
          <w:szCs w:val="20"/>
        </w:rPr>
        <w:t xml:space="preserve">Automatic scaling, no GPU management required.</w:t>
      </w:r>
    </w:p>
    <w:p>
      <w:pPr>
        <w:pStyle w:val="ListParagraph"/>
        <w:numPr>
          <w:ilvl w:val="0"/>
          <w:numId w:val="2"/>
        </w:numPr>
        <w:spacing w:after="60" w:before="60"/>
      </w:pPr>
      <w:r>
        <w:rPr>
          <w:rFonts w:ascii="Arial" w:cs="Arial" w:eastAsia="Arial" w:hAnsi="Arial"/>
          <w:color w:val="000000"/>
          <w:sz w:val="20"/>
          <w:szCs w:val="20"/>
        </w:rPr>
        <w:t xml:space="preserve">Vectorize v2 supports 5M vector indexes with 95% latency reduction (500ms to 30ms).</w:t>
      </w:r>
    </w:p>
    <w:p>
      <w:pPr>
        <w:pStyle w:val="ListParagraph"/>
        <w:numPr>
          <w:ilvl w:val="0"/>
          <w:numId w:val="2"/>
        </w:numPr>
        <w:spacing w:after="60" w:before="60"/>
      </w:pPr>
      <w:r>
        <w:rPr>
          <w:rFonts w:ascii="Arial" w:cs="Arial" w:eastAsia="Arial" w:hAnsi="Arial"/>
          <w:color w:val="000000"/>
          <w:sz w:val="20"/>
          <w:szCs w:val="20"/>
        </w:rPr>
        <w:t xml:space="preserve">Limitation: No custom fine-tuned model deployment. Arkova would need to use base models via Workers AI and supplement with self-hosted fine-tuned models.</w:t>
      </w:r>
    </w:p>
    <w:p>
      <w:pPr>
        <w:spacing w:after="80" w:before="80"/>
      </w:pPr>
      <w:r>
        <w:rPr>
          <w:rFonts w:ascii="Arial" w:cs="Arial" w:eastAsia="Arial" w:hAnsi="Arial"/>
          <w:b/>
          <w:bCs/>
          <w:color w:val="000000"/>
          <w:sz w:val="20"/>
          <w:szCs w:val="20"/>
        </w:rPr>
        <w:t xml:space="preserve">3.4 Client-Side Inference (Preserving the Privacy Guarantee)</w:t>
      </w:r>
    </w:p>
    <w:p>
      <w:pPr>
        <w:spacing w:after="80" w:before="80"/>
      </w:pPr>
      <w:r>
        <w:rPr>
          <w:rFonts w:ascii="Arial" w:cs="Arial" w:eastAsia="Arial" w:hAnsi="Arial"/>
          <w:color w:val="000000"/>
          <w:sz w:val="20"/>
          <w:szCs w:val="20"/>
        </w:rPr>
        <w:t xml:space="preserve">This is a critical architectural decision for Arkova. The documents-never-leave-device guarantee can be maintained even with AI-powered analysis through browser-based inference.</w:t>
      </w:r>
    </w:p>
    <w:p>
      <w:pPr>
        <w:spacing w:after="80" w:before="80"/>
      </w:pPr>
      <w:r>
        <w:rPr>
          <w:rFonts w:ascii="Arial" w:cs="Arial" w:eastAsia="Arial" w:hAnsi="Arial"/>
          <w:b/>
          <w:bCs/>
          <w:color w:val="000000"/>
          <w:sz w:val="20"/>
          <w:szCs w:val="20"/>
        </w:rPr>
        <w:t xml:space="preserve">Feasibility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**Technology**</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**Model Sizes**</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**Performance**</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**Browser Support**</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**Verdict**</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WebLLM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1B-7B (quantized)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80% of native speed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Chrome, Firefox, Safari (WebGPU)</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RECOMMENDED</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Transformers.js v4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Up to 2B (FP16)</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20-40 tok/s with WebGPU</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All major browsers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Good for embeddings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ONNX Runtime Web</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Up to 3B</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Variable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All major browsers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Foundation layer</w:t>
            </w:r>
          </w:p>
        </w:tc>
      </w:tr>
    </w:tbl>
    <w:p>
      <w:pPr>
        <w:spacing w:after="80" w:before="80"/>
      </w:pPr>
      <w:r>
        <w:rPr>
          <w:rFonts w:ascii="Arial" w:cs="Arial" w:eastAsia="Arial" w:hAnsi="Arial"/>
          <w:b/>
          <w:bCs/>
          <w:color w:val="000000"/>
          <w:sz w:val="20"/>
          <w:szCs w:val="20"/>
        </w:rPr>
        <w:t xml:space="preserve">Recommended Client-Side Architecture</w:t>
      </w:r>
    </w:p>
    <w:p>
      <w:pPr>
        <w:spacing w:after="80" w:before="80"/>
      </w:pPr>
      <w:r>
        <w:rPr>
          <w:rFonts w:ascii="Arial" w:cs="Arial" w:eastAsia="Arial" w:hAnsi="Arial"/>
          <w:color w:val="000000"/>
          <w:sz w:val="20"/>
          <w:szCs w:val="20"/>
        </w:rPr>
        <w:t xml:space="preserve">Deploy a quantized Llama 3.2 1B or 3B model via WebLLM for on-device document analysis. This model handles document understanding tasks (summarization, key term extraction, risk identification) while the verification queries are routed to the server-side RAG system. The WebGPU backend delivers 40-180 tokens/second on modern hardware, with model loading taking 2-3 minutes on first visit (cacheable in browser storage for subsequent sessions).</w:t>
      </w:r>
    </w:p>
    <w:p>
      <w:pPr>
        <w:spacing w:after="80" w:before="80"/>
      </w:pPr>
      <w:r>
        <w:rPr>
          <w:rFonts w:ascii="Arial" w:cs="Arial" w:eastAsia="Arial" w:hAnsi="Arial"/>
          <w:color w:val="000000"/>
          <w:sz w:val="20"/>
          <w:szCs w:val="20"/>
        </w:rPr>
        <w:t xml:space="preserve">WebGPU is now supported across all major browsers as of November 2025 (Chrome since 2023, Firefox v141 July 2025, Safari v26 September 2025). This means Arkova can offer client-side AI to 95%+ of its users without fallback concerns.</w:t>
      </w:r>
    </w:p>
    <w:p>
      <w:pPr>
        <w:spacing w:after="80" w:before="80"/>
      </w:pPr>
      <w:r>
        <w:rPr>
          <w:rFonts w:ascii="Arial" w:cs="Arial" w:eastAsia="Arial" w:hAnsi="Arial"/>
          <w:b/>
          <w:bCs/>
          <w:color w:val="000000"/>
          <w:sz w:val="20"/>
          <w:szCs w:val="20"/>
        </w:rPr>
        <w:t xml:space="preserve">3.5 Inference Cost Per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**Deployment**</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**Model**</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**Cost/1K Queries**</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**Latency**</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**Scale-to-Zero**</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Client-side (WebLLM)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Llama 3.2 3B Q4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$0 (user hardware)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200-500ms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N/A</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Cloudflare Workers AI</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Base model</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~$0.01-0.05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50-200ms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Yes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Self-hosted vLLM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Fine-tuned 7B</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~$0.02-0.08</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100-300ms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 (keep warm)</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Together AI</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Fine-tuned 7B</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~$0.05-0.20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100-500ms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Yes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Groq</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Llama 3 70B</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~$0.20-0.80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20-50ms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Yes</w:t>
            </w:r>
          </w:p>
        </w:tc>
      </w:tr>
    </w:tbl>
    <w:p>
      <w:pPr>
        <w:spacing w:after="80" w:before="80"/>
      </w:pPr>
      <w:r>
        <w:rPr>
          <w:rFonts w:ascii="Arial" w:cs="Arial" w:eastAsia="Arial" w:hAnsi="Arial"/>
          <w:b/>
          <w:bCs/>
          <w:color w:val="000000"/>
          <w:sz w:val="20"/>
          <w:szCs w:val="20"/>
        </w:rPr>
        <w:t xml:space="preserve">3.6 Auto-Scaling Strategy</w:t>
      </w:r>
    </w:p>
    <w:p>
      <w:pPr>
        <w:spacing w:after="80" w:before="80"/>
      </w:pPr>
      <w:r>
        <w:rPr>
          <w:rFonts w:ascii="Arial" w:cs="Arial" w:eastAsia="Arial" w:hAnsi="Arial"/>
          <w:color w:val="000000"/>
          <w:sz w:val="20"/>
          <w:szCs w:val="20"/>
        </w:rPr>
        <w:t xml:space="preserve">Arkova's traffic will be bursty (SEC filing deadlines, patent publication dates, academic conference seasons). The recommended approach uses a tiered architecture:</w:t>
      </w:r>
    </w:p>
    <w:p>
      <w:pPr>
        <w:pStyle w:val="ListParagraph"/>
        <w:numPr>
          <w:ilvl w:val="0"/>
          <w:numId w:val="2"/>
        </w:numPr>
        <w:spacing w:after="60" w:before="60"/>
      </w:pPr>
      <w:r>
        <w:rPr>
          <w:rFonts w:ascii="Arial" w:cs="Arial" w:eastAsia="Arial" w:hAnsi="Arial"/>
          <w:color w:val="000000"/>
          <w:sz w:val="20"/>
          <w:szCs w:val="20"/>
        </w:rPr>
        <w:t xml:space="preserve">Tier 1 (Client-Side): WebLLM handles document analysis queries locally at zero marginal cost. Absorbs 40-60% of total query volume.</w:t>
      </w:r>
    </w:p>
    <w:p>
      <w:pPr>
        <w:pStyle w:val="ListParagraph"/>
        <w:numPr>
          <w:ilvl w:val="0"/>
          <w:numId w:val="2"/>
        </w:numPr>
        <w:spacing w:after="60" w:before="60"/>
      </w:pPr>
      <w:r>
        <w:rPr>
          <w:rFonts w:ascii="Arial" w:cs="Arial" w:eastAsia="Arial" w:hAnsi="Arial"/>
          <w:color w:val="000000"/>
          <w:sz w:val="20"/>
          <w:szCs w:val="20"/>
        </w:rPr>
        <w:t xml:space="preserve">Tier 2 (Edge): Cloudflare Workers AI handles verification API queries using base models. Scales automatically, $0.011/1K Neurons.</w:t>
      </w:r>
    </w:p>
    <w:p>
      <w:pPr>
        <w:pStyle w:val="ListParagraph"/>
        <w:numPr>
          <w:ilvl w:val="0"/>
          <w:numId w:val="2"/>
        </w:numPr>
        <w:spacing w:after="60" w:before="60"/>
      </w:pPr>
      <w:r>
        <w:rPr>
          <w:rFonts w:ascii="Arial" w:cs="Arial" w:eastAsia="Arial" w:hAnsi="Arial"/>
          <w:color w:val="000000"/>
          <w:sz w:val="20"/>
          <w:szCs w:val="20"/>
        </w:rPr>
        <w:t xml:space="preserve">Tier 3 (Dedicated): Self-hosted vLLM on RunPod serverless for fine-tuned model queries. Scale-to-zero capability with per-second billing.</w:t>
      </w:r>
    </w:p>
    <w:p>
      <w:pPr>
        <w:pStyle w:val="ListParagraph"/>
        <w:numPr>
          <w:ilvl w:val="0"/>
          <w:numId w:val="2"/>
        </w:numPr>
        <w:spacing w:after="60" w:before="60"/>
      </w:pPr>
      <w:r>
        <w:rPr>
          <w:rFonts w:ascii="Arial" w:cs="Arial" w:eastAsia="Arial" w:hAnsi="Arial"/>
          <w:color w:val="000000"/>
          <w:sz w:val="20"/>
          <w:szCs w:val="20"/>
        </w:rPr>
        <w:t xml:space="preserve">Tier 4 (Burst): Together AI or Groq API as overflow for traffic spikes. Pay-per-token, no infrastructure commitment.</w:t>
      </w:r>
    </w:p>
    <w:p>
      <w:pPr>
        <w:spacing w:after="80" w:before="80"/>
      </w:pPr>
      <w:r>
        <w:rPr>
          <w:rFonts w:ascii="Arial" w:cs="Arial" w:eastAsia="Arial" w:hAnsi="Arial"/>
          <w:color w:val="000000"/>
          <w:sz w:val="20"/>
          <w:szCs w:val="20"/>
        </w:rPr>
        <w:t xml:space="preserve">This architecture reduces average cost per query by 60-80% compared to a single-tier managed inference approach, while maintaining sub-500ms latency for 95% of queries.</w:t>
      </w:r>
    </w:p>
    <w:p>
      <w:pPr>
        <w:spacing w:after="80" w:before="80"/>
      </w:pPr>
      <w:r>
        <w:rPr>
          <w:rFonts w:ascii="Arial" w:cs="Arial" w:eastAsia="Arial" w:hAnsi="Arial"/>
          <w:b/>
          <w:bCs/>
          <w:color w:val="000000"/>
          <w:sz w:val="20"/>
          <w:szCs w:val="20"/>
        </w:rPr>
        <w:t xml:space="preserve">4. The Verified Training Data Moat</w:t>
      </w:r>
    </w:p>
    <w:p>
      <w:pPr>
        <w:spacing w:after="80" w:before="80"/>
      </w:pPr>
      <w:r>
        <w:rPr>
          <w:rFonts w:ascii="Arial" w:cs="Arial" w:eastAsia="Arial" w:hAnsi="Arial"/>
          <w:b/>
          <w:bCs/>
          <w:color w:val="000000"/>
          <w:sz w:val="20"/>
          <w:szCs w:val="20"/>
        </w:rPr>
        <w:t xml:space="preserve">4.1 What Cryptographically Verified Training Data Means</w:t>
      </w:r>
    </w:p>
    <w:p>
      <w:pPr>
        <w:spacing w:after="80" w:before="80"/>
      </w:pPr>
      <w:r>
        <w:rPr>
          <w:rFonts w:ascii="Arial" w:cs="Arial" w:eastAsia="Arial" w:hAnsi="Arial"/>
          <w:color w:val="000000"/>
          <w:sz w:val="20"/>
          <w:szCs w:val="20"/>
        </w:rPr>
        <w:t xml:space="preserve">In Arkova's context, cryptographically verified training data means every document in the model's training corpus has been fingerprinted client-side (SHA-256 hash of the original content) and that fingerprint has been anchored to the Bitcoin blockchain, creating a tamper-evident timestamp. This provides three guarantees:</w:t>
      </w:r>
    </w:p>
    <w:p>
      <w:pPr>
        <w:pStyle w:val="ListParagraph"/>
        <w:numPr>
          <w:ilvl w:val="0"/>
          <w:numId w:val="2"/>
        </w:numPr>
        <w:spacing w:after="60" w:before="60"/>
      </w:pPr>
      <w:r>
        <w:rPr>
          <w:rFonts w:ascii="Arial" w:cs="Arial" w:eastAsia="Arial" w:hAnsi="Arial"/>
          <w:color w:val="000000"/>
          <w:sz w:val="20"/>
          <w:szCs w:val="20"/>
        </w:rPr>
        <w:t xml:space="preserve">Existence Proof: The document existed at the time of anchoring (Bitcoin block timestamp).</w:t>
      </w:r>
    </w:p>
    <w:p>
      <w:pPr>
        <w:pStyle w:val="ListParagraph"/>
        <w:numPr>
          <w:ilvl w:val="0"/>
          <w:numId w:val="2"/>
        </w:numPr>
        <w:spacing w:after="60" w:before="60"/>
      </w:pPr>
      <w:r>
        <w:rPr>
          <w:rFonts w:ascii="Arial" w:cs="Arial" w:eastAsia="Arial" w:hAnsi="Arial"/>
          <w:color w:val="000000"/>
          <w:sz w:val="20"/>
          <w:szCs w:val="20"/>
        </w:rPr>
        <w:t xml:space="preserve">Integrity Proof: The document has not been modified since anchoring (hash comparison).</w:t>
      </w:r>
    </w:p>
    <w:p>
      <w:pPr>
        <w:pStyle w:val="ListParagraph"/>
        <w:numPr>
          <w:ilvl w:val="0"/>
          <w:numId w:val="2"/>
        </w:numPr>
        <w:spacing w:after="60" w:before="60"/>
      </w:pPr>
      <w:r>
        <w:rPr>
          <w:rFonts w:ascii="Arial" w:cs="Arial" w:eastAsia="Arial" w:hAnsi="Arial"/>
          <w:color w:val="000000"/>
          <w:sz w:val="20"/>
          <w:szCs w:val="20"/>
        </w:rPr>
        <w:t xml:space="preserve">Provenance Chain: Each training example can be traced to a specific anchored document via its hash.</w:t>
      </w:r>
    </w:p>
    <w:p>
      <w:pPr>
        <w:spacing w:after="80" w:before="80"/>
      </w:pPr>
      <w:r>
        <w:rPr>
          <w:rFonts w:ascii="Arial" w:cs="Arial" w:eastAsia="Arial" w:hAnsi="Arial"/>
          <w:color w:val="000000"/>
          <w:sz w:val="20"/>
          <w:szCs w:val="20"/>
        </w:rPr>
        <w:t xml:space="preserve">This is fundamentally different from how any other AI company handles training data. OpenAI, Anthropic, Google, and Meta train on web scrapes with no cryptographic proof of source document integrity or timestamp.</w:t>
      </w:r>
    </w:p>
    <w:p>
      <w:pPr>
        <w:spacing w:after="80" w:before="80"/>
      </w:pPr>
      <w:r>
        <w:rPr>
          <w:rFonts w:ascii="Arial" w:cs="Arial" w:eastAsia="Arial" w:hAnsi="Arial"/>
          <w:b/>
          <w:bCs/>
          <w:color w:val="000000"/>
          <w:sz w:val="20"/>
          <w:szCs w:val="20"/>
        </w:rPr>
        <w:t xml:space="preserve">4.2 Provenance: From Training Data to Model Output</w:t>
      </w:r>
    </w:p>
    <w:p>
      <w:pPr>
        <w:spacing w:after="80" w:before="80"/>
      </w:pPr>
      <w:r>
        <w:rPr>
          <w:rFonts w:ascii="Arial" w:cs="Arial" w:eastAsia="Arial" w:hAnsi="Arial"/>
          <w:color w:val="000000"/>
          <w:sz w:val="20"/>
          <w:szCs w:val="20"/>
        </w:rPr>
        <w:t xml:space="preserve">Maintaining the provenance chain from training data through to model output is the key technical challenge. There are three approaches, each with different fidelity:</w:t>
      </w:r>
    </w:p>
    <w:p>
      <w:pPr>
        <w:spacing w:after="80" w:before="80"/>
      </w:pPr>
      <w:r>
        <w:rPr>
          <w:rFonts w:ascii="Arial" w:cs="Arial" w:eastAsia="Arial" w:hAnsi="Arial"/>
          <w:b/>
          <w:bCs/>
          <w:color w:val="000000"/>
          <w:sz w:val="20"/>
          <w:szCs w:val="20"/>
        </w:rPr>
        <w:t xml:space="preserve">Approach 1: RAG with Source Citations (Recommended, High Fidelity)</w:t>
      </w:r>
    </w:p>
    <w:p>
      <w:pPr>
        <w:spacing w:after="80" w:before="80"/>
      </w:pPr>
      <w:r>
        <w:rPr>
          <w:rFonts w:ascii="Arial" w:cs="Arial" w:eastAsia="Arial" w:hAnsi="Arial"/>
          <w:color w:val="000000"/>
          <w:sz w:val="20"/>
          <w:szCs w:val="20"/>
        </w:rPr>
        <w:t xml:space="preserve">The most reliable provenance method. Every model response includes explicit citations to retrieved documents, each of which has a verifiable Bitcoin anchor. The user can click through to verify: (1) the cited document hash matches the anchored hash, and (2) the anchor transaction exists on the Bitcoin blockchain. This provides end-to-end verifiability.</w:t>
      </w:r>
    </w:p>
    <w:p>
      <w:pPr>
        <w:spacing w:after="80" w:before="80"/>
      </w:pPr>
      <w:r>
        <w:rPr>
          <w:rFonts w:ascii="Arial" w:cs="Arial" w:eastAsia="Arial" w:hAnsi="Arial"/>
          <w:b/>
          <w:bCs/>
          <w:color w:val="000000"/>
          <w:sz w:val="20"/>
          <w:szCs w:val="20"/>
        </w:rPr>
        <w:t xml:space="preserve">Approach 2: Influence Functions (Research-Stage, Low Fidelity)</w:t>
      </w:r>
    </w:p>
    <w:p>
      <w:pPr>
        <w:spacing w:after="80" w:before="80"/>
      </w:pPr>
      <w:r>
        <w:rPr>
          <w:rFonts w:ascii="Arial" w:cs="Arial" w:eastAsia="Arial" w:hAnsi="Arial"/>
          <w:color w:val="000000"/>
          <w:sz w:val="20"/>
          <w:szCs w:val="20"/>
        </w:rPr>
        <w:t xml:space="preserve">Influence functions can theoretically trace model outputs back to training examples by measuring counterfactual impact. Recent research has scaled these to 8B-parameter LLMs on 160B+ token corpora. However, a critical finding undermines the approach: examples that imply a fact are not necessarily those that influence the model to express it. LLMs are often influenced by rough heuristics rather than specific training documents. This makes influence functions useful for debugging but unreliable for user-facing provenance claims.</w:t>
      </w:r>
    </w:p>
    <w:p>
      <w:pPr>
        <w:spacing w:after="80" w:before="80"/>
      </w:pPr>
      <w:r>
        <w:rPr>
          <w:rFonts w:ascii="Arial" w:cs="Arial" w:eastAsia="Arial" w:hAnsi="Arial"/>
          <w:b/>
          <w:bCs/>
          <w:color w:val="000000"/>
          <w:sz w:val="20"/>
          <w:szCs w:val="20"/>
        </w:rPr>
        <w:t xml:space="preserve">Approach 3: Training Data Attribution (Emerging, Medium Fidelity)</w:t>
      </w:r>
    </w:p>
    <w:p>
      <w:pPr>
        <w:spacing w:after="80" w:before="80"/>
      </w:pPr>
      <w:r>
        <w:rPr>
          <w:rFonts w:ascii="Arial" w:cs="Arial" w:eastAsia="Arial" w:hAnsi="Arial"/>
          <w:color w:val="000000"/>
          <w:sz w:val="20"/>
          <w:szCs w:val="20"/>
        </w:rPr>
        <w:t xml:space="preserve">TRAK and similar attribution methods evaluate how modifying training data subsets affects outputs. While theoretically grounded, current methods are computationally expensive and produce probabilistic rather than deterministic provenance. Not recommended for production use in Arkova's initial deployment.</w:t>
      </w:r>
    </w:p>
    <w:p>
      <w:pPr>
        <w:spacing w:after="80" w:before="80"/>
      </w:pPr>
      <w:r>
        <w:rPr>
          <w:rFonts w:ascii="Arial" w:cs="Arial" w:eastAsia="Arial" w:hAnsi="Arial"/>
          <w:b/>
          <w:bCs/>
          <w:color w:val="000000"/>
          <w:sz w:val="20"/>
          <w:szCs w:val="20"/>
        </w:rPr>
        <w:t xml:space="preserve">4.3 Comparison to Existing Grounded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**System**</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**Grounding Method**</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**Verification**</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**Provenance Strength**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Arkova (proposed)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RAG + Bitcoin-anchored docs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Cryptographic (Bitcoin timestamp)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STRONG: end-to-end verifiable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Google Grounding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Real-time web search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None (trusts source)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WEAK: source could change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Perplexity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Web search + citations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None (37-45% hallucination)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WEAK: citations often wrong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Harvey AI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Case law database RAG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Database authority only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MEDIUM: trusted but not cryptographic</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Bloomberg GPT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Proprietary data + RAG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Internal quality control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MEDIUM: closed ecosystem</w:t>
            </w:r>
          </w:p>
        </w:tc>
      </w:tr>
    </w:tbl>
    <w:p>
      <w:pPr>
        <w:spacing w:after="80" w:before="80"/>
      </w:pPr>
      <w:r>
        <w:rPr>
          <w:rFonts w:ascii="Arial" w:cs="Arial" w:eastAsia="Arial" w:hAnsi="Arial"/>
          <w:b/>
          <w:bCs/>
          <w:color w:val="000000"/>
          <w:sz w:val="20"/>
          <w:szCs w:val="20"/>
        </w:rPr>
        <w:t xml:space="preserve">4.4 Defensibility Analysis</w:t>
      </w:r>
    </w:p>
    <w:p>
      <w:pPr>
        <w:spacing w:after="80" w:before="80"/>
      </w:pPr>
      <w:r>
        <w:rPr>
          <w:rFonts w:ascii="Arial" w:cs="Arial" w:eastAsia="Arial" w:hAnsi="Arial"/>
          <w:color w:val="000000"/>
          <w:sz w:val="20"/>
          <w:szCs w:val="20"/>
        </w:rPr>
        <w:t xml:space="preserve">Is the verified training data moat defensible, or easily replicable? The honest assessment:</w:t>
      </w:r>
    </w:p>
    <w:p>
      <w:pPr>
        <w:spacing w:after="80" w:before="80"/>
      </w:pPr>
      <w:r>
        <w:rPr>
          <w:rFonts w:ascii="Arial" w:cs="Arial" w:eastAsia="Arial" w:hAnsi="Arial"/>
          <w:b/>
          <w:bCs/>
          <w:color w:val="000000"/>
          <w:sz w:val="20"/>
          <w:szCs w:val="20"/>
        </w:rPr>
        <w:t xml:space="preserve">What IS Defensible</w:t>
      </w:r>
    </w:p>
    <w:p>
      <w:pPr>
        <w:pStyle w:val="ListParagraph"/>
        <w:numPr>
          <w:ilvl w:val="0"/>
          <w:numId w:val="2"/>
        </w:numPr>
        <w:spacing w:after="60" w:before="60"/>
      </w:pPr>
      <w:r>
        <w:rPr>
          <w:rFonts w:ascii="Arial" w:cs="Arial" w:eastAsia="Arial" w:hAnsi="Arial"/>
          <w:color w:val="000000"/>
          <w:sz w:val="20"/>
          <w:szCs w:val="20"/>
        </w:rPr>
        <w:t xml:space="preserve">First-mover corpus: 10M+ Bitcoin-anchored public documents with immutable timestamps. A competitor would need to re-anchor the same documents, and their timestamps would always be later than Arkova's.</w:t>
      </w:r>
    </w:p>
    <w:p>
      <w:pPr>
        <w:pStyle w:val="ListParagraph"/>
        <w:numPr>
          <w:ilvl w:val="0"/>
          <w:numId w:val="2"/>
        </w:numPr>
        <w:spacing w:after="60" w:before="60"/>
      </w:pPr>
      <w:r>
        <w:rPr>
          <w:rFonts w:ascii="Arial" w:cs="Arial" w:eastAsia="Arial" w:hAnsi="Arial"/>
          <w:color w:val="000000"/>
          <w:sz w:val="20"/>
          <w:szCs w:val="20"/>
        </w:rPr>
        <w:t xml:space="preserve">Network effects: As more organizations verify documents through Arkova, the corpus grows, improving model quality and creating switching costs.</w:t>
      </w:r>
    </w:p>
    <w:p>
      <w:pPr>
        <w:pStyle w:val="ListParagraph"/>
        <w:numPr>
          <w:ilvl w:val="0"/>
          <w:numId w:val="2"/>
        </w:numPr>
        <w:spacing w:after="60" w:before="60"/>
      </w:pPr>
      <w:r>
        <w:rPr>
          <w:rFonts w:ascii="Arial" w:cs="Arial" w:eastAsia="Arial" w:hAnsi="Arial"/>
          <w:color w:val="000000"/>
          <w:sz w:val="20"/>
          <w:szCs w:val="20"/>
        </w:rPr>
        <w:t xml:space="preserve">The verification API + x402 micropayment infrastructure is a genuine technical moat that would take 12-18 months to replicate.</w:t>
      </w:r>
    </w:p>
    <w:p>
      <w:pPr>
        <w:pStyle w:val="ListParagraph"/>
        <w:numPr>
          <w:ilvl w:val="0"/>
          <w:numId w:val="2"/>
        </w:numPr>
        <w:spacing w:after="60" w:before="60"/>
      </w:pPr>
      <w:r>
        <w:rPr>
          <w:rFonts w:ascii="Arial" w:cs="Arial" w:eastAsia="Arial" w:hAnsi="Arial"/>
          <w:color w:val="000000"/>
          <w:sz w:val="20"/>
          <w:szCs w:val="20"/>
        </w:rPr>
        <w:t xml:space="preserve">Brand positioning as 'the verified intelligence platform' is defensible through consistent execution.</w:t>
      </w:r>
    </w:p>
    <w:p>
      <w:pPr>
        <w:spacing w:after="80" w:before="80"/>
      </w:pPr>
      <w:r>
        <w:rPr>
          <w:rFonts w:ascii="Arial" w:cs="Arial" w:eastAsia="Arial" w:hAnsi="Arial"/>
          <w:b/>
          <w:bCs/>
          <w:color w:val="000000"/>
          <w:sz w:val="20"/>
          <w:szCs w:val="20"/>
        </w:rPr>
        <w:t xml:space="preserve">What Is NOT Defensible</w:t>
      </w:r>
    </w:p>
    <w:p>
      <w:pPr>
        <w:pStyle w:val="ListParagraph"/>
        <w:numPr>
          <w:ilvl w:val="0"/>
          <w:numId w:val="2"/>
        </w:numPr>
        <w:spacing w:after="60" w:before="60"/>
      </w:pPr>
      <w:r>
        <w:rPr>
          <w:rFonts w:ascii="Arial" w:cs="Arial" w:eastAsia="Arial" w:hAnsi="Arial"/>
          <w:color w:val="000000"/>
          <w:sz w:val="20"/>
          <w:szCs w:val="20"/>
        </w:rPr>
        <w:t xml:space="preserve">The base model itself: Any competitor can fine-tune Llama on public documents.</w:t>
      </w:r>
    </w:p>
    <w:p>
      <w:pPr>
        <w:pStyle w:val="ListParagraph"/>
        <w:numPr>
          <w:ilvl w:val="0"/>
          <w:numId w:val="2"/>
        </w:numPr>
        <w:spacing w:after="60" w:before="60"/>
      </w:pPr>
      <w:r>
        <w:rPr>
          <w:rFonts w:ascii="Arial" w:cs="Arial" w:eastAsia="Arial" w:hAnsi="Arial"/>
          <w:color w:val="000000"/>
          <w:sz w:val="20"/>
          <w:szCs w:val="20"/>
        </w:rPr>
        <w:t xml:space="preserve">The RAG architecture: Standard pattern, widely understood.</w:t>
      </w:r>
    </w:p>
    <w:p>
      <w:pPr>
        <w:pStyle w:val="ListParagraph"/>
        <w:numPr>
          <w:ilvl w:val="0"/>
          <w:numId w:val="2"/>
        </w:numPr>
        <w:spacing w:after="60" w:before="60"/>
      </w:pPr>
      <w:r>
        <w:rPr>
          <w:rFonts w:ascii="Arial" w:cs="Arial" w:eastAsia="Arial" w:hAnsi="Arial"/>
          <w:color w:val="000000"/>
          <w:sz w:val="20"/>
          <w:szCs w:val="20"/>
        </w:rPr>
        <w:t xml:space="preserve">Government data access: SEC EDGAR, USPTO, and OpenAlex are freely available to anyone.</w:t>
      </w:r>
    </w:p>
    <w:p>
      <w:pPr>
        <w:pStyle w:val="ListParagraph"/>
        <w:numPr>
          <w:ilvl w:val="0"/>
          <w:numId w:val="2"/>
        </w:numPr>
        <w:spacing w:after="60" w:before="60"/>
      </w:pPr>
      <w:r>
        <w:rPr>
          <w:rFonts w:ascii="Arial" w:cs="Arial" w:eastAsia="Arial" w:hAnsi="Arial"/>
          <w:color w:val="000000"/>
          <w:sz w:val="20"/>
          <w:szCs w:val="20"/>
        </w:rPr>
        <w:t xml:space="preserve">Bitcoin anchoring mechanics: The protocol is open; competitors could build their own anchoring system.</w:t>
      </w:r>
    </w:p>
    <w:p>
      <w:pPr>
        <w:spacing w:after="80" w:before="80"/>
      </w:pPr>
      <w:r>
        <w:rPr>
          <w:rFonts w:ascii="Arial" w:cs="Arial" w:eastAsia="Arial" w:hAnsi="Arial"/>
          <w:b/>
          <w:bCs/>
          <w:color w:val="000000"/>
          <w:sz w:val="20"/>
          <w:szCs w:val="20"/>
        </w:rPr>
        <w:t xml:space="preserve">Net Assessment</w:t>
      </w:r>
    </w:p>
    <w:p>
      <w:pPr>
        <w:spacing w:after="80" w:before="80"/>
      </w:pPr>
      <w:r>
        <w:rPr>
          <w:rFonts w:ascii="Arial" w:cs="Arial" w:eastAsia="Arial" w:hAnsi="Arial"/>
          <w:color w:val="000000"/>
          <w:sz w:val="20"/>
          <w:szCs w:val="20"/>
        </w:rPr>
        <w:t xml:space="preserve">The moat is real but has a time window. Arkova's advantage is the combination of verified corpus + inference infrastructure + verification API + brand, not any single component. The 12-18 month head start on corpus anchoring is the most durable advantage. The strategic imperative is to build network effects (enterprise customers, developer integrations) within that window before larger players could replicate the approach.</w:t>
      </w:r>
    </w:p>
    <w:p>
      <w:pPr>
        <w:spacing w:after="80" w:before="80"/>
      </w:pPr>
      <w:r>
        <w:rPr>
          <w:rFonts w:ascii="Arial" w:cs="Arial" w:eastAsia="Arial" w:hAnsi="Arial"/>
          <w:b/>
          <w:bCs/>
          <w:color w:val="000000"/>
          <w:sz w:val="20"/>
          <w:szCs w:val="20"/>
        </w:rPr>
        <w:t xml:space="preserve">4.5 Legal Implications of Verified Public Training Data</w:t>
      </w:r>
    </w:p>
    <w:p>
      <w:pPr>
        <w:spacing w:after="80" w:before="80"/>
      </w:pPr>
      <w:r>
        <w:rPr>
          <w:rFonts w:ascii="Arial" w:cs="Arial" w:eastAsia="Arial" w:hAnsi="Arial"/>
          <w:color w:val="000000"/>
          <w:sz w:val="20"/>
          <w:szCs w:val="20"/>
        </w:rPr>
        <w:t xml:space="preserve">Training on publicly available AND cryptographically timestamped government documents strengthens fair use arguments on multiple dimensions:</w:t>
      </w:r>
    </w:p>
    <w:p>
      <w:pPr>
        <w:pStyle w:val="ListParagraph"/>
        <w:numPr>
          <w:ilvl w:val="0"/>
          <w:numId w:val="2"/>
        </w:numPr>
        <w:spacing w:after="60" w:before="60"/>
      </w:pPr>
      <w:r>
        <w:rPr>
          <w:rFonts w:ascii="Arial" w:cs="Arial" w:eastAsia="Arial" w:hAnsi="Arial"/>
          <w:color w:val="000000"/>
          <w:sz w:val="20"/>
          <w:szCs w:val="20"/>
        </w:rPr>
        <w:t xml:space="preserve">Government documents (SEC filings, USPTO patents, Federal Register entries) are generally in the public domain or have limited copyright protection. The Copyright Office distinguishes between pirated and legitimate public sources, favoring the latter.</w:t>
      </w:r>
    </w:p>
    <w:p>
      <w:pPr>
        <w:pStyle w:val="ListParagraph"/>
        <w:numPr>
          <w:ilvl w:val="0"/>
          <w:numId w:val="2"/>
        </w:numPr>
        <w:spacing w:after="60" w:before="60"/>
      </w:pPr>
      <w:r>
        <w:rPr>
          <w:rFonts w:ascii="Arial" w:cs="Arial" w:eastAsia="Arial" w:hAnsi="Arial"/>
          <w:color w:val="000000"/>
          <w:sz w:val="20"/>
          <w:szCs w:val="20"/>
        </w:rPr>
        <w:t xml:space="preserve">Recent case law (Thomson Reuters v. ROSS, Bartz v. Anthropic, Kadrey v. Meta, all 2025) established that analytical use of copyrighted works for training can qualify as fair use.</w:t>
      </w:r>
    </w:p>
    <w:p>
      <w:pPr>
        <w:pStyle w:val="ListParagraph"/>
        <w:numPr>
          <w:ilvl w:val="0"/>
          <w:numId w:val="2"/>
        </w:numPr>
        <w:spacing w:after="60" w:before="60"/>
      </w:pPr>
      <w:r>
        <w:rPr>
          <w:rFonts w:ascii="Arial" w:cs="Arial" w:eastAsia="Arial" w:hAnsi="Arial"/>
          <w:color w:val="000000"/>
          <w:sz w:val="20"/>
          <w:szCs w:val="20"/>
        </w:rPr>
        <w:t xml:space="preserve">Cryptographic verification of source authenticity demonstrates good-faith sourcing and non-pirated provenance, which the Copyright Office guidance explicitly favors.</w:t>
      </w:r>
    </w:p>
    <w:p>
      <w:pPr>
        <w:pStyle w:val="ListParagraph"/>
        <w:numPr>
          <w:ilvl w:val="0"/>
          <w:numId w:val="2"/>
        </w:numPr>
        <w:spacing w:after="60" w:before="60"/>
      </w:pPr>
      <w:r>
        <w:rPr>
          <w:rFonts w:ascii="Arial" w:cs="Arial" w:eastAsia="Arial" w:hAnsi="Arial"/>
          <w:color w:val="000000"/>
          <w:sz w:val="20"/>
          <w:szCs w:val="20"/>
        </w:rPr>
        <w:t xml:space="preserve">However, no court has specifically ruled on whether blockchain-timestamped provenance strengthens fair use. This is an untested but strategically advantageous position.</w:t>
      </w:r>
    </w:p>
    <w:p>
      <w:pPr>
        <w:spacing w:after="80" w:before="80"/>
      </w:pPr>
      <w:r>
        <w:rPr>
          <w:rFonts w:ascii="Arial" w:cs="Arial" w:eastAsia="Arial" w:hAnsi="Arial"/>
          <w:b/>
          <w:bCs/>
          <w:color w:val="000000"/>
          <w:sz w:val="20"/>
          <w:szCs w:val="20"/>
        </w:rPr>
        <w:t xml:space="preserve">4.6 Marketing Angle</w:t>
      </w:r>
    </w:p>
    <w:p>
      <w:pPr>
        <w:spacing w:after="80" w:before="80"/>
      </w:pPr>
      <w:r>
        <w:rPr>
          <w:rFonts w:ascii="Arial" w:cs="Arial" w:eastAsia="Arial" w:hAnsi="Arial"/>
          <w:color w:val="000000"/>
          <w:sz w:val="20"/>
          <w:szCs w:val="20"/>
        </w:rPr>
        <w:t xml:space="preserve">The marketing positioning 'Every answer backed by Bitcoin-anchored evidence' is powerful precisely because it is falsifiable. Unlike competitors who claim 'grounded' or 'cited' responses (Perplexity's 37-45% hallucination rate on citations), Arkova can provide a cryptographic proof chain that any user can independently verify. This transforms AI trust from a marketing claim into a mathematical guarantee.</w:t>
      </w:r>
    </w:p>
    <w:p>
      <w:pPr>
        <w:spacing w:after="80" w:before="80"/>
      </w:pPr>
      <w:r>
        <w:rPr>
          <w:rFonts w:ascii="Arial" w:cs="Arial" w:eastAsia="Arial" w:hAnsi="Arial"/>
          <w:b/>
          <w:bCs/>
          <w:color w:val="000000"/>
          <w:sz w:val="20"/>
          <w:szCs w:val="20"/>
        </w:rPr>
        <w:t xml:space="preserve">5. Use Cases &amp; Revenue Model</w:t>
      </w:r>
    </w:p>
    <w:p>
      <w:pPr>
        <w:spacing w:after="80" w:before="80"/>
      </w:pPr>
      <w:r>
        <w:rPr>
          <w:rFonts w:ascii="Arial" w:cs="Arial" w:eastAsia="Arial" w:hAnsi="Arial"/>
          <w:b/>
          <w:bCs/>
          <w:color w:val="000000"/>
          <w:sz w:val="20"/>
          <w:szCs w:val="20"/>
        </w:rPr>
        <w:t xml:space="preserve">5.1 Core Use Cases</w:t>
      </w:r>
    </w:p>
    <w:p>
      <w:pPr>
        <w:spacing w:after="80" w:before="80"/>
      </w:pPr>
      <w:r>
        <w:rPr>
          <w:rFonts w:ascii="Arial" w:cs="Arial" w:eastAsia="Arial" w:hAnsi="Arial"/>
          <w:b/>
          <w:bCs/>
          <w:color w:val="000000"/>
          <w:sz w:val="20"/>
          <w:szCs w:val="20"/>
        </w:rPr>
        <w:t xml:space="preserve">Verification Queries</w:t>
      </w:r>
    </w:p>
    <w:p>
      <w:pPr>
        <w:spacing w:after="80" w:before="80"/>
      </w:pPr>
      <w:r>
        <w:rPr>
          <w:rFonts w:ascii="Arial" w:cs="Arial" w:eastAsia="Arial" w:hAnsi="Arial"/>
          <w:color w:val="000000"/>
          <w:sz w:val="20"/>
          <w:szCs w:val="20"/>
        </w:rPr>
        <w:t xml:space="preserve">'Is this SEC filing authentic? Has it been modified since publication?' The model retrieves the anchored version, compares hashes, and provides a tamper-evident verification result. This is the foundational use case, already supported by the existing verification API at $0.002/query.</w:t>
      </w:r>
    </w:p>
    <w:p>
      <w:pPr>
        <w:spacing w:after="80" w:before="80"/>
      </w:pPr>
      <w:r>
        <w:rPr>
          <w:rFonts w:ascii="Arial" w:cs="Arial" w:eastAsia="Arial" w:hAnsi="Arial"/>
          <w:b/>
          <w:bCs/>
          <w:color w:val="000000"/>
          <w:sz w:val="20"/>
          <w:szCs w:val="20"/>
        </w:rPr>
        <w:t xml:space="preserve">Document Analysis with Verified Citations</w:t>
      </w:r>
    </w:p>
    <w:p>
      <w:pPr>
        <w:spacing w:after="80" w:before="80"/>
      </w:pPr>
      <w:r>
        <w:rPr>
          <w:rFonts w:ascii="Arial" w:cs="Arial" w:eastAsia="Arial" w:hAnsi="Arial"/>
          <w:color w:val="000000"/>
          <w:sz w:val="20"/>
          <w:szCs w:val="20"/>
        </w:rPr>
        <w:t xml:space="preserve">'Summarize the key risks in this 10-K.' The fine-tuned model analyzes the document while citing specific sections from the Bitcoin-anchored version. Every factual claim in the summary links to a verifiable source paragraph. This is where Nessie adds value beyond the raw verification API.</w:t>
      </w:r>
    </w:p>
    <w:p>
      <w:pPr>
        <w:spacing w:after="80" w:before="80"/>
      </w:pPr>
      <w:r>
        <w:rPr>
          <w:rFonts w:ascii="Arial" w:cs="Arial" w:eastAsia="Arial" w:hAnsi="Arial"/>
          <w:b/>
          <w:bCs/>
          <w:color w:val="000000"/>
          <w:sz w:val="20"/>
          <w:szCs w:val="20"/>
        </w:rPr>
        <w:t xml:space="preserve">Compliance Checking</w:t>
      </w:r>
    </w:p>
    <w:p>
      <w:pPr>
        <w:spacing w:after="80" w:before="80"/>
      </w:pPr>
      <w:r>
        <w:rPr>
          <w:rFonts w:ascii="Arial" w:cs="Arial" w:eastAsia="Arial" w:hAnsi="Arial"/>
          <w:color w:val="000000"/>
          <w:sz w:val="20"/>
          <w:szCs w:val="20"/>
        </w:rPr>
        <w:t xml:space="preserve">'Does this contract clause comply with SEC Rule 10b-5?' The model cross-references the user's document against anchored regulatory texts, citing specific provisions. Enterprise compliance teams pay premium pricing for this workflow.</w:t>
      </w:r>
    </w:p>
    <w:p>
      <w:pPr>
        <w:spacing w:after="80" w:before="80"/>
      </w:pPr>
      <w:r>
        <w:rPr>
          <w:rFonts w:ascii="Arial" w:cs="Arial" w:eastAsia="Arial" w:hAnsi="Arial"/>
          <w:b/>
          <w:bCs/>
          <w:color w:val="000000"/>
          <w:sz w:val="20"/>
          <w:szCs w:val="20"/>
        </w:rPr>
        <w:t xml:space="preserve">Patent Prior Art Search</w:t>
      </w:r>
    </w:p>
    <w:p>
      <w:pPr>
        <w:spacing w:after="80" w:before="80"/>
      </w:pPr>
      <w:r>
        <w:rPr>
          <w:rFonts w:ascii="Arial" w:cs="Arial" w:eastAsia="Arial" w:hAnsi="Arial"/>
          <w:color w:val="000000"/>
          <w:sz w:val="20"/>
          <w:szCs w:val="20"/>
        </w:rPr>
        <w:t xml:space="preserve">'Find prior art for this machine learning method.' The model searches across the anchored USPTO corpus, returning verified patent citations with confidence scores. Patent attorneys need proof that the cited prior art existed at a specific date.</w:t>
      </w:r>
    </w:p>
    <w:p>
      <w:pPr>
        <w:spacing w:after="80" w:before="80"/>
      </w:pPr>
      <w:r>
        <w:rPr>
          <w:rFonts w:ascii="Arial" w:cs="Arial" w:eastAsia="Arial" w:hAnsi="Arial"/>
          <w:b/>
          <w:bCs/>
          <w:color w:val="000000"/>
          <w:sz w:val="20"/>
          <w:szCs w:val="20"/>
        </w:rPr>
        <w:t xml:space="preserve">Academic Verification</w:t>
      </w:r>
    </w:p>
    <w:p>
      <w:pPr>
        <w:spacing w:after="80" w:before="80"/>
      </w:pPr>
      <w:r>
        <w:rPr>
          <w:rFonts w:ascii="Arial" w:cs="Arial" w:eastAsia="Arial" w:hAnsi="Arial"/>
          <w:color w:val="000000"/>
          <w:sz w:val="20"/>
          <w:szCs w:val="20"/>
        </w:rPr>
        <w:t xml:space="preserve">'Has this paper been retracted or modified since publication?' Cross-references the anchored version against the current version, identifying any discrepancies. Researchers and peer reviewers need this for citation integrity.</w:t>
      </w:r>
    </w:p>
    <w:p>
      <w:pPr>
        <w:spacing w:after="80" w:before="80"/>
      </w:pPr>
      <w:r>
        <w:rPr>
          <w:rFonts w:ascii="Arial" w:cs="Arial" w:eastAsia="Arial" w:hAnsi="Arial"/>
          <w:b/>
          <w:bCs/>
          <w:color w:val="000000"/>
          <w:sz w:val="20"/>
          <w:szCs w:val="20"/>
        </w:rPr>
        <w:t xml:space="preserve">AI Agent Tool</w:t>
      </w:r>
    </w:p>
    <w:p>
      <w:pPr>
        <w:spacing w:after="80" w:before="80"/>
      </w:pPr>
      <w:r>
        <w:rPr>
          <w:rFonts w:ascii="Arial" w:cs="Arial" w:eastAsia="Arial" w:hAnsi="Arial"/>
          <w:color w:val="000000"/>
          <w:sz w:val="20"/>
          <w:szCs w:val="20"/>
        </w:rPr>
        <w:t xml:space="preserve">Third-party AI agents call Arkova's API as a tool for verified document intelligence. When an agent needs to verify a claim or cite a regulatory document, it invokes Arkova's verified retrieval endpoint. This is the highest-leverage distribution channel.</w:t>
      </w:r>
    </w:p>
    <w:p>
      <w:pPr>
        <w:spacing w:after="80" w:before="80"/>
      </w:pPr>
      <w:r>
        <w:rPr>
          <w:rFonts w:ascii="Arial" w:cs="Arial" w:eastAsia="Arial" w:hAnsi="Arial"/>
          <w:b/>
          <w:bCs/>
          <w:color w:val="000000"/>
          <w:sz w:val="20"/>
          <w:szCs w:val="20"/>
        </w:rPr>
        <w:t xml:space="preserve">5.2 Pricing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**Tier**</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**Price**</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**Includes**</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**Target Customer**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Verification API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$0.002/query (x402)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Hash verification + timestamp check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Developers, bots, agents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Starter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$49/mo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500 AI queries + 5K verifications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Individual researchers, journalists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Professional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$199/mo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5K AI queries + 50K verifications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Law firms, patent attorneys, analysts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Enterprise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$999-2,999/mo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Unlimited AI + custom adapters + SLA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Compliance teams, large firms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Agent API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$0.01-0.05/query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Verified retrieval for AI agents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AI platforms, agent builders</w:t>
            </w:r>
          </w:p>
        </w:tc>
      </w:tr>
    </w:tbl>
    <w:p>
      <w:pPr>
        <w:spacing w:after="80" w:before="80"/>
      </w:pPr>
      <w:r>
        <w:rPr>
          <w:rFonts w:ascii="Arial" w:cs="Arial" w:eastAsia="Arial" w:hAnsi="Arial"/>
          <w:b/>
          <w:bCs/>
          <w:color w:val="000000"/>
          <w:sz w:val="20"/>
          <w:szCs w:val="20"/>
        </w:rPr>
        <w:t xml:space="preserve">5.3 TAM/SAM/SOM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**Market**</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TAM: Document AI Market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$91B by 2034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Total addressable market for intelligent document processing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SAM: Verified Document Intelligence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$2.5-5B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Subset requiring cryptographic verification: legal, financial, academic, patent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SOM: Year 1 Achievable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$1.2-8.5M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Based on Arkova's current reach, API distribution, and bootstrap corpus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SOM: Year 3 Target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$15-40M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Enterprise expansion + agent ecosystem + international</w:t>
            </w:r>
          </w:p>
        </w:tc>
      </w:tr>
    </w:tbl>
    <w:p>
      <w:pPr>
        <w:spacing w:after="80" w:before="80"/>
      </w:pPr>
      <w:r>
        <w:rPr>
          <w:rFonts w:ascii="Arial" w:cs="Arial" w:eastAsia="Arial" w:hAnsi="Arial"/>
          <w:b/>
          <w:bCs/>
          <w:color w:val="000000"/>
          <w:sz w:val="20"/>
          <w:szCs w:val="20"/>
        </w:rPr>
        <w:t xml:space="preserve">5.4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**Revenue Stream**</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**Year 1 Conservative**</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**Year 1 Moderate**</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**Year 1 Aggressive**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Verification API (x402)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$120K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$360K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$720K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Starter subscriptions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$180K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$360K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$720K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Professional subscriptions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$360K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$960K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$2,400K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Enterprise contracts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$500K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$1,500K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$3,500K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Agent API revenue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$50K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$200K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$1,000K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TOTAL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$1,210K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$3,380K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$8,340K</w:t>
            </w:r>
          </w:p>
        </w:tc>
      </w:tr>
    </w:tbl>
    <w:p>
      <w:pPr>
        <w:spacing w:after="80" w:before="80"/>
      </w:pPr>
      <w:r>
        <w:rPr>
          <w:rFonts w:ascii="Arial" w:cs="Arial" w:eastAsia="Arial" w:hAnsi="Arial"/>
          <w:color w:val="000000"/>
          <w:sz w:val="20"/>
          <w:szCs w:val="20"/>
        </w:rPr>
        <w:t xml:space="preserve">Conservative assumes 100 Starter + 15 Professional + 5 Enterprise + 60M API calls. Moderate assumes 300 Starter + 40 Professional + 15 Enterprise + 180M API calls. Aggressive assumes 600 Starter + 100 Professional + 35 Enterprise + 360M API calls.</w:t>
      </w:r>
    </w:p>
    <w:p>
      <w:pPr>
        <w:spacing w:after="80" w:before="80"/>
      </w:pPr>
      <w:r>
        <w:rPr>
          <w:rFonts w:ascii="Arial" w:cs="Arial" w:eastAsia="Arial" w:hAnsi="Arial"/>
          <w:b/>
          <w:bCs/>
          <w:color w:val="000000"/>
          <w:sz w:val="20"/>
          <w:szCs w:val="20"/>
        </w:rPr>
        <w:t xml:space="preserve">6. Competitive Landscape</w:t>
      </w:r>
    </w:p>
    <w:p>
      <w:pPr>
        <w:spacing w:after="80" w:before="80"/>
      </w:pPr>
      <w:r>
        <w:rPr>
          <w:rFonts w:ascii="Arial" w:cs="Arial" w:eastAsia="Arial" w:hAnsi="Arial"/>
          <w:b/>
          <w:bCs/>
          <w:color w:val="000000"/>
          <w:sz w:val="20"/>
          <w:szCs w:val="20"/>
        </w:rPr>
        <w:t xml:space="preserve">6.1 Legal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**Company**</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**Valuation/Funding**</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**Est. ARR**</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**Key Strength**</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**Arkova Opportunity**</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Harvey AI</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$11B / $806M raised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$190M+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50 of AmLaw 100, multi-step reasoning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Harvey lacks verification; 85-95% accuracy ceiling</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Legora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$5.55B / $550M raised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N/A (fast-growing)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Agentic workflows, Word integration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 document provenance or verification</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CoCounsel (TR)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Thomson Reuters parent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Enterprise (CaseText shut down)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Westlaw integration, GPT-4 powered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Closed ecosystem, no public verification</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Lexis+ AI</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LexisNexis parent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Enterprise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Shepard's citations, trusted database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 cryptographic verification layer</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vLex Vincent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Private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3.67x more reliable than leading LLMs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 blockchain-based provenance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Ironclad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$3.2B / $333M raised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$150M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CLM platform, AI agents for contracts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Limited to contract lifecycle, no verification</w:t>
            </w:r>
          </w:p>
        </w:tc>
      </w:tr>
    </w:tbl>
    <w:p>
      <w:pPr>
        <w:spacing w:after="80" w:before="80"/>
      </w:pPr>
      <w:r>
        <w:rPr>
          <w:rFonts w:ascii="Arial" w:cs="Arial" w:eastAsia="Arial" w:hAnsi="Arial"/>
          <w:b/>
          <w:bCs/>
          <w:color w:val="000000"/>
          <w:sz w:val="20"/>
          <w:szCs w:val="20"/>
        </w:rPr>
        <w:t xml:space="preserve">6.2 Financial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**Company**</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**Valuation/Funding**</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**Est. ARR**</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**Key Strength**</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**Arkova Opportunity**</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AlphaSense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$4B / $1.63B raised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$500M+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10K+ data sources, Deep Research</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 cryptographic document verification</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Bloomberg GPT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Bloomberg parent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Enterprise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50B proprietary model, terminal data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Closed, no external verification</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Kensho (S&amp;P)</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S&amp;P Global parent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Enterprise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LLM-ready API, Capital IQ data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 public verification layer</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Fiscal.ai</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Private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&lt;$10M (est.)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100K+ companies, natural language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Could be partner or competitor</w:t>
            </w:r>
          </w:p>
        </w:tc>
      </w:tr>
    </w:tbl>
    <w:p>
      <w:pPr>
        <w:spacing w:after="80" w:before="80"/>
      </w:pPr>
      <w:r>
        <w:rPr>
          <w:rFonts w:ascii="Arial" w:cs="Arial" w:eastAsia="Arial" w:hAnsi="Arial"/>
          <w:b/>
          <w:bCs/>
          <w:color w:val="000000"/>
          <w:sz w:val="20"/>
          <w:szCs w:val="20"/>
        </w:rPr>
        <w:t xml:space="preserve">6.3 Academic &amp; Patent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**Company**</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**Funding**</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**Key Strength**</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**Arkova Opportunity**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Semantic Scholar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Non-profit (Allen AI)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200M+ papers, free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 verification, open to partnership</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Elicit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$22M Series 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400K+ researchers, automated review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39.5% sensitivity, reproducibility issues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Consensus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Private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200M+ papers, Consensus Meter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 tamper-evident verification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PatSnap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$352M total, $1B val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2B+ data points, AI agents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 cryptographic provenance for patents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IPRally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Private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Graph Neural Network patent search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 verification layer</w:t>
            </w:r>
          </w:p>
        </w:tc>
      </w:tr>
    </w:tbl>
    <w:p>
      <w:pPr>
        <w:spacing w:after="80" w:before="80"/>
      </w:pPr>
      <w:r>
        <w:rPr>
          <w:rFonts w:ascii="Arial" w:cs="Arial" w:eastAsia="Arial" w:hAnsi="Arial"/>
          <w:b/>
          <w:bCs/>
          <w:color w:val="000000"/>
          <w:sz w:val="20"/>
          <w:szCs w:val="20"/>
        </w:rPr>
        <w:t xml:space="preserve">6.4 AI Search / Citation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**Company**</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**Valuation**</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**Citation Quality**</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**Verification**</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**Arkova Advantage**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Perplexity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$21.2B</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37-45% hallucination rate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None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Cryptographic proof vs. broken citations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Google AI Overviews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Alphabet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RAG reduces halluc. 40%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Source authority only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Bitcoin-anchored vs. web search</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ChatGPT + Browse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OpenAI</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Moderate (18% trigger search)</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None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Verified corpus vs. web scrape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You.com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$1.5B</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400+ source synthesis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Zero data retention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Verified provenance chain</w:t>
            </w:r>
          </w:p>
        </w:tc>
      </w:tr>
    </w:tbl>
    <w:p>
      <w:pPr>
        <w:spacing w:after="80" w:before="80"/>
      </w:pPr>
      <w:r>
        <w:rPr>
          <w:rFonts w:ascii="Arial" w:cs="Arial" w:eastAsia="Arial" w:hAnsi="Arial"/>
          <w:b/>
          <w:bCs/>
          <w:color w:val="000000"/>
          <w:sz w:val="20"/>
          <w:szCs w:val="20"/>
        </w:rPr>
        <w:t xml:space="preserve">6.5 Blockchain + AI Intersection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**Project**</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**Market Cap / Funding**</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**Approach**</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**Threat to Arkova**</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Bittensor (TAO)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$300+ per token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Decentralized AI training network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Low: infrastructure, not applications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ASI Alliance (Ocean+Fetch+SNET)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$2B+ combined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Data tokenization for AI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Low: data marketplace, not verification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Various Web3 AI startups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Variable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On-chain inference, data DAOs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Low: no document verification focus</w:t>
            </w:r>
          </w:p>
        </w:tc>
      </w:tr>
    </w:tbl>
    <w:p>
      <w:pPr>
        <w:spacing w:after="80" w:before="80"/>
      </w:pPr>
      <w:r>
        <w:rPr>
          <w:rFonts w:ascii="Arial" w:cs="Arial" w:eastAsia="Arial" w:hAnsi="Arial"/>
          <w:b/>
          <w:bCs/>
          <w:color w:val="000000"/>
          <w:sz w:val="20"/>
          <w:szCs w:val="20"/>
        </w:rPr>
        <w:t xml:space="preserve">6.6 Competitive Summary</w:t>
      </w:r>
    </w:p>
    <w:p>
      <w:pPr>
        <w:spacing w:after="80" w:before="80"/>
      </w:pPr>
      <w:r>
        <w:rPr>
          <w:rFonts w:ascii="Arial" w:cs="Arial" w:eastAsia="Arial" w:hAnsi="Arial"/>
          <w:color w:val="000000"/>
          <w:sz w:val="20"/>
          <w:szCs w:val="20"/>
        </w:rPr>
        <w:t xml:space="preserve">No existing competitor combines all three elements of Arkova's value proposition: (1) cryptographic document verification with Bitcoin anchoring, (2) domain-specific AI/LLM for document intelligence, and (3) an open verification API with micropayments. The closest competitors address one or two of these elements but never all three. This creates a genuine whitespace opportunity, though the window is 12-24 months before larger players could replicate the approach.</w:t>
      </w:r>
    </w:p>
    <w:p>
      <w:pPr>
        <w:spacing w:after="80" w:before="80"/>
      </w:pPr>
      <w:r>
        <w:rPr>
          <w:rFonts w:ascii="Arial" w:cs="Arial" w:eastAsia="Arial" w:hAnsi="Arial"/>
          <w:b/>
          <w:bCs/>
          <w:color w:val="000000"/>
          <w:sz w:val="20"/>
          <w:szCs w:val="20"/>
        </w:rPr>
        <w:t xml:space="preserve">7. Risks &amp; Challenges</w:t>
      </w:r>
    </w:p>
    <w:p>
      <w:pPr>
        <w:spacing w:after="80" w:before="80"/>
      </w:pPr>
      <w:r>
        <w:rPr>
          <w:rFonts w:ascii="Arial" w:cs="Arial" w:eastAsia="Arial" w:hAnsi="Arial"/>
          <w:b/>
          <w:bCs/>
          <w:color w:val="000000"/>
          <w:sz w:val="20"/>
          <w:szCs w:val="20"/>
        </w:rPr>
        <w:t xml:space="preserve">7.1 Hallucination Risk</w:t>
      </w:r>
    </w:p>
    <w:p>
      <w:pPr>
        <w:spacing w:after="80" w:before="80"/>
      </w:pPr>
      <w:r>
        <w:rPr>
          <w:rFonts w:ascii="Arial" w:cs="Arial" w:eastAsia="Arial" w:hAnsi="Arial"/>
          <w:color w:val="000000"/>
          <w:sz w:val="20"/>
          <w:szCs w:val="20"/>
        </w:rPr>
        <w:t xml:space="preserve">This is the single most critical risk. Arkova's value proposition is 'verified intelligence,' but even fine-tuned models hallucinate. Current benchmarks show:</w:t>
      </w:r>
    </w:p>
    <w:p>
      <w:pPr>
        <w:pStyle w:val="ListParagraph"/>
        <w:numPr>
          <w:ilvl w:val="0"/>
          <w:numId w:val="2"/>
        </w:numPr>
        <w:spacing w:after="60" w:before="60"/>
      </w:pPr>
      <w:r>
        <w:rPr>
          <w:rFonts w:ascii="Arial" w:cs="Arial" w:eastAsia="Arial" w:hAnsi="Arial"/>
          <w:color w:val="000000"/>
          <w:sz w:val="20"/>
          <w:szCs w:val="20"/>
        </w:rPr>
        <w:t xml:space="preserve">Average hallucination rate across all models: ~9.2% on general knowledge questions.</w:t>
      </w:r>
    </w:p>
    <w:p>
      <w:pPr>
        <w:pStyle w:val="ListParagraph"/>
        <w:numPr>
          <w:ilvl w:val="0"/>
          <w:numId w:val="2"/>
        </w:numPr>
        <w:spacing w:after="60" w:before="60"/>
      </w:pPr>
      <w:r>
        <w:rPr>
          <w:rFonts w:ascii="Arial" w:cs="Arial" w:eastAsia="Arial" w:hAnsi="Arial"/>
          <w:color w:val="000000"/>
          <w:sz w:val="20"/>
          <w:szCs w:val="20"/>
        </w:rPr>
        <w:t xml:space="preserve">Top fine-tuned models achieve 0.7-0.9% on domain tasks.</w:t>
      </w:r>
    </w:p>
    <w:p>
      <w:pPr>
        <w:pStyle w:val="ListParagraph"/>
        <w:numPr>
          <w:ilvl w:val="0"/>
          <w:numId w:val="2"/>
        </w:numPr>
        <w:spacing w:after="60" w:before="60"/>
      </w:pPr>
      <w:r>
        <w:rPr>
          <w:rFonts w:ascii="Arial" w:cs="Arial" w:eastAsia="Arial" w:hAnsi="Arial"/>
          <w:color w:val="000000"/>
          <w:sz w:val="20"/>
          <w:szCs w:val="20"/>
        </w:rPr>
        <w:t xml:space="preserve">Domain-specialized legal models: 0.8% vs 6.4% for general models (87.5% reduction).</w:t>
      </w:r>
    </w:p>
    <w:p>
      <w:pPr>
        <w:pStyle w:val="ListParagraph"/>
        <w:numPr>
          <w:ilvl w:val="0"/>
          <w:numId w:val="2"/>
        </w:numPr>
        <w:spacing w:after="60" w:before="60"/>
      </w:pPr>
      <w:r>
        <w:rPr>
          <w:rFonts w:ascii="Arial" w:cs="Arial" w:eastAsia="Arial" w:hAnsi="Arial"/>
          <w:color w:val="000000"/>
          <w:sz w:val="20"/>
          <w:szCs w:val="20"/>
        </w:rPr>
        <w:t xml:space="preserve">But high-confidence hallucinations (fluent, plausible, wrong) remain the hardest to detect.</w:t>
      </w:r>
    </w:p>
    <w:p>
      <w:pPr>
        <w:spacing w:after="80" w:before="80"/>
      </w:pPr>
      <w:r>
        <w:rPr>
          <w:rFonts w:ascii="Arial" w:cs="Arial" w:eastAsia="Arial" w:hAnsi="Arial"/>
          <w:color w:val="000000"/>
          <w:sz w:val="20"/>
          <w:szCs w:val="20"/>
        </w:rPr>
        <w:t xml:space="preserve">Mitigation: Arkova must implement a multi-layer defense: (1) RAG-first architecture limits outputs to retrieved content, (2) confidence scoring flags low-certainty responses, (3) every claim includes a verifiable source link, and (4) responses include an explicit 'verification confidence' score. The marketing should position this as 'verified retrieval' rather than 'verified generation' to manage expectations.</w:t>
      </w:r>
    </w:p>
    <w:p>
      <w:pPr>
        <w:spacing w:after="80" w:before="80"/>
      </w:pPr>
      <w:r>
        <w:rPr>
          <w:rFonts w:ascii="Arial" w:cs="Arial" w:eastAsia="Arial" w:hAnsi="Arial"/>
          <w:b/>
          <w:bCs/>
          <w:color w:val="000000"/>
          <w:sz w:val="20"/>
          <w:szCs w:val="20"/>
        </w:rPr>
        <w:t xml:space="preserve">7.2 Model Drift</w:t>
      </w:r>
    </w:p>
    <w:p>
      <w:pPr>
        <w:spacing w:after="80" w:before="80"/>
      </w:pPr>
      <w:r>
        <w:rPr>
          <w:rFonts w:ascii="Arial" w:cs="Arial" w:eastAsia="Arial" w:hAnsi="Arial"/>
          <w:color w:val="000000"/>
          <w:sz w:val="20"/>
          <w:szCs w:val="20"/>
        </w:rPr>
        <w:t xml:space="preserve">As the corpus grows from 10M to 50M+ documents, model behavior will shift. Mitigation: implement automated evaluation benchmarks that run after every training update, measuring accuracy on a held-out verified test set. Set regression thresholds that block deployment of degraded models.</w:t>
      </w:r>
    </w:p>
    <w:p>
      <w:pPr>
        <w:spacing w:after="80" w:before="80"/>
      </w:pPr>
      <w:r>
        <w:rPr>
          <w:rFonts w:ascii="Arial" w:cs="Arial" w:eastAsia="Arial" w:hAnsi="Arial"/>
          <w:b/>
          <w:bCs/>
          <w:color w:val="000000"/>
          <w:sz w:val="20"/>
          <w:szCs w:val="20"/>
        </w:rPr>
        <w:t xml:space="preserve">7.3 Computational Costs at Scale</w:t>
      </w:r>
    </w:p>
    <w:p>
      <w:pPr>
        <w:spacing w:after="80" w:before="80"/>
      </w:pPr>
      <w:r>
        <w:rPr>
          <w:rFonts w:ascii="Arial" w:cs="Arial" w:eastAsia="Arial" w:hAnsi="Arial"/>
          <w:color w:val="000000"/>
          <w:sz w:val="20"/>
          <w:szCs w:val="20"/>
        </w:rPr>
        <w:t xml:space="preserve">If Arkova reaches 10M+ queries/month, inference costs could reach $5K-15K/month. Mitigation: the tiered architecture (client-side + edge + dedicated) and aggressive caching of common queries can reduce costs by 60-80%.</w:t>
      </w:r>
    </w:p>
    <w:p>
      <w:pPr>
        <w:spacing w:after="80" w:before="80"/>
      </w:pPr>
      <w:r>
        <w:rPr>
          <w:rFonts w:ascii="Arial" w:cs="Arial" w:eastAsia="Arial" w:hAnsi="Arial"/>
          <w:b/>
          <w:bCs/>
          <w:color w:val="000000"/>
          <w:sz w:val="20"/>
          <w:szCs w:val="20"/>
        </w:rPr>
        <w:t xml:space="preserve">7.4 Regulatory Risk (EU AI Act)</w:t>
      </w:r>
    </w:p>
    <w:p>
      <w:pPr>
        <w:spacing w:after="80" w:before="80"/>
      </w:pPr>
      <w:r>
        <w:rPr>
          <w:rFonts w:ascii="Arial" w:cs="Arial" w:eastAsia="Arial" w:hAnsi="Arial"/>
          <w:color w:val="000000"/>
          <w:sz w:val="20"/>
          <w:szCs w:val="20"/>
        </w:rPr>
        <w:t xml:space="preserve">Arkova's document verification AI likely falls into the high-risk category under the EU AI Act if used for compliance or legal decisions. Requirements include technical documentation, risk management, and conformity assessment. Key timeline: GPAI transparency obligations effective August 2, 2025; full compliance by August 2027. Mitigation: Arkova's transparent, verified training data actually positions it well for compliance, since the EU AI Act requires training data summaries that Arkova can provide more completely than any competitor.</w:t>
      </w:r>
    </w:p>
    <w:p>
      <w:pPr>
        <w:spacing w:after="80" w:before="80"/>
      </w:pPr>
      <w:r>
        <w:rPr>
          <w:rFonts w:ascii="Arial" w:cs="Arial" w:eastAsia="Arial" w:hAnsi="Arial"/>
          <w:b/>
          <w:bCs/>
          <w:color w:val="000000"/>
          <w:sz w:val="20"/>
          <w:szCs w:val="20"/>
        </w:rPr>
        <w:t xml:space="preserve">7.5 IP Risk</w:t>
      </w:r>
    </w:p>
    <w:p>
      <w:pPr>
        <w:spacing w:after="80" w:before="80"/>
      </w:pPr>
      <w:r>
        <w:rPr>
          <w:rFonts w:ascii="Arial" w:cs="Arial" w:eastAsia="Arial" w:hAnsi="Arial"/>
          <w:color w:val="000000"/>
          <w:sz w:val="20"/>
          <w:szCs w:val="20"/>
        </w:rPr>
        <w:t xml:space="preserve">Training on public government documents (SEC, USPTO, Federal Register) carries minimal copyright risk, as these are largely public domain. Training on academic papers (OpenAlex) carries moderate risk, mitigated by recent fair use precedents (Thomson Reuters v. ROSS, Bartz v. Anthropic, Kadrey v. Meta, all favoring analytical AI training). Mitigation: maintain clear documentation of data provenance and use only legitimately sourced, non-pirated data.</w:t>
      </w:r>
    </w:p>
    <w:p>
      <w:pPr>
        <w:spacing w:after="80" w:before="80"/>
      </w:pPr>
      <w:r>
        <w:rPr>
          <w:rFonts w:ascii="Arial" w:cs="Arial" w:eastAsia="Arial" w:hAnsi="Arial"/>
          <w:b/>
          <w:bCs/>
          <w:color w:val="000000"/>
          <w:sz w:val="20"/>
          <w:szCs w:val="20"/>
        </w:rPr>
        <w:t xml:space="preserve">7.6 Technical Risk: Provenance Chain</w:t>
      </w:r>
    </w:p>
    <w:p>
      <w:pPr>
        <w:spacing w:after="80" w:before="80"/>
      </w:pPr>
      <w:r>
        <w:rPr>
          <w:rFonts w:ascii="Arial" w:cs="Arial" w:eastAsia="Arial" w:hAnsi="Arial"/>
          <w:color w:val="000000"/>
          <w:sz w:val="20"/>
          <w:szCs w:val="20"/>
        </w:rPr>
        <w:t xml:space="preserve">Maintaining an unbroken chain from training data to model output is technically challenging. Pure fine-tuning breaks the chain (you cannot deterministically trace which training examples influenced a specific output). RAG preserves the chain (every output references specific retrieved documents). This is why the hybrid approach with RAG-first architecture is critical.</w:t>
      </w:r>
    </w:p>
    <w:p>
      <w:pPr>
        <w:spacing w:after="80" w:before="80"/>
      </w:pPr>
      <w:r>
        <w:rPr>
          <w:rFonts w:ascii="Arial" w:cs="Arial" w:eastAsia="Arial" w:hAnsi="Arial"/>
          <w:b/>
          <w:bCs/>
          <w:color w:val="000000"/>
          <w:sz w:val="20"/>
          <w:szCs w:val="20"/>
        </w:rPr>
        <w:t xml:space="preserve">7.7 Market Risk</w:t>
      </w:r>
    </w:p>
    <w:p>
      <w:pPr>
        <w:spacing w:after="80" w:before="80"/>
      </w:pPr>
      <w:r>
        <w:rPr>
          <w:rFonts w:ascii="Arial" w:cs="Arial" w:eastAsia="Arial" w:hAnsi="Arial"/>
          <w:color w:val="000000"/>
          <w:sz w:val="20"/>
          <w:szCs w:val="20"/>
        </w:rPr>
        <w:t xml:space="preserve">OpenAI, Google, and Anthropic could add verification features. Google already has grounding APIs. However, bolt-on verification lacks Arkova's corpus-level anchoring advantage. The risk is real but mitigated by Arkova's 12-18 month head start on corpus anchoring and the fact that larger players are unlikely to adopt Bitcoin anchoring as a core architectural decision.</w:t>
      </w:r>
    </w:p>
    <w:p>
      <w:pPr>
        <w:spacing w:after="80" w:before="80"/>
      </w:pPr>
      <w:r>
        <w:rPr>
          <w:rFonts w:ascii="Arial" w:cs="Arial" w:eastAsia="Arial" w:hAnsi="Arial"/>
          <w:b/>
          <w:bCs/>
          <w:color w:val="000000"/>
          <w:sz w:val="20"/>
          <w:szCs w:val="20"/>
        </w:rPr>
        <w:t xml:space="preserve">7.8 Talent Risk</w:t>
      </w:r>
    </w:p>
    <w:p>
      <w:pPr>
        <w:spacing w:after="80" w:before="80"/>
      </w:pPr>
      <w:r>
        <w:rPr>
          <w:rFonts w:ascii="Arial" w:cs="Arial" w:eastAsia="Arial" w:hAnsi="Arial"/>
          <w:color w:val="000000"/>
          <w:sz w:val="20"/>
          <w:szCs w:val="20"/>
        </w:rPr>
        <w:t xml:space="preserve">ML engineer hiring remains competitive. The synthetic data distillation approach requires just 1 ML engineer at $150K-$180K total comp who manages the synthetic data generation pipeline (using Claude/Gemini API calls to generate training examples) and runs LoRA fine-tuning. Synthetic data generation via Claude/Gemini APIs costs $5-10K, and compute for fine-tuning on Together AI/Modal costs $20-50K. Total Year 1: ~$175K-$240K. Data engineering work is handled by existing backend engineers running the EDGAR/patent ingestion pipeline. Focus hiring on domain expertise (financial/legal document understanding) rather than pure ML research.</w:t>
      </w:r>
    </w:p>
    <w:p>
      <w:pPr>
        <w:spacing w:after="80" w:before="80"/>
      </w:pPr>
      <w:r>
        <w:rPr>
          <w:rFonts w:ascii="Arial" w:cs="Arial" w:eastAsia="Arial" w:hAnsi="Arial"/>
          <w:b/>
          <w:bCs/>
          <w:color w:val="000000"/>
          <w:sz w:val="20"/>
          <w:szCs w:val="20"/>
        </w:rPr>
        <w:t xml:space="preserve">8. Build vs. Buy vs. Partner</w:t>
      </w:r>
    </w:p>
    <w:p>
      <w:pPr>
        <w:spacing w:after="80" w:before="80"/>
      </w:pPr>
      <w:r>
        <w:rPr>
          <w:rFonts w:ascii="Arial" w:cs="Arial" w:eastAsia="Arial" w:hAnsi="Arial"/>
          <w:b/>
          <w:bCs/>
          <w:color w:val="000000"/>
          <w:sz w:val="20"/>
          <w:szCs w:val="20"/>
        </w:rPr>
        <w:t xml:space="preserve">8.1 Options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**Option**</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**Approach**</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**Year 1 Cost**</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**Time to Market**</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**Control**</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BUILD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In-house training, self-hosted inference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$700K-930K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6-9 months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Full</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BUY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White-label fine-tuned model via managed service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$200K-400K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2-4 months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Limited</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PARTNER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Use existing AI (Gemini, Claude) + your data as context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$50K-150K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1-2 months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Minimal</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HYBRID (Rec.)</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Phase 1: Partner (RAG+existing). Phase 2: Build (fine-tune)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$350K-600K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1-3 months (P1), 6-9 (P2)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Growing</w:t>
            </w:r>
          </w:p>
        </w:tc>
      </w:tr>
    </w:tbl>
    <w:p>
      <w:pPr>
        <w:spacing w:after="80" w:before="80"/>
      </w:pPr>
      <w:r>
        <w:rPr>
          <w:rFonts w:ascii="Arial" w:cs="Arial" w:eastAsia="Arial" w:hAnsi="Arial"/>
          <w:b/>
          <w:bCs/>
          <w:color w:val="000000"/>
          <w:sz w:val="20"/>
          <w:szCs w:val="20"/>
        </w:rPr>
        <w:t xml:space="preserve">8.2 Recommendation: Phased Hybrid</w:t>
      </w:r>
    </w:p>
    <w:p>
      <w:pPr>
        <w:spacing w:after="80" w:before="80"/>
      </w:pPr>
      <w:r>
        <w:rPr>
          <w:rFonts w:ascii="Arial" w:cs="Arial" w:eastAsia="Arial" w:hAnsi="Arial"/>
          <w:color w:val="000000"/>
          <w:sz w:val="20"/>
          <w:szCs w:val="20"/>
        </w:rPr>
        <w:t xml:space="preserve">Start with the Partner approach (Phase 1), using Arkova's existing Gemini AI integration plus RAG against the verified corpus. This validates product-market fit with minimal investment. Transition to Build (Phase 2) once usage metrics confirm demand, fine-tuning a dedicated model that becomes Arkova's proprietary verified intelligence engine. This approach:</w:t>
      </w:r>
    </w:p>
    <w:p>
      <w:pPr>
        <w:pStyle w:val="ListParagraph"/>
        <w:numPr>
          <w:ilvl w:val="0"/>
          <w:numId w:val="2"/>
        </w:numPr>
        <w:spacing w:after="60" w:before="60"/>
      </w:pPr>
      <w:r>
        <w:rPr>
          <w:rFonts w:ascii="Arial" w:cs="Arial" w:eastAsia="Arial" w:hAnsi="Arial"/>
          <w:color w:val="000000"/>
          <w:sz w:val="20"/>
          <w:szCs w:val="20"/>
        </w:rPr>
        <w:t xml:space="preserve">De-risks the investment by validating demand before committing to ML infrastructure.</w:t>
      </w:r>
    </w:p>
    <w:p>
      <w:pPr>
        <w:pStyle w:val="ListParagraph"/>
        <w:numPr>
          <w:ilvl w:val="0"/>
          <w:numId w:val="2"/>
        </w:numPr>
        <w:spacing w:after="60" w:before="60"/>
      </w:pPr>
      <w:r>
        <w:rPr>
          <w:rFonts w:ascii="Arial" w:cs="Arial" w:eastAsia="Arial" w:hAnsi="Arial"/>
          <w:color w:val="000000"/>
          <w:sz w:val="20"/>
          <w:szCs w:val="20"/>
        </w:rPr>
        <w:t xml:space="preserve">Delivers value in 1-2 months rather than 6-9 months.</w:t>
      </w:r>
    </w:p>
    <w:p>
      <w:pPr>
        <w:pStyle w:val="ListParagraph"/>
        <w:numPr>
          <w:ilvl w:val="0"/>
          <w:numId w:val="2"/>
        </w:numPr>
        <w:spacing w:after="60" w:before="60"/>
      </w:pPr>
      <w:r>
        <w:rPr>
          <w:rFonts w:ascii="Arial" w:cs="Arial" w:eastAsia="Arial" w:hAnsi="Arial"/>
          <w:color w:val="000000"/>
          <w:sz w:val="20"/>
          <w:szCs w:val="20"/>
        </w:rPr>
        <w:t xml:space="preserve">Preserves optionality: if the market responds poorly, Arkova has spent $50-150K, not $700K+.</w:t>
      </w:r>
    </w:p>
    <w:p>
      <w:pPr>
        <w:pStyle w:val="ListParagraph"/>
        <w:numPr>
          <w:ilvl w:val="0"/>
          <w:numId w:val="2"/>
        </w:numPr>
        <w:spacing w:after="60" w:before="60"/>
      </w:pPr>
      <w:r>
        <w:rPr>
          <w:rFonts w:ascii="Arial" w:cs="Arial" w:eastAsia="Arial" w:hAnsi="Arial"/>
          <w:color w:val="000000"/>
          <w:sz w:val="20"/>
          <w:szCs w:val="20"/>
        </w:rPr>
        <w:t xml:space="preserve">Builds the verified corpus in parallel, so the fine-tuning dataset is mature when Phase 2 begins.</w:t>
      </w:r>
    </w:p>
    <w:p>
      <w:pPr>
        <w:pStyle w:val="ListParagraph"/>
        <w:numPr>
          <w:ilvl w:val="0"/>
          <w:numId w:val="2"/>
        </w:numPr>
        <w:spacing w:after="60" w:before="60"/>
      </w:pPr>
      <w:r>
        <w:rPr>
          <w:rFonts w:ascii="Arial" w:cs="Arial" w:eastAsia="Arial" w:hAnsi="Arial"/>
          <w:color w:val="000000"/>
          <w:sz w:val="20"/>
          <w:szCs w:val="20"/>
        </w:rPr>
        <w:t xml:space="preserve">Allows the ML team to be hired gradually as needs become clear.</w:t>
      </w:r>
    </w:p>
    <w:p>
      <w:pPr>
        <w:spacing w:after="80" w:before="80"/>
      </w:pPr>
      <w:r>
        <w:rPr>
          <w:rFonts w:ascii="Arial" w:cs="Arial" w:eastAsia="Arial" w:hAnsi="Arial"/>
          <w:b/>
          <w:bCs/>
          <w:color w:val="000000"/>
          <w:sz w:val="20"/>
          <w:szCs w:val="20"/>
        </w:rPr>
        <w:t xml:space="preserve">9. Implementation Roadmap</w:t>
      </w:r>
    </w:p>
    <w:p>
      <w:pPr>
        <w:spacing w:after="80" w:before="80"/>
      </w:pPr>
      <w:r>
        <w:rPr>
          <w:rFonts w:ascii="Arial" w:cs="Arial" w:eastAsia="Arial" w:hAnsi="Arial"/>
          <w:b/>
          <w:bCs/>
          <w:color w:val="000000"/>
          <w:sz w:val="20"/>
          <w:szCs w:val="20"/>
        </w:rPr>
        <w:t xml:space="preserve">9.1 Phase 1: Foundation (Months 1-3)</w:t>
      </w:r>
    </w:p>
    <w:p>
      <w:pPr>
        <w:spacing w:after="80" w:before="80"/>
      </w:pPr>
      <w:r>
        <w:rPr>
          <w:rFonts w:ascii="Arial" w:cs="Arial" w:eastAsia="Arial" w:hAnsi="Arial"/>
          <w:color w:val="000000"/>
          <w:sz w:val="20"/>
          <w:szCs w:val="20"/>
        </w:rPr>
        <w:t xml:space="preserve">Goal: Launch RAG-powered verified intelligence on top of existing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**Milestone**</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**Owner**</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**Cost**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M1: Corpus Bootstrap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Begin anchoring SEC EDGAR, USPTO, OpenAlex documents (target: 5M docs)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Data Eng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$5K infra</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M1: Embedding Pipeline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Deploy Jina v3 embeddings + vector DB (Pinecone or Supabase pgvector)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Backend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$2K/mo</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M2: RAG API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Build retrieval endpoint returning verified citations with Bitcoin proof links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Backend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$3K infra</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M2: Gemini Integration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Connect RAG pipeline to existing Gemini client-side processing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Frontend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Existing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M3: Alpha Launch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Release to 50 beta users (researchers, compliance teams)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Product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M3: Metrics Dashboard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Track query volume, citation accuracy, user satisfaction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Data Eng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$1K</w:t>
            </w:r>
          </w:p>
        </w:tc>
      </w:tr>
    </w:tbl>
    <w:p>
      <w:pPr>
        <w:spacing w:after="80" w:before="80"/>
      </w:pPr>
      <w:r>
        <w:rPr>
          <w:rFonts w:ascii="Arial" w:cs="Arial" w:eastAsia="Arial" w:hAnsi="Arial"/>
          <w:color w:val="000000"/>
          <w:sz w:val="20"/>
          <w:szCs w:val="20"/>
        </w:rPr>
        <w:t xml:space="preserve">Phase 1 Team: 1 backend engineer, 1 data engineer, existing frontend team. Total Phase 1 cost: $30K-50K.</w:t>
      </w:r>
    </w:p>
    <w:p>
      <w:pPr>
        <w:spacing w:after="80" w:before="80"/>
      </w:pPr>
      <w:r>
        <w:rPr>
          <w:rFonts w:ascii="Arial" w:cs="Arial" w:eastAsia="Arial" w:hAnsi="Arial"/>
          <w:color w:val="000000"/>
          <w:sz w:val="20"/>
          <w:szCs w:val="20"/>
        </w:rPr>
        <w:t xml:space="preserve">Decision Gate: If &gt;50K queries/month by end of Month 3, proceed to Phase 2. If &lt;50K, extend Phase 1 and focus on distribution.</w:t>
      </w:r>
    </w:p>
    <w:p>
      <w:pPr>
        <w:spacing w:after="80" w:before="80"/>
      </w:pPr>
      <w:r>
        <w:rPr>
          <w:rFonts w:ascii="Arial" w:cs="Arial" w:eastAsia="Arial" w:hAnsi="Arial"/>
          <w:b/>
          <w:bCs/>
          <w:color w:val="000000"/>
          <w:sz w:val="20"/>
          <w:szCs w:val="20"/>
        </w:rPr>
        <w:t xml:space="preserve">9.2 Phase 2: Intelligence Layer (Months 4-8)</w:t>
      </w:r>
    </w:p>
    <w:p>
      <w:pPr>
        <w:spacing w:after="80" w:before="80"/>
      </w:pPr>
      <w:r>
        <w:rPr>
          <w:rFonts w:ascii="Arial" w:cs="Arial" w:eastAsia="Arial" w:hAnsi="Arial"/>
          <w:color w:val="000000"/>
          <w:sz w:val="20"/>
          <w:szCs w:val="20"/>
        </w:rPr>
        <w:t xml:space="preserve">Goal: Fine-tune Nessie and build the verified intelligence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**Milestone**</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**Owner**</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**Cost**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M4: ML Team Hire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Hire 1 ML engineer with NLP/fine-tuning experience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Founder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$180K-300K/yr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M4: Dataset Curation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Prepare 10M anchored docs for fine-tuning (cleaning, formatting)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ML Eng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M5: First LoRA Fine-Tune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Llama 3.1 8B on SEC corpus, evaluate domain performance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ML Eng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$2.5K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M6: Multi-Adapter System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Add USPTO, academic, regulatory LoRA adapters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ML Eng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M7: WebLLM Client Deploy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Deploy quantized 3B model for in-browser document analysis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Frontend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M8: Beta Launch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Release to 500 users with full verified intelligence features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Product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$5K</w:t>
            </w:r>
          </w:p>
        </w:tc>
      </w:tr>
    </w:tbl>
    <w:p>
      <w:pPr>
        <w:spacing w:after="80" w:before="80"/>
      </w:pPr>
      <w:r>
        <w:rPr>
          <w:rFonts w:ascii="Arial" w:cs="Arial" w:eastAsia="Arial" w:hAnsi="Arial"/>
          <w:color w:val="000000"/>
          <w:sz w:val="20"/>
          <w:szCs w:val="20"/>
        </w:rPr>
        <w:t xml:space="preserve">Phase 2 Team: 1 ML engineer, 1 backend engineer. Synthetic data generation via Claude/Gemini APIs. Total Phase 2 cost: $100K-175K.</w:t>
      </w:r>
    </w:p>
    <w:p>
      <w:pPr>
        <w:spacing w:after="80" w:before="80"/>
      </w:pPr>
      <w:r>
        <w:rPr>
          <w:rFonts w:ascii="Arial" w:cs="Arial" w:eastAsia="Arial" w:hAnsi="Arial"/>
          <w:color w:val="000000"/>
          <w:sz w:val="20"/>
          <w:szCs w:val="20"/>
        </w:rPr>
        <w:t xml:space="preserve">Decision Gate: If &gt;200K queries/month and &gt;10 enterprise leads by Month 8, proceed to Phase 3.</w:t>
      </w:r>
    </w:p>
    <w:p>
      <w:pPr>
        <w:spacing w:after="80" w:before="80"/>
      </w:pPr>
      <w:r>
        <w:rPr>
          <w:rFonts w:ascii="Arial" w:cs="Arial" w:eastAsia="Arial" w:hAnsi="Arial"/>
          <w:b/>
          <w:bCs/>
          <w:color w:val="000000"/>
          <w:sz w:val="20"/>
          <w:szCs w:val="20"/>
        </w:rPr>
        <w:t xml:space="preserve">9.3 Phase 3: Scale &amp; Revenue (Months 9-12)</w:t>
      </w:r>
    </w:p>
    <w:p>
      <w:pPr>
        <w:spacing w:after="80" w:before="80"/>
      </w:pPr>
      <w:r>
        <w:rPr>
          <w:rFonts w:ascii="Arial" w:cs="Arial" w:eastAsia="Arial" w:hAnsi="Arial"/>
          <w:color w:val="000000"/>
          <w:sz w:val="20"/>
          <w:szCs w:val="20"/>
        </w:rPr>
        <w:t xml:space="preserve">Goal: Production hardening, enterprise launch, and revenue acceleration.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**Milestone**</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**Owner**</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**Cost**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M9: Production Inference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Deploy vLLM + auto-scaling on RunPod/dedicated GPU</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ML Eng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$3K/mo</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M9: Agent API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Launch MCP-compatible API for third-party AI agents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Backend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M10: Enterprise Features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Custom adapters, SLA, SSO, audit logging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Full team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$20K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M11: Enterprise Sales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Close first 5-10 enterprise contracts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Founder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Variable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M12: Continuous Training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Automated monthly LoRA refresh pipeline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ML Eng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$1.5K/mo</w:t>
            </w:r>
          </w:p>
        </w:tc>
      </w:tr>
    </w:tbl>
    <w:p>
      <w:pPr>
        <w:spacing w:after="80" w:before="80"/>
      </w:pPr>
      <w:r>
        <w:rPr>
          <w:rFonts w:ascii="Arial" w:cs="Arial" w:eastAsia="Arial" w:hAnsi="Arial"/>
          <w:color w:val="000000"/>
          <w:sz w:val="20"/>
          <w:szCs w:val="20"/>
        </w:rPr>
        <w:t xml:space="preserve">Phase 3 Team: 1 ML engineer, 1 backend engineer, 1 sales/BD. Total Phase 3 cost: $100K-150K.</w:t>
      </w:r>
    </w:p>
    <w:p>
      <w:pPr>
        <w:spacing w:after="80" w:before="80"/>
      </w:pPr>
      <w:r>
        <w:rPr>
          <w:rFonts w:ascii="Arial" w:cs="Arial" w:eastAsia="Arial" w:hAnsi="Arial"/>
          <w:b/>
          <w:bCs/>
          <w:color w:val="000000"/>
          <w:sz w:val="20"/>
          <w:szCs w:val="20"/>
        </w:rPr>
        <w:t xml:space="preserve">10. Financial Model</w:t>
      </w:r>
    </w:p>
    <w:p>
      <w:pPr>
        <w:spacing w:after="80" w:before="80"/>
      </w:pPr>
      <w:r>
        <w:rPr>
          <w:rFonts w:ascii="Arial" w:cs="Arial" w:eastAsia="Arial" w:hAnsi="Arial"/>
          <w:b/>
          <w:bCs/>
          <w:color w:val="000000"/>
          <w:sz w:val="20"/>
          <w:szCs w:val="20"/>
        </w:rPr>
        <w:t xml:space="preserve">10.1 Development Costs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**Cost Category**</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**Phase 1 (M1-3)**</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**Phase 2 (M4-8)**</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**Phase 3 (M9-12)**</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**Year 1 Total**</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Infrastructure (GPU, cloud)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$15K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$50K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$40K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$105K</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ML Engineering (2 FTE from M4)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$150K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$120K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$270K</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Data Engineering (1 FTE)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$45K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$75K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$60K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$180K</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Backend Engineering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$30K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$25K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$25K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$80K</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Tools &amp; Services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$10K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$10K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$25K</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Contingency (15%)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$14K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$47K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$38K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$99K</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TOTAL</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$109K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$357K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$293K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$759K</w:t>
            </w:r>
          </w:p>
        </w:tc>
      </w:tr>
    </w:tbl>
    <w:p>
      <w:pPr>
        <w:spacing w:after="80" w:before="80"/>
      </w:pPr>
      <w:r>
        <w:rPr>
          <w:rFonts w:ascii="Arial" w:cs="Arial" w:eastAsia="Arial" w:hAnsi="Arial"/>
          <w:b/>
          <w:bCs/>
          <w:color w:val="000000"/>
          <w:sz w:val="20"/>
          <w:szCs w:val="20"/>
        </w:rPr>
        <w:t xml:space="preserve">10.2 Monthly Infrastructure Costs (Steady State, Month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**Item**</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**Monthly Cost**</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GPU inference (RunPod/vLLM)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$1,500-3,000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Scales with query volume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Vector database (embeddings)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$300-800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Pinecone or self-hosted pgvector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Cloudflare Workers AI (edge)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$200-500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Overflow and light queries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Data pipeline (ETL, anchoring)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$500-1,000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Continuous corpus growth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Monitoring &amp; observability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$200-400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Datadog, custom dashboards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TOTAL MONTHLY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$2,700-5,700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 </w:t>
            </w:r>
          </w:p>
        </w:tc>
      </w:tr>
    </w:tbl>
    <w:p>
      <w:pPr>
        <w:spacing w:after="80" w:before="80"/>
      </w:pPr>
      <w:r>
        <w:rPr>
          <w:rFonts w:ascii="Arial" w:cs="Arial" w:eastAsia="Arial" w:hAnsi="Arial"/>
          <w:b/>
          <w:bCs/>
          <w:color w:val="000000"/>
          <w:sz w:val="20"/>
          <w:szCs w:val="20"/>
        </w:rPr>
        <w:t xml:space="preserve">10.3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**Month**</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**Conservative**</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**Moderate**</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**Aggressive**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Month 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$15K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$30K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Month 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$30K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$80K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$200K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Month 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$70K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$200K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$500K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Month 12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$120K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$380K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$850K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Year 1 Total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$1,210K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$3,380K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$8,340K</w:t>
            </w:r>
          </w:p>
        </w:tc>
      </w:tr>
    </w:tbl>
    <w:p>
      <w:pPr>
        <w:spacing w:after="80" w:before="80"/>
      </w:pPr>
      <w:r>
        <w:rPr>
          <w:rFonts w:ascii="Arial" w:cs="Arial" w:eastAsia="Arial" w:hAnsi="Arial"/>
          <w:b/>
          <w:bCs/>
          <w:color w:val="000000"/>
          <w:sz w:val="20"/>
          <w:szCs w:val="20"/>
        </w:rPr>
        <w:t xml:space="preserve">10.4 Break-Even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**Scenario**</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**Total Year 1 Investment**</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**Year 1 Revenue**</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**Break-Even Month**</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**Year 2 Projected Profit**</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Conservative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$759K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$1,210K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Month 18-22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$500K-1M</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Moderate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$759K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$3,380K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Month 8-12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$2-4M</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Aggressive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$759K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$8,340K</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Month 5-7</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$6-12M</w:t>
            </w:r>
          </w:p>
        </w:tc>
      </w:tr>
    </w:tbl>
    <w:p>
      <w:pPr>
        <w:spacing w:after="80" w:before="80"/>
      </w:pPr>
      <w:r>
        <w:rPr>
          <w:rFonts w:ascii="Arial" w:cs="Arial" w:eastAsia="Arial" w:hAnsi="Arial"/>
          <w:b/>
          <w:bCs/>
          <w:color w:val="000000"/>
          <w:sz w:val="20"/>
          <w:szCs w:val="20"/>
        </w:rPr>
        <w:t xml:space="preserve">10.5 With Nessie vs. Without Nessie</w:t>
      </w:r>
    </w:p>
    <w:p>
      <w:pPr>
        <w:spacing w:after="80" w:before="80"/>
      </w:pPr>
      <w:r>
        <w:rPr>
          <w:rFonts w:ascii="Arial" w:cs="Arial" w:eastAsia="Arial" w:hAnsi="Arial"/>
          <w:color w:val="000000"/>
          <w:sz w:val="20"/>
          <w:szCs w:val="20"/>
        </w:rPr>
        <w:t xml:space="preserve">The critical question: does Nessie accelerate Arkova's overall revenue, or is the verification API sufficient on its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**Without Nessie (API Only)**</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**With Nessie (Verified Intelligence)**</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**Delta**</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Average Revenue Per User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$50/mo (verification only)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$199/mo (AI + verification)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+298%</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Addressable Use Cases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 (verify, timestamp, audit)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8+ (analysis, compliance, search, agents)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+167%</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Enterprise Contract Size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$12K/yr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$24-36K/yr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+100-200%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Developer Adoption (Agent API)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Low (commodity API)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High (unique verified AI tool)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Significant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Competitive Differentiation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Moderate (several timestamping services)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Strong (no verified AI competitor)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Step change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Year 1 Revenue Estimate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$400K-600K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$1.2M-8.3M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+200-1,300%</w:t>
            </w:r>
          </w:p>
        </w:tc>
      </w:tr>
    </w:tbl>
    <w:p>
      <w:pPr>
        <w:spacing w:after="80" w:before="80"/>
      </w:pPr>
      <w:r>
        <w:rPr>
          <w:rFonts w:ascii="Arial" w:cs="Arial" w:eastAsia="Arial" w:hAnsi="Arial"/>
          <w:color w:val="000000"/>
          <w:sz w:val="20"/>
          <w:szCs w:val="20"/>
        </w:rPr>
        <w:t xml:space="preserve">Nessie transforms Arkova from a utility infrastructure provider (verification API) into an intelligence platform with significantly higher per-user value, broader use cases, and stronger competitive differentiation. The incremental investment of $400K-600K (the difference between API-only and full Nessie development) unlocks 3-14x more Year 1 revenue.</w:t>
      </w:r>
    </w:p>
    <w:p>
      <w:pPr>
        <w:spacing w:after="80" w:before="80"/>
      </w:pPr>
      <w:r>
        <w:rPr>
          <w:rFonts w:ascii="Arial" w:cs="Arial" w:eastAsia="Arial" w:hAnsi="Arial"/>
          <w:b/>
          <w:bCs/>
          <w:color w:val="000000"/>
          <w:sz w:val="20"/>
          <w:szCs w:val="20"/>
        </w:rPr>
        <w:t xml:space="preserve">11. Go/No-Go Recommendation</w:t>
      </w:r>
    </w:p>
    <w:p>
      <w:pPr>
        <w:spacing w:after="80" w:before="80"/>
      </w:pPr>
      <w:r>
        <w:rPr>
          <w:rFonts w:ascii="Arial" w:cs="Arial" w:eastAsia="Arial" w:hAnsi="Arial"/>
          <w:b/>
          <w:bCs/>
          <w:color w:val="000000"/>
          <w:sz w:val="20"/>
          <w:szCs w:val="20"/>
        </w:rPr>
        <w:t xml:space="preserve">Recommendation: CONDITIONAL GO</w:t>
      </w:r>
    </w:p>
    <w:p>
      <w:pPr>
        <w:spacing w:after="80" w:before="80"/>
      </w:pPr>
      <w:r>
        <w:rPr>
          <w:rFonts w:ascii="Arial" w:cs="Arial" w:eastAsia="Arial" w:hAnsi="Arial"/>
          <w:color w:val="000000"/>
          <w:sz w:val="20"/>
          <w:szCs w:val="20"/>
        </w:rPr>
        <w:t xml:space="preserve">Proceed with the phased hybrid approach. Nessie is strategically essential for Arkova's positioning and revenue growth, but the execution should be de-risked through careful phasing.</w:t>
      </w:r>
    </w:p>
    <w:p>
      <w:pPr>
        <w:spacing w:after="80" w:before="80"/>
      </w:pPr>
      <w:r>
        <w:rPr>
          <w:rFonts w:ascii="Arial" w:cs="Arial" w:eastAsia="Arial" w:hAnsi="Arial"/>
          <w:b/>
          <w:bCs/>
          <w:color w:val="000000"/>
          <w:sz w:val="20"/>
          <w:szCs w:val="20"/>
        </w:rPr>
        <w:t xml:space="preserve">Why GO</w:t>
      </w:r>
    </w:p>
    <w:p>
      <w:pPr>
        <w:pStyle w:val="ListParagraph"/>
        <w:numPr>
          <w:ilvl w:val="0"/>
          <w:numId w:val="2"/>
        </w:numPr>
        <w:spacing w:after="60" w:before="60"/>
      </w:pPr>
      <w:r>
        <w:rPr>
          <w:rFonts w:ascii="Arial" w:cs="Arial" w:eastAsia="Arial" w:hAnsi="Arial"/>
          <w:color w:val="000000"/>
          <w:sz w:val="20"/>
          <w:szCs w:val="20"/>
        </w:rPr>
        <w:t xml:space="preserve">The 'verified AI' positioning is genuinely unique with no direct competitor in the market.</w:t>
      </w:r>
    </w:p>
    <w:p>
      <w:pPr>
        <w:pStyle w:val="ListParagraph"/>
        <w:numPr>
          <w:ilvl w:val="0"/>
          <w:numId w:val="2"/>
        </w:numPr>
        <w:spacing w:after="60" w:before="60"/>
      </w:pPr>
      <w:r>
        <w:rPr>
          <w:rFonts w:ascii="Arial" w:cs="Arial" w:eastAsia="Arial" w:hAnsi="Arial"/>
          <w:color w:val="000000"/>
          <w:sz w:val="20"/>
          <w:szCs w:val="20"/>
        </w:rPr>
        <w:t xml:space="preserve">Nessie unlocks 3-14x more revenue than the verification API alone.</w:t>
      </w:r>
    </w:p>
    <w:p>
      <w:pPr>
        <w:pStyle w:val="ListParagraph"/>
        <w:numPr>
          <w:ilvl w:val="0"/>
          <w:numId w:val="2"/>
        </w:numPr>
        <w:spacing w:after="60" w:before="60"/>
      </w:pPr>
      <w:r>
        <w:rPr>
          <w:rFonts w:ascii="Arial" w:cs="Arial" w:eastAsia="Arial" w:hAnsi="Arial"/>
          <w:color w:val="000000"/>
          <w:sz w:val="20"/>
          <w:szCs w:val="20"/>
        </w:rPr>
        <w:t xml:space="preserve">The phased approach limits downside to $50-150K if Phase 1 underperforms.</w:t>
      </w:r>
    </w:p>
    <w:p>
      <w:pPr>
        <w:pStyle w:val="ListParagraph"/>
        <w:numPr>
          <w:ilvl w:val="0"/>
          <w:numId w:val="2"/>
        </w:numPr>
        <w:spacing w:after="60" w:before="60"/>
      </w:pPr>
      <w:r>
        <w:rPr>
          <w:rFonts w:ascii="Arial" w:cs="Arial" w:eastAsia="Arial" w:hAnsi="Arial"/>
          <w:color w:val="000000"/>
          <w:sz w:val="20"/>
          <w:szCs w:val="20"/>
        </w:rPr>
        <w:t xml:space="preserve">The technical approach (RAG + LoRA fine-tuning on 7B model) is well-understood and achievable with a small team.</w:t>
      </w:r>
    </w:p>
    <w:p>
      <w:pPr>
        <w:pStyle w:val="ListParagraph"/>
        <w:numPr>
          <w:ilvl w:val="0"/>
          <w:numId w:val="2"/>
        </w:numPr>
        <w:spacing w:after="60" w:before="60"/>
      </w:pPr>
      <w:r>
        <w:rPr>
          <w:rFonts w:ascii="Arial" w:cs="Arial" w:eastAsia="Arial" w:hAnsi="Arial"/>
          <w:color w:val="000000"/>
          <w:sz w:val="20"/>
          <w:szCs w:val="20"/>
        </w:rPr>
        <w:t xml:space="preserve">The 10M+ document bootstrap creates a time-locked corpus advantage that grows more defensible over time.</w:t>
      </w:r>
    </w:p>
    <w:p>
      <w:pPr>
        <w:pStyle w:val="ListParagraph"/>
        <w:numPr>
          <w:ilvl w:val="0"/>
          <w:numId w:val="2"/>
        </w:numPr>
        <w:spacing w:after="60" w:before="60"/>
      </w:pPr>
      <w:r>
        <w:rPr>
          <w:rFonts w:ascii="Arial" w:cs="Arial" w:eastAsia="Arial" w:hAnsi="Arial"/>
          <w:color w:val="000000"/>
          <w:sz w:val="20"/>
          <w:szCs w:val="20"/>
        </w:rPr>
        <w:t xml:space="preserve">EU AI Act compliance requirements actually favor Arkova's transparent approach.</w:t>
      </w:r>
    </w:p>
    <w:p>
      <w:pPr>
        <w:pStyle w:val="ListParagraph"/>
        <w:numPr>
          <w:ilvl w:val="0"/>
          <w:numId w:val="2"/>
        </w:numPr>
        <w:spacing w:after="60" w:before="60"/>
      </w:pPr>
      <w:r>
        <w:rPr>
          <w:rFonts w:ascii="Arial" w:cs="Arial" w:eastAsia="Arial" w:hAnsi="Arial"/>
          <w:color w:val="000000"/>
          <w:sz w:val="20"/>
          <w:szCs w:val="20"/>
        </w:rPr>
        <w:t xml:space="preserve">Client-side WebLLM deployment preserves the core privacy guarantee.</w:t>
      </w:r>
    </w:p>
    <w:p>
      <w:pPr>
        <w:spacing w:after="80" w:before="80"/>
      </w:pPr>
      <w:r>
        <w:rPr>
          <w:rFonts w:ascii="Arial" w:cs="Arial" w:eastAsia="Arial" w:hAnsi="Arial"/>
          <w:b/>
          <w:bCs/>
          <w:color w:val="000000"/>
          <w:sz w:val="20"/>
          <w:szCs w:val="20"/>
        </w:rPr>
        <w:t xml:space="preserve">Why CONDITIONAL</w:t>
      </w:r>
    </w:p>
    <w:p>
      <w:pPr>
        <w:pStyle w:val="ListParagraph"/>
        <w:numPr>
          <w:ilvl w:val="0"/>
          <w:numId w:val="2"/>
        </w:numPr>
        <w:spacing w:after="60" w:before="60"/>
      </w:pPr>
      <w:r>
        <w:rPr>
          <w:rFonts w:ascii="Arial" w:cs="Arial" w:eastAsia="Arial" w:hAnsi="Arial"/>
          <w:color w:val="000000"/>
          <w:sz w:val="20"/>
          <w:szCs w:val="20"/>
        </w:rPr>
        <w:t xml:space="preserve">Phase 1 must validate demand (&gt;50K queries/month) before committing to Phase 2 investment.</w:t>
      </w:r>
    </w:p>
    <w:p>
      <w:pPr>
        <w:pStyle w:val="ListParagraph"/>
        <w:numPr>
          <w:ilvl w:val="0"/>
          <w:numId w:val="2"/>
        </w:numPr>
        <w:spacing w:after="60" w:before="60"/>
      </w:pPr>
      <w:r>
        <w:rPr>
          <w:rFonts w:ascii="Arial" w:cs="Arial" w:eastAsia="Arial" w:hAnsi="Arial"/>
          <w:color w:val="000000"/>
          <w:sz w:val="20"/>
          <w:szCs w:val="20"/>
        </w:rPr>
        <w:t xml:space="preserve">Hallucination risk requires careful positioning as 'verified retrieval' rather than 'verified generation.'</w:t>
      </w:r>
    </w:p>
    <w:p>
      <w:pPr>
        <w:pStyle w:val="ListParagraph"/>
        <w:numPr>
          <w:ilvl w:val="0"/>
          <w:numId w:val="2"/>
        </w:numPr>
        <w:spacing w:after="60" w:before="60"/>
      </w:pPr>
      <w:r>
        <w:rPr>
          <w:rFonts w:ascii="Arial" w:cs="Arial" w:eastAsia="Arial" w:hAnsi="Arial"/>
          <w:color w:val="000000"/>
          <w:sz w:val="20"/>
          <w:szCs w:val="20"/>
        </w:rPr>
        <w:t xml:space="preserve">The moat has a 12-18 month window before larger players could replicate. Arkova must build network effects within that window.</w:t>
      </w:r>
    </w:p>
    <w:p>
      <w:pPr>
        <w:pStyle w:val="ListParagraph"/>
        <w:numPr>
          <w:ilvl w:val="0"/>
          <w:numId w:val="2"/>
        </w:numPr>
        <w:spacing w:after="60" w:before="60"/>
      </w:pPr>
      <w:r>
        <w:rPr>
          <w:rFonts w:ascii="Arial" w:cs="Arial" w:eastAsia="Arial" w:hAnsi="Arial"/>
          <w:color w:val="000000"/>
          <w:sz w:val="20"/>
          <w:szCs w:val="20"/>
        </w:rPr>
        <w:t xml:space="preserve">ML talent hiring is the biggest execution risk. Consider managed services as a bridge.</w:t>
      </w:r>
    </w:p>
    <w:p>
      <w:pPr>
        <w:spacing w:after="80" w:before="80"/>
      </w:pPr>
      <w:r>
        <w:rPr>
          <w:rFonts w:ascii="Arial" w:cs="Arial" w:eastAsia="Arial" w:hAnsi="Arial"/>
          <w:b/>
          <w:bCs/>
          <w:color w:val="000000"/>
          <w:sz w:val="20"/>
          <w:szCs w:val="20"/>
        </w:rPr>
        <w:t xml:space="preserve">Critical Success Factors</w:t>
      </w:r>
    </w:p>
    <w:p>
      <w:pPr>
        <w:pStyle w:val="ListParagraph"/>
        <w:numPr>
          <w:ilvl w:val="0"/>
          <w:numId w:val="2"/>
        </w:numPr>
        <w:spacing w:after="60" w:before="60"/>
      </w:pPr>
      <w:r>
        <w:rPr>
          <w:rFonts w:ascii="Arial" w:cs="Arial" w:eastAsia="Arial" w:hAnsi="Arial"/>
          <w:color w:val="000000"/>
          <w:sz w:val="20"/>
          <w:szCs w:val="20"/>
        </w:rPr>
        <w:t xml:space="preserve">Corpus scale: Reach 10M+ anchored documents within 90 days of starting the bootstrap.</w:t>
      </w:r>
    </w:p>
    <w:p>
      <w:pPr>
        <w:pStyle w:val="ListParagraph"/>
        <w:numPr>
          <w:ilvl w:val="0"/>
          <w:numId w:val="2"/>
        </w:numPr>
        <w:spacing w:after="60" w:before="60"/>
      </w:pPr>
      <w:r>
        <w:rPr>
          <w:rFonts w:ascii="Arial" w:cs="Arial" w:eastAsia="Arial" w:hAnsi="Arial"/>
          <w:color w:val="000000"/>
          <w:sz w:val="20"/>
          <w:szCs w:val="20"/>
        </w:rPr>
        <w:t xml:space="preserve">Product-market fit: Achieve &gt;50K queries/month by Month 3 to justify Phase 2.</w:t>
      </w:r>
    </w:p>
    <w:p>
      <w:pPr>
        <w:pStyle w:val="ListParagraph"/>
        <w:numPr>
          <w:ilvl w:val="0"/>
          <w:numId w:val="2"/>
        </w:numPr>
        <w:spacing w:after="60" w:before="60"/>
      </w:pPr>
      <w:r>
        <w:rPr>
          <w:rFonts w:ascii="Arial" w:cs="Arial" w:eastAsia="Arial" w:hAnsi="Arial"/>
          <w:color w:val="000000"/>
          <w:sz w:val="20"/>
          <w:szCs w:val="20"/>
        </w:rPr>
        <w:t xml:space="preserve">Enterprise traction: Close 5+ enterprise pilots by Month 6.</w:t>
      </w:r>
    </w:p>
    <w:p>
      <w:pPr>
        <w:pStyle w:val="ListParagraph"/>
        <w:numPr>
          <w:ilvl w:val="0"/>
          <w:numId w:val="2"/>
        </w:numPr>
        <w:spacing w:after="60" w:before="60"/>
      </w:pPr>
      <w:r>
        <w:rPr>
          <w:rFonts w:ascii="Arial" w:cs="Arial" w:eastAsia="Arial" w:hAnsi="Arial"/>
          <w:color w:val="000000"/>
          <w:sz w:val="20"/>
          <w:szCs w:val="20"/>
        </w:rPr>
        <w:t xml:space="preserve">Provenance integrity: Maintain end-to-end verifiable citation chain from training data to output.</w:t>
      </w:r>
    </w:p>
    <w:p>
      <w:pPr>
        <w:pStyle w:val="ListParagraph"/>
        <w:numPr>
          <w:ilvl w:val="0"/>
          <w:numId w:val="2"/>
        </w:numPr>
        <w:spacing w:after="60" w:before="60"/>
      </w:pPr>
      <w:r>
        <w:rPr>
          <w:rFonts w:ascii="Arial" w:cs="Arial" w:eastAsia="Arial" w:hAnsi="Arial"/>
          <w:color w:val="000000"/>
          <w:sz w:val="20"/>
          <w:szCs w:val="20"/>
        </w:rPr>
        <w:t xml:space="preserve">Brand positioning: Establish 'Arkova = verified intelligence' before competitors can replicate.</w:t>
      </w:r>
    </w:p>
    <w:p>
      <w:pPr>
        <w:spacing w:after="80" w:before="80"/>
      </w:pPr>
      <w:r>
        <w:rPr>
          <w:rFonts w:ascii="Arial" w:cs="Arial" w:eastAsia="Arial" w:hAnsi="Arial"/>
          <w:b/>
          <w:bCs/>
          <w:color w:val="000000"/>
          <w:sz w:val="20"/>
          <w:szCs w:val="20"/>
        </w:rPr>
        <w:t xml:space="preserve">Decision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**Gate**</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**Timing**</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**Criteria**</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**If Yes**</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**If No**</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Gate 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Month 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&gt;50K queries/mo, &gt;20 active beta users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Proceed to Phase 2, hire ML team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Extend Phase 1, focus on distribution</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Gate 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Month 8</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&gt;200K queries/mo, &gt;10 enterprise leads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Proceed to Phase 3, scale inference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Optimize Phase 2, defer enterprise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Gate 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Month 12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&gt;$100K MRR, positive unit economics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Raise dedicated AI fund, expand team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Maintain current scale, optimize costs</w:t>
            </w:r>
          </w:p>
        </w:tc>
      </w:tr>
    </w:tbl>
    <w:p>
      <w:r>
        <w:br w:type="page"/>
      </w:r>
    </w:p>
    <w:p>
      <w:pPr>
        <w:spacing w:after="200" w:before="2400"/>
        <w:jc w:val="center"/>
      </w:pPr>
      <w:r>
        <w:rPr>
          <w:rFonts w:ascii="Arial" w:cs="Arial" w:eastAsia="Arial" w:hAnsi="Arial"/>
          <w:b/>
          <w:bCs/>
          <w:color w:val="2B5797"/>
          <w:sz w:val="48"/>
          <w:szCs w:val="48"/>
        </w:rPr>
        <w:t xml:space="preserve">PART 3</w:t>
      </w:r>
    </w:p>
    <w:p>
      <w:pPr>
        <w:spacing w:after="100" w:before="200"/>
        <w:jc w:val="center"/>
      </w:pPr>
      <w:r>
        <w:rPr>
          <w:rFonts w:ascii="Arial" w:cs="Arial" w:eastAsia="Arial" w:hAnsi="Arial"/>
          <w:b/>
          <w:bCs/>
          <w:color w:val="333333"/>
          <w:sz w:val="36"/>
          <w:szCs w:val="36"/>
        </w:rPr>
        <w:t xml:space="preserve">Verification Bootstrap — 7 Approaches Deep Dive</w:t>
      </w:r>
    </w:p>
    <w:p>
      <w:pPr>
        <w:spacing w:after="600" w:before="100"/>
        <w:jc w:val="center"/>
      </w:pPr>
      <w:r>
        <w:rPr>
          <w:rFonts w:ascii="Arial" w:cs="Arial" w:eastAsia="Arial" w:hAnsi="Arial"/>
          <w:i/>
          <w:iCs/>
          <w:color w:val="666666"/>
          <w:sz w:val="24"/>
          <w:szCs w:val="24"/>
        </w:rPr>
        <w:t xml:space="preserve">Source: Arkova-Verification-Bootstrap-Deep-Dive.docx</w:t>
      </w:r>
    </w:p>
    <w:p>
      <w:pPr>
        <w:pBdr>
          <w:bottom w:val="single" w:color="2B5797" w:sz="6" w:space="1"/>
        </w:pBdr>
        <w:spacing w:after="400" w:before="200"/>
        <w:jc w:val="center"/>
      </w:pPr>
      <w:r>
        <w:rPr>
          <w:sz w:val="10"/>
          <w:szCs w:val="10"/>
        </w:rPr>
        <w:t xml:space="preserve"> </w:t>
      </w:r>
    </w:p>
    <w:p>
      <w:pPr>
        <w:spacing w:after="80" w:before="80"/>
      </w:pPr>
      <w:r>
        <w:rPr>
          <w:rFonts w:ascii="Arial" w:cs="Arial" w:eastAsia="Arial" w:hAnsi="Arial"/>
          <w:b/>
          <w:bCs/>
          <w:color w:val="000000"/>
          <w:sz w:val="20"/>
          <w:szCs w:val="20"/>
        </w:rPr>
        <w:t xml:space="preserve">ARKOVA</w:t>
      </w:r>
    </w:p>
    <w:p>
      <w:pPr>
        <w:spacing w:after="80" w:before="80"/>
      </w:pPr>
      <w:r>
        <w:rPr>
          <w:rFonts w:ascii="Arial" w:cs="Arial" w:eastAsia="Arial" w:hAnsi="Arial"/>
          <w:color w:val="000000"/>
          <w:sz w:val="20"/>
          <w:szCs w:val="20"/>
        </w:rPr>
        <w:t xml:space="preserve">Verification Bootstrap Deep Dive</w:t>
      </w:r>
    </w:p>
    <w:p>
      <w:pPr>
        <w:spacing w:after="80" w:before="80"/>
      </w:pPr>
      <w:r>
        <w:rPr>
          <w:rFonts w:ascii="Arial" w:cs="Arial" w:eastAsia="Arial" w:hAnsi="Arial"/>
          <w:color w:val="000000"/>
          <w:sz w:val="20"/>
          <w:szCs w:val="20"/>
        </w:rPr>
        <w:t xml:space="preserve">7 Approaches to Solving the Cold-Start Problem</w:t>
      </w:r>
    </w:p>
    <w:p>
      <w:pPr>
        <w:spacing w:after="80" w:before="80"/>
      </w:pPr>
      <w:r>
        <w:rPr>
          <w:rFonts w:ascii="Arial" w:cs="Arial" w:eastAsia="Arial" w:hAnsi="Arial"/>
          <w:color w:val="000000"/>
          <w:sz w:val="20"/>
          <w:szCs w:val="20"/>
        </w:rPr>
        <w:t xml:space="preserve">Strategic Analysis | March 2026</w:t>
      </w:r>
    </w:p>
    <w:p>
      <w:pPr>
        <w:spacing w:after="80" w:before="80"/>
      </w:pPr>
      <w:r>
        <w:rPr>
          <w:rFonts w:ascii="Arial" w:cs="Arial" w:eastAsia="Arial" w:hAnsi="Arial"/>
          <w:color w:val="000000"/>
          <w:sz w:val="20"/>
          <w:szCs w:val="20"/>
        </w:rPr>
        <w:t xml:space="preserve">Prepared for Carson | Arkova, Inc.</w:t>
      </w:r>
    </w:p>
    <w:p>
      <w:pPr>
        <w:spacing w:after="80" w:before="80"/>
      </w:pPr>
      <w:r>
        <w:rPr>
          <w:rFonts w:ascii="Arial" w:cs="Arial" w:eastAsia="Arial" w:hAnsi="Arial"/>
          <w:b/>
          <w:bCs/>
          <w:color w:val="000000"/>
          <w:sz w:val="20"/>
          <w:szCs w:val="20"/>
        </w:rPr>
        <w:t xml:space="preserve">CONFIDENTIAL</w:t>
      </w:r>
    </w:p>
    <w:p>
      <w:pPr>
        <w:spacing w:after="80" w:before="80"/>
      </w:pPr>
      <w:r>
        <w:rPr>
          <w:rFonts w:ascii="Arial" w:cs="Arial" w:eastAsia="Arial" w:hAnsi="Arial"/>
          <w:b/>
          <w:bCs/>
          <w:color w:val="000000"/>
          <w:sz w:val="20"/>
          <w:szCs w:val="20"/>
        </w:rPr>
        <w:t xml:space="preserve">Table of Contents</w:t>
      </w:r>
    </w:p>
    <w:p>
      <w:pPr>
        <w:spacing w:after="80" w:before="80"/>
      </w:pPr>
      <w:r>
        <w:rPr>
          <w:rFonts w:ascii="Arial" w:cs="Arial" w:eastAsia="Arial" w:hAnsi="Arial"/>
          <w:color w:val="000000"/>
          <w:sz w:val="20"/>
          <w:szCs w:val="20"/>
        </w:rPr>
        <w:t xml:space="preserve">Executive Summary</w:t>
      </w:r>
    </w:p>
    <w:p>
      <w:pPr>
        <w:spacing w:after="80" w:before="80"/>
      </w:pPr>
      <w:r>
        <w:rPr>
          <w:rFonts w:ascii="Arial" w:cs="Arial" w:eastAsia="Arial" w:hAnsi="Arial"/>
          <w:color w:val="000000"/>
          <w:sz w:val="20"/>
          <w:szCs w:val="20"/>
        </w:rPr>
        <w:t xml:space="preserve">Arkova's verification API (Phase 1.5) creates a powerful two-sided marketplace: anchored documents on the supply side, and agent-driven verification calls ($0.002/call via x402) on the demand side. The cold-start problem is existential---verification is worthless without a corpus, and anchoring is uncompelling without verification demand. This report analyzes seven distinct approaches to bootstrapping the corpus, with concrete data on volumes, costs, legal considerations, timelines, and revenue potential.</w:t>
      </w:r>
    </w:p>
    <w:p>
      <w:pPr>
        <w:spacing w:after="80" w:before="80"/>
      </w:pPr>
      <w:r>
        <w:rPr>
          <w:rFonts w:ascii="Arial" w:cs="Arial" w:eastAsia="Arial" w:hAnsi="Arial"/>
          <w:color w:val="000000"/>
          <w:sz w:val="20"/>
          <w:szCs w:val="20"/>
        </w:rPr>
        <w:t xml:space="preserve">We recommend a phased three-wave strategy. Wave 1 (months 1--3) launches Public Records Anchoring and Agent-Initiated Anchoring simultaneously---public records provide immediate volume (1M+ documents in 90 days at ~$200/month anchoring cost via Merkle batching), while agent anchoring seeds the demand-side flywheel. Wave 2 (months 3--6) adds Open Data Partnerships and Developer/OSS Supply Chain, creating high-credibility vertical corpuses. Wave 3 (months 6--12) pursues E-Signature Integration and News/Media Verification, which require partnership development but offer the highest per-document verification revenue. Web Archiving runs as a background capability throughout.</w:t>
      </w:r>
    </w:p>
    <w:p>
      <w:pPr>
        <w:spacing w:after="80" w:before="80"/>
      </w:pPr>
      <w:r>
        <w:rPr>
          <w:rFonts w:ascii="Arial" w:cs="Arial" w:eastAsia="Arial" w:hAnsi="Arial"/>
          <w:color w:val="000000"/>
          <w:sz w:val="20"/>
          <w:szCs w:val="20"/>
        </w:rPr>
        <w:t xml:space="preserve">With Merkle-tree batching, anchoring costs approximately $0.002--$0.003 per document at scale. A corpus of 10M documents (achievable in 12 months across all waves) requires roughly $20K--$30K in direct anchoring costs. At a 1% monthly verification rate on the corpus, that yields 100K verification calls/month generating $200/month in direct API revenue---scaling to $2,000--$20,000/month as verification adoption grows to 1--10% of corpus. The real value is in the network effect: each anchored document makes the platform more valuable to every verifier, and vice versa.</w:t>
      </w:r>
    </w:p>
    <w:p>
      <w:pPr>
        <w:spacing w:after="80" w:before="80"/>
      </w:pPr>
      <w:r>
        <w:rPr>
          <w:rFonts w:ascii="Arial" w:cs="Arial" w:eastAsia="Arial" w:hAnsi="Arial"/>
          <w:color w:val="000000"/>
          <w:sz w:val="20"/>
          <w:szCs w:val="20"/>
        </w:rPr>
        <w:t xml:space="preserve">Priority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**Priority**</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**Approach**</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**Effort**</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**Corpus Velocity**</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**Strategic Value**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Public Records Anchoring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Low</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1M+ docs/90 days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Immediate volume, free data</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Agent-Initiated Anchoring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Medium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Scales with adoption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Demand-side flywheel</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Open Data Partnerships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Low-Med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500M+ metadata records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Academic credibility</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Dev/OSS Supply Chain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Medium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Scales with devs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Developer community</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Web Archiving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Medium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Unlimited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Broad utility, legal nuance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6</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E-Signature Integration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High</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Scales with partners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Highest per-doc value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7</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News/Media Verification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High</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Scales with partners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Strategic positioning</w:t>
            </w:r>
          </w:p>
        </w:tc>
      </w:tr>
    </w:tbl>
    <w:p>
      <w:pPr>
        <w:spacing w:after="80" w:before="80"/>
      </w:pPr>
      <w:r>
        <w:rPr>
          <w:rFonts w:ascii="Arial" w:cs="Arial" w:eastAsia="Arial" w:hAnsi="Arial"/>
          <w:color w:val="000000"/>
          <w:sz w:val="20"/>
          <w:szCs w:val="20"/>
        </w:rPr>
        <w:t xml:space="preserve">1. Public Records Anchoring</w:t>
      </w:r>
    </w:p>
    <w:p>
      <w:pPr>
        <w:spacing w:after="80" w:before="80"/>
      </w:pPr>
      <w:r>
        <w:rPr>
          <w:rFonts w:ascii="Arial" w:cs="Arial" w:eastAsia="Arial" w:hAnsi="Arial"/>
          <w:color w:val="000000"/>
          <w:sz w:val="20"/>
          <w:szCs w:val="20"/>
        </w:rPr>
        <w:t xml:space="preserve">Public records represent the lowest-friction path to a massive initial corpus. These are freely available, legally unencumbered government documents that are already in the public domain. The value proposition is straightforward: anchor the cryptographic fingerprint of every SEC filing, patent grant, court record, and government contract to Bitcoin, creating a verifiable proof-of-existence layer that anyone can query.</w:t>
      </w:r>
    </w:p>
    <w:p>
      <w:pPr>
        <w:spacing w:after="80" w:before="80"/>
      </w:pPr>
      <w:r>
        <w:rPr>
          <w:rFonts w:ascii="Arial" w:cs="Arial" w:eastAsia="Arial" w:hAnsi="Arial"/>
          <w:color w:val="000000"/>
          <w:sz w:val="20"/>
          <w:szCs w:val="20"/>
        </w:rPr>
        <w:t xml:space="preserve">1.1 How It Works with Arkova's Architecture</w:t>
      </w:r>
    </w:p>
    <w:p>
      <w:pPr>
        <w:spacing w:after="80" w:before="80"/>
      </w:pPr>
      <w:r>
        <w:rPr>
          <w:rFonts w:ascii="Arial" w:cs="Arial" w:eastAsia="Arial" w:hAnsi="Arial"/>
          <w:color w:val="000000"/>
          <w:sz w:val="20"/>
          <w:szCs w:val="20"/>
        </w:rPr>
        <w:t xml:space="preserve">The technical flow is: (1) Bulk-download or API-poll documents from government sources. (2) Client-side fingerprint each document using Arkova's hashing algorithm. (3) Aggregate fingerprints into a Merkle tree. (4) Anchor the Merkle root to Bitcoin at regular intervals (e.g., every 10 minutes, aligning with Bitcoin block times). (5) Store the Merkle proof alongside the document fingerprint in Arkova's verification index. (6) When an agent calls the verification API with a document hash, Arkova returns the Merkle proof and Bitcoin transaction ID.</w:t>
      </w:r>
    </w:p>
    <w:p>
      <w:pPr>
        <w:spacing w:after="80" w:before="80"/>
      </w:pPr>
      <w:r>
        <w:rPr>
          <w:rFonts w:ascii="Arial" w:cs="Arial" w:eastAsia="Arial" w:hAnsi="Arial"/>
          <w:color w:val="000000"/>
          <w:sz w:val="20"/>
          <w:szCs w:val="20"/>
        </w:rPr>
        <w:t xml:space="preserve">This is operationally simple because all processing happens on Arkova's infrastructure---no third-party integrations or partnership approvals needed. A single developer can stand up the initial pipeline in 2--3 weeks.</w:t>
      </w:r>
    </w:p>
    <w:p>
      <w:pPr>
        <w:spacing w:after="80" w:before="80"/>
      </w:pPr>
      <w:r>
        <w:rPr>
          <w:rFonts w:ascii="Arial" w:cs="Arial" w:eastAsia="Arial" w:hAnsi="Arial"/>
          <w:color w:val="000000"/>
          <w:sz w:val="20"/>
          <w:szCs w:val="20"/>
        </w:rPr>
        <w:t xml:space="preserve">1.2 Data Sources: Volume, APIs, and Access</w:t>
      </w:r>
    </w:p>
    <w:p>
      <w:pPr>
        <w:spacing w:after="80" w:before="80"/>
      </w:pPr>
      <w:r>
        <w:rPr>
          <w:rFonts w:ascii="Arial" w:cs="Arial" w:eastAsia="Arial" w:hAnsi="Arial"/>
          <w:color w:val="000000"/>
          <w:sz w:val="20"/>
          <w:szCs w:val="20"/>
        </w:rPr>
        <w:t xml:space="preserve">SEC EDGAR</w:t>
      </w:r>
    </w:p>
    <w:p>
      <w:pPr>
        <w:spacing w:after="80" w:before="80"/>
      </w:pPr>
      <w:r>
        <w:rPr>
          <w:rFonts w:ascii="Arial" w:cs="Arial" w:eastAsia="Arial" w:hAnsi="Arial"/>
          <w:color w:val="000000"/>
          <w:sz w:val="20"/>
          <w:szCs w:val="20"/>
        </w:rPr>
        <w:t xml:space="preserve">The Securities and Exchange Commission's EDGAR system contains all public company filings. Volume is approximately 1.17 million filings per year, including 10-K annual reports, 10-Q quarterly reports, 8-K current reports, proxy statements, and more. The full-text search API has a hard rate limit of 10 requests per second with a User-Agent header containing a valid email---no API key required. Formats include JSON, XML, and XBRL. Bulk downloads are available with no rate limits. Filing hours are 6 AM--10 PM ET weekdays. This is the single highest-value source: every publicly traded company's filings, freely accessible, public domain, updated daily.</w:t>
      </w:r>
    </w:p>
    <w:p>
      <w:pPr>
        <w:spacing w:after="80" w:before="80"/>
      </w:pPr>
      <w:r>
        <w:rPr>
          <w:rFonts w:ascii="Arial" w:cs="Arial" w:eastAsia="Arial" w:hAnsi="Arial"/>
          <w:color w:val="000000"/>
          <w:sz w:val="20"/>
          <w:szCs w:val="20"/>
        </w:rPr>
        <w:t xml:space="preserve">USPTO Patent Filings</w:t>
      </w:r>
    </w:p>
    <w:p>
      <w:pPr>
        <w:spacing w:after="80" w:before="80"/>
      </w:pPr>
      <w:r>
        <w:rPr>
          <w:rFonts w:ascii="Arial" w:cs="Arial" w:eastAsia="Arial" w:hAnsi="Arial"/>
          <w:color w:val="000000"/>
          <w:sz w:val="20"/>
          <w:szCs w:val="20"/>
        </w:rPr>
        <w:t xml:space="preserve">The United States Patent and Trademark Office publishes approximately 368,000 patent grants per year. The PatentsView API (migrating to data.uspto.gov as of March 2026) allows 45 requests per minute with no API key required. Bulk CSV downloads have no rate limits. Patents publish weekly on Tuesdays; assignment data updates daily. Patent documents are public domain and freely redistributable.</w:t>
      </w:r>
    </w:p>
    <w:p>
      <w:pPr>
        <w:spacing w:after="80" w:before="80"/>
      </w:pPr>
      <w:r>
        <w:rPr>
          <w:rFonts w:ascii="Arial" w:cs="Arial" w:eastAsia="Arial" w:hAnsi="Arial"/>
          <w:color w:val="000000"/>
          <w:sz w:val="20"/>
          <w:szCs w:val="20"/>
        </w:rPr>
        <w:t xml:space="preserve">PACER / RECAP</w:t>
      </w:r>
    </w:p>
    <w:p>
      <w:pPr>
        <w:spacing w:after="80" w:before="80"/>
      </w:pPr>
      <w:r>
        <w:rPr>
          <w:rFonts w:ascii="Arial" w:cs="Arial" w:eastAsia="Arial" w:hAnsi="Arial"/>
          <w:color w:val="000000"/>
          <w:sz w:val="20"/>
          <w:szCs w:val="20"/>
        </w:rPr>
        <w:t xml:space="preserve">The Public Access to Court Electronic Records system contains federal court records. Approximately 414,000 civil cases are filed annually. Direct PACER access costs $0.10/page ($3 max per document), but the RECAP project (CourtListener) provides millions of crowdsourced documents via free APIs. RECAP is the practical bulk source. Seventy-five percent of PACER users pay $0 per quarter due to the fee waiver threshold. For corpus building, RECAP's free API is the primary path.</w:t>
      </w:r>
    </w:p>
    <w:p>
      <w:pPr>
        <w:spacing w:after="80" w:before="80"/>
      </w:pPr>
      <w:r>
        <w:rPr>
          <w:rFonts w:ascii="Arial" w:cs="Arial" w:eastAsia="Arial" w:hAnsi="Arial"/>
          <w:color w:val="000000"/>
          <w:sz w:val="20"/>
          <w:szCs w:val="20"/>
        </w:rPr>
        <w:t xml:space="preserve">SAM.gov and USASpending.gov</w:t>
      </w:r>
    </w:p>
    <w:p>
      <w:pPr>
        <w:spacing w:after="80" w:before="80"/>
      </w:pPr>
      <w:r>
        <w:rPr>
          <w:rFonts w:ascii="Arial" w:cs="Arial" w:eastAsia="Arial" w:hAnsi="Arial"/>
          <w:color w:val="000000"/>
          <w:sz w:val="20"/>
          <w:szCs w:val="20"/>
        </w:rPr>
        <w:t xml:space="preserve">The System for Award Management and USASpending.gov together cover federal contracts (500K+/year) and grants (1M+/year). SAM.gov's Contract Awards API is free with a 1,000-request/day rate limit, requiring a free System Account registration. USASpending has no authentication requirement for public data, with nightly updates and bulk download support up to 1M records per request. Both provide JSON and CSV formats.</w:t>
      </w:r>
    </w:p>
    <w:p>
      <w:pPr>
        <w:spacing w:after="80" w:before="80"/>
      </w:pPr>
      <w:r>
        <w:rPr>
          <w:rFonts w:ascii="Arial" w:cs="Arial" w:eastAsia="Arial" w:hAnsi="Arial"/>
          <w:color w:val="000000"/>
          <w:sz w:val="20"/>
          <w:szCs w:val="20"/>
        </w:rPr>
        <w:t xml:space="preserve">Federal Register</w:t>
      </w:r>
    </w:p>
    <w:p>
      <w:pPr>
        <w:spacing w:after="80" w:before="80"/>
      </w:pPr>
      <w:r>
        <w:rPr>
          <w:rFonts w:ascii="Arial" w:cs="Arial" w:eastAsia="Arial" w:hAnsi="Arial"/>
          <w:color w:val="000000"/>
          <w:sz w:val="20"/>
          <w:szCs w:val="20"/>
        </w:rPr>
        <w:t xml:space="preserve">The Federal Register publishes 50,000+ documents per year including proposed rules, final rules, notices, and presidential documents. The API requires no authentication, returns JSON/CSV, and updates daily. Pagination is limited to 2,000 results per query (use date filters for full coverage). All content is public domain.</w:t>
      </w:r>
    </w:p>
    <w:p>
      <w:pPr>
        <w:spacing w:after="80" w:before="80"/>
      </w:pPr>
      <w:r>
        <w:rPr>
          <w:rFonts w:ascii="Arial" w:cs="Arial" w:eastAsia="Arial" w:hAnsi="Arial"/>
          <w:color w:val="000000"/>
          <w:sz w:val="20"/>
          <w:szCs w:val="20"/>
        </w:rPr>
        <w:t xml:space="preserve">State Secretary of State Filings</w:t>
      </w:r>
    </w:p>
    <w:p>
      <w:pPr>
        <w:spacing w:after="80" w:before="80"/>
      </w:pPr>
      <w:r>
        <w:rPr>
          <w:rFonts w:ascii="Arial" w:cs="Arial" w:eastAsia="Arial" w:hAnsi="Arial"/>
          <w:color w:val="000000"/>
          <w:sz w:val="20"/>
          <w:szCs w:val="20"/>
        </w:rPr>
        <w:t xml:space="preserve">There is no unified federal API for state business registrations. Over 10 million entities are registered across states. Access requires third-party aggregators such as Middesk, Cobalt Intelligence, or iDenfy, with data freshness ranging from real-time to 48-hour lag depending on the state. This is a second-phase opportunity given the fragmentation.</w:t>
      </w:r>
    </w:p>
    <w:p>
      <w:pPr>
        <w:spacing w:after="80" w:before="80"/>
      </w:pPr>
      <w:r>
        <w:rPr>
          <w:rFonts w:ascii="Arial" w:cs="Arial" w:eastAsia="Arial" w:hAnsi="Arial"/>
          <w:color w:val="000000"/>
          <w:sz w:val="20"/>
          <w:szCs w:val="20"/>
        </w:rPr>
        <w:t xml:space="preserve">1.3 Legal Analysis</w:t>
      </w:r>
    </w:p>
    <w:p>
      <w:pPr>
        <w:spacing w:after="80" w:before="80"/>
      </w:pPr>
      <w:r>
        <w:rPr>
          <w:rFonts w:ascii="Arial" w:cs="Arial" w:eastAsia="Arial" w:hAnsi="Arial"/>
          <w:color w:val="000000"/>
          <w:sz w:val="20"/>
          <w:szCs w:val="20"/>
        </w:rPr>
        <w:t xml:space="preserve">This is the cleanest legal scenario of all seven approaches. Government documents published through EDGAR, USPTO, PACER, SAM.gov, the Federal Register, and USASpending are public domain under U.S. law. There are no copyright restrictions, no Terms of Service limitations on redistribution, and no licensing fees. The only constraint is adhering to rate limits (which are technical, not legal). Arkova is not redistributing the documents themselves---only fingerprinting them---which adds an additional layer of legal safety. Even if copyright applied (it does not), fingerprinting does not constitute reproduction.</w:t>
      </w:r>
    </w:p>
    <w:p>
      <w:pPr>
        <w:spacing w:after="80" w:before="80"/>
      </w:pPr>
      <w:r>
        <w:rPr>
          <w:rFonts w:ascii="Arial" w:cs="Arial" w:eastAsia="Arial" w:hAnsi="Arial"/>
          <w:color w:val="000000"/>
          <w:sz w:val="20"/>
          <w:szCs w:val="20"/>
        </w:rPr>
        <w:t xml:space="preserve">1.4 Technical Implementation Plan</w:t>
      </w:r>
    </w:p>
    <w:p>
      <w:pPr>
        <w:pStyle w:val="ListParagraph"/>
        <w:numPr>
          <w:ilvl w:val="0"/>
          <w:numId w:val="2"/>
        </w:numPr>
        <w:spacing w:after="60" w:before="60"/>
      </w:pPr>
      <w:r>
        <w:rPr>
          <w:rFonts w:ascii="Arial" w:cs="Arial" w:eastAsia="Arial" w:hAnsi="Arial"/>
          <w:b/>
          <w:bCs/>
          <w:color w:val="000000"/>
          <w:sz w:val="20"/>
          <w:szCs w:val="20"/>
        </w:rPr>
        <w:t xml:space="preserve">Week 1--2:</w:t>
      </w:r>
      <w:r>
        <w:rPr>
          <w:rFonts w:ascii="Arial" w:cs="Arial" w:eastAsia="Arial" w:hAnsi="Arial"/>
          <w:color w:val="000000"/>
          <w:sz w:val="20"/>
          <w:szCs w:val="20"/>
        </w:rPr>
        <w:t xml:space="preserve"> Build ETL pipelines for SEC EDGAR (bulk download + daily API polling), USPTO (bulk CSV + weekly updates), and Federal Register (daily API polling). Use Node.js workers with Arkova's client-side fingerprinting library.</w:t>
      </w:r>
    </w:p>
    <w:p>
      <w:pPr>
        <w:pStyle w:val="ListParagraph"/>
        <w:numPr>
          <w:ilvl w:val="0"/>
          <w:numId w:val="2"/>
        </w:numPr>
        <w:spacing w:after="60" w:before="60"/>
      </w:pPr>
      <w:r>
        <w:rPr>
          <w:rFonts w:ascii="Arial" w:cs="Arial" w:eastAsia="Arial" w:hAnsi="Arial"/>
          <w:b/>
          <w:bCs/>
          <w:color w:val="000000"/>
          <w:sz w:val="20"/>
          <w:szCs w:val="20"/>
        </w:rPr>
        <w:t xml:space="preserve">Week 2--3:</w:t>
      </w:r>
      <w:r>
        <w:rPr>
          <w:rFonts w:ascii="Arial" w:cs="Arial" w:eastAsia="Arial" w:hAnsi="Arial"/>
          <w:color w:val="000000"/>
          <w:sz w:val="20"/>
          <w:szCs w:val="20"/>
        </w:rPr>
        <w:t xml:space="preserve"> Implement Merkle tree aggregation service. Batch fingerprints into trees of 10,000--100,000 leaves. Anchor Merkle roots to Bitcoin every 10 minutes. Store Merkle proofs in a PostgreSQL database indexed by document hash.</w:t>
      </w:r>
    </w:p>
    <w:p>
      <w:pPr>
        <w:pStyle w:val="ListParagraph"/>
        <w:numPr>
          <w:ilvl w:val="0"/>
          <w:numId w:val="2"/>
        </w:numPr>
        <w:spacing w:after="60" w:before="60"/>
      </w:pPr>
      <w:r>
        <w:rPr>
          <w:rFonts w:ascii="Arial" w:cs="Arial" w:eastAsia="Arial" w:hAnsi="Arial"/>
          <w:b/>
          <w:bCs/>
          <w:color w:val="000000"/>
          <w:sz w:val="20"/>
          <w:szCs w:val="20"/>
        </w:rPr>
        <w:t xml:space="preserve">Week 3--4:</w:t>
      </w:r>
      <w:r>
        <w:rPr>
          <w:rFonts w:ascii="Arial" w:cs="Arial" w:eastAsia="Arial" w:hAnsi="Arial"/>
          <w:color w:val="000000"/>
          <w:sz w:val="20"/>
          <w:szCs w:val="20"/>
        </w:rPr>
        <w:t xml:space="preserve"> Add RECAP (court records), SAM.gov, and USASpending pipelines. Build monitoring dashboard for pipeline health, document counts, and anchoring costs.</w:t>
      </w:r>
    </w:p>
    <w:p>
      <w:pPr>
        <w:pStyle w:val="ListParagraph"/>
        <w:numPr>
          <w:ilvl w:val="0"/>
          <w:numId w:val="2"/>
        </w:numPr>
        <w:spacing w:after="60" w:before="60"/>
      </w:pPr>
      <w:r>
        <w:rPr>
          <w:rFonts w:ascii="Arial" w:cs="Arial" w:eastAsia="Arial" w:hAnsi="Arial"/>
          <w:b/>
          <w:bCs/>
          <w:color w:val="000000"/>
          <w:sz w:val="20"/>
          <w:szCs w:val="20"/>
        </w:rPr>
        <w:t xml:space="preserve">Week 4+:</w:t>
      </w:r>
      <w:r>
        <w:rPr>
          <w:rFonts w:ascii="Arial" w:cs="Arial" w:eastAsia="Arial" w:hAnsi="Arial"/>
          <w:color w:val="000000"/>
          <w:sz w:val="20"/>
          <w:szCs w:val="20"/>
        </w:rPr>
        <w:t xml:space="preserve"> Ongoing: daily incremental updates, backfill historical archives (EDGAR has data back to 1993).</w:t>
      </w:r>
    </w:p>
    <w:p>
      <w:pPr>
        <w:spacing w:after="80" w:before="80"/>
      </w:pPr>
      <w:r>
        <w:rPr>
          <w:rFonts w:ascii="Arial" w:cs="Arial" w:eastAsia="Arial" w:hAnsi="Arial"/>
          <w:color w:val="000000"/>
          <w:sz w:val="20"/>
          <w:szCs w:val="20"/>
        </w:rPr>
        <w:t xml:space="preserve">Infrastructure: Single server for ETL workers ($50--100/month), PostgreSQL instance for proof storage ($20--50/month), Bitcoin node or anchoring service integration.</w:t>
      </w:r>
    </w:p>
    <w:p>
      <w:pPr>
        <w:spacing w:after="80" w:before="80"/>
      </w:pPr>
      <w:r>
        <w:rPr>
          <w:rFonts w:ascii="Arial" w:cs="Arial" w:eastAsia="Arial" w:hAnsi="Arial"/>
          <w:color w:val="000000"/>
          <w:sz w:val="20"/>
          <w:szCs w:val="20"/>
        </w:rPr>
        <w:t xml:space="preserve">1.5 Cost Modeling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**Cost Category**</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**Monthly Estimate**</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Bitcoin anchoring (Merkle batched)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$50--200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~144 anchors/day at ~$0.50--$1.50/tx</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Infrastructure (ETL + DB)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$100--200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Single server + managed PostgreSQL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API costs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All sources are free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Engineering (initial build)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$0 (founder time)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2--4 weeks of solo dev work</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Total monthly operating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$150--400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After initial build</w:t>
            </w:r>
          </w:p>
        </w:tc>
      </w:tr>
    </w:tbl>
    <w:p>
      <w:pPr>
        <w:spacing w:after="80" w:before="80"/>
      </w:pPr>
      <w:r>
        <w:rPr>
          <w:rFonts w:ascii="Arial" w:cs="Arial" w:eastAsia="Arial" w:hAnsi="Arial"/>
          <w:color w:val="000000"/>
          <w:sz w:val="20"/>
          <w:szCs w:val="20"/>
        </w:rPr>
        <w:t xml:space="preserve">1.6 Revenue Projections</w:t>
      </w:r>
    </w:p>
    <w:p>
      <w:pPr>
        <w:spacing w:after="80" w:before="80"/>
      </w:pPr>
      <w:r>
        <w:rPr>
          <w:rFonts w:ascii="Arial" w:cs="Arial" w:eastAsia="Arial" w:hAnsi="Arial"/>
          <w:color w:val="000000"/>
          <w:sz w:val="20"/>
          <w:szCs w:val="20"/>
        </w:rPr>
        <w:t xml:space="preserve">At 1M documents anchored in 90 days, assuming a conservative 0.5% monthly verification rate (agents verifying SEC filings, patent status, court records): 5,000 verification calls/month at $0.002/call = $10/month initially. This grows as the corpus scales and verification adoption increases. At 10M documents and 2% verification rate: 200,000 calls/month = $400/month. The real revenue driver is not per-call pricing but the corpus as a competitive moat that enables premium API tiers, enterprise contracts, and partnership deals.</w:t>
      </w:r>
    </w:p>
    <w:p>
      <w:pPr>
        <w:spacing w:after="80" w:before="80"/>
      </w:pPr>
      <w:r>
        <w:rPr>
          <w:rFonts w:ascii="Arial" w:cs="Arial" w:eastAsia="Arial" w:hAnsi="Arial"/>
          <w:color w:val="000000"/>
          <w:sz w:val="20"/>
          <w:szCs w:val="20"/>
        </w:rPr>
        <w:t xml:space="preserve">1.7 Timeline to Meaningful Corpus</w:t>
      </w:r>
    </w:p>
    <w:p>
      <w:pPr>
        <w:spacing w:after="80" w:before="80"/>
      </w:pPr>
      <w:r>
        <w:rPr>
          <w:rFonts w:ascii="Arial" w:cs="Arial" w:eastAsia="Arial" w:hAnsi="Arial"/>
          <w:color w:val="000000"/>
          <w:sz w:val="20"/>
          <w:szCs w:val="20"/>
        </w:rPr>
        <w:t xml:space="preserve">30 days: 500K+ documents (EDGAR historical backfill alone). 90 days: 1M+ documents across all sources. 12 months: 5M+ documents with daily incremental updates. The EDGAR archive alone contains millions of historical filings dating back to 1993.</w:t>
      </w:r>
    </w:p>
    <w:p>
      <w:pPr>
        <w:spacing w:after="80" w:before="80"/>
      </w:pPr>
      <w:r>
        <w:rPr>
          <w:rFonts w:ascii="Arial" w:cs="Arial" w:eastAsia="Arial" w:hAnsi="Arial"/>
          <w:color w:val="000000"/>
          <w:sz w:val="20"/>
          <w:szCs w:val="20"/>
        </w:rPr>
        <w:t xml:space="preserve">1.8 Competitive Landscape</w:t>
      </w:r>
    </w:p>
    <w:p>
      <w:pPr>
        <w:spacing w:after="80" w:before="80"/>
      </w:pPr>
      <w:r>
        <w:rPr>
          <w:rFonts w:ascii="Arial" w:cs="Arial" w:eastAsia="Arial" w:hAnsi="Arial"/>
          <w:color w:val="000000"/>
          <w:sz w:val="20"/>
          <w:szCs w:val="20"/>
        </w:rPr>
        <w:t xml:space="preserve">OpenTimestamps provides free Bitcoin timestamping using Merkle tree batching (10K documents for approximately $0.03). Woleet offers a commercial API with eIDAS compliance and up to 1,000 API calls/second. OriginStamp supports multi-chain anchoring (Bitcoin + Ethereum). Guardtime KSI provides enterprise-grade solutions processing millions of events per second, deployed by governments.</w:t>
      </w:r>
    </w:p>
    <w:p>
      <w:pPr>
        <w:spacing w:after="80" w:before="80"/>
      </w:pPr>
      <w:r>
        <w:rPr>
          <w:rFonts w:ascii="Arial" w:cs="Arial" w:eastAsia="Arial" w:hAnsi="Arial"/>
          <w:color w:val="000000"/>
          <w:sz w:val="20"/>
          <w:szCs w:val="20"/>
        </w:rPr>
        <w:t xml:space="preserve">None of the existing blockchain timestamping services specialize in public records anchoring with a verification API. OpenTimestamps is a protocol, not a product. Woleet and OriginStamp are generic timestamping services. Arkova's moat is the combination of (a) a pre-built corpus of government documents, (b) a verification API optimized for agent consumption, and (c) x402 micropayments enabling frictionless machine-to-machine access.</w:t>
      </w:r>
    </w:p>
    <w:p>
      <w:pPr>
        <w:spacing w:after="80" w:before="80"/>
      </w:pPr>
      <w:r>
        <w:rPr>
          <w:rFonts w:ascii="Arial" w:cs="Arial" w:eastAsia="Arial" w:hAnsi="Arial"/>
          <w:color w:val="000000"/>
          <w:sz w:val="20"/>
          <w:szCs w:val="20"/>
        </w:rPr>
        <w:t xml:space="preserve">1.9 Risks and Mitigations</w:t>
      </w:r>
    </w:p>
    <w:p>
      <w:pPr>
        <w:pStyle w:val="ListParagraph"/>
        <w:numPr>
          <w:ilvl w:val="0"/>
          <w:numId w:val="2"/>
        </w:numPr>
        <w:spacing w:after="60" w:before="60"/>
      </w:pPr>
      <w:r>
        <w:rPr>
          <w:rFonts w:ascii="Arial" w:cs="Arial" w:eastAsia="Arial" w:hAnsi="Arial"/>
          <w:b/>
          <w:bCs/>
          <w:color w:val="000000"/>
          <w:sz w:val="20"/>
          <w:szCs w:val="20"/>
        </w:rPr>
        <w:t xml:space="preserve">Risk:</w:t>
      </w:r>
      <w:r>
        <w:rPr>
          <w:rFonts w:ascii="Arial" w:cs="Arial" w:eastAsia="Arial" w:hAnsi="Arial"/>
          <w:color w:val="000000"/>
          <w:sz w:val="20"/>
          <w:szCs w:val="20"/>
        </w:rPr>
        <w:t xml:space="preserve"> Government APIs change or impose new rate limits. Mitigation: Monitor API health, maintain multiple data paths (bulk download fallback), cache aggressively.</w:t>
      </w:r>
    </w:p>
    <w:p>
      <w:pPr>
        <w:pStyle w:val="ListParagraph"/>
        <w:numPr>
          <w:ilvl w:val="0"/>
          <w:numId w:val="2"/>
        </w:numPr>
        <w:spacing w:after="60" w:before="60"/>
      </w:pPr>
      <w:r>
        <w:rPr>
          <w:rFonts w:ascii="Arial" w:cs="Arial" w:eastAsia="Arial" w:hAnsi="Arial"/>
          <w:b/>
          <w:bCs/>
          <w:color w:val="000000"/>
          <w:sz w:val="20"/>
          <w:szCs w:val="20"/>
        </w:rPr>
        <w:t xml:space="preserve">Risk:</w:t>
      </w:r>
      <w:r>
        <w:rPr>
          <w:rFonts w:ascii="Arial" w:cs="Arial" w:eastAsia="Arial" w:hAnsi="Arial"/>
          <w:color w:val="000000"/>
          <w:sz w:val="20"/>
          <w:szCs w:val="20"/>
        </w:rPr>
        <w:t xml:space="preserve"> Low initial verification demand. Mitigation: The anchoring cost is so low ($150--400/month) that this is viable as a loss-leader for 12+ months while demand builds.</w:t>
      </w:r>
    </w:p>
    <w:p>
      <w:pPr>
        <w:pStyle w:val="ListParagraph"/>
        <w:numPr>
          <w:ilvl w:val="0"/>
          <w:numId w:val="2"/>
        </w:numPr>
        <w:spacing w:after="60" w:before="60"/>
      </w:pPr>
      <w:r>
        <w:rPr>
          <w:rFonts w:ascii="Arial" w:cs="Arial" w:eastAsia="Arial" w:hAnsi="Arial"/>
          <w:b/>
          <w:bCs/>
          <w:color w:val="000000"/>
          <w:sz w:val="20"/>
          <w:szCs w:val="20"/>
        </w:rPr>
        <w:t xml:space="preserve">Risk:</w:t>
      </w:r>
      <w:r>
        <w:rPr>
          <w:rFonts w:ascii="Arial" w:cs="Arial" w:eastAsia="Arial" w:hAnsi="Arial"/>
          <w:color w:val="000000"/>
          <w:sz w:val="20"/>
          <w:szCs w:val="20"/>
        </w:rPr>
        <w:t xml:space="preserve"> Competitors copy the approach. Mitigation: First-mover advantage in corpus size; Merkle proofs are cumulative and hard to replicate retroactively.</w:t>
      </w:r>
    </w:p>
    <w:p>
      <w:pPr>
        <w:spacing w:after="80" w:before="80"/>
      </w:pPr>
      <w:r>
        <w:rPr>
          <w:rFonts w:ascii="Arial" w:cs="Arial" w:eastAsia="Arial" w:hAnsi="Arial"/>
          <w:color w:val="000000"/>
          <w:sz w:val="20"/>
          <w:szCs w:val="20"/>
        </w:rPr>
        <w:t xml:space="preserve">1.10 Recommendation</w:t>
      </w:r>
    </w:p>
    <w:p>
      <w:pPr>
        <w:spacing w:after="80" w:before="80"/>
      </w:pPr>
      <w:r>
        <w:rPr>
          <w:rFonts w:ascii="Arial" w:cs="Arial" w:eastAsia="Arial" w:hAnsi="Arial"/>
          <w:color w:val="000000"/>
          <w:sz w:val="20"/>
          <w:szCs w:val="20"/>
        </w:rPr>
        <w:t xml:space="preserve">This is the obvious first move. Lowest cost, lowest legal risk, fastest time to meaningful corpus, and it establishes Arkova as the canonical source of verified government records. Start immediately.</w:t>
      </w:r>
    </w:p>
    <w:p>
      <w:pPr>
        <w:spacing w:after="80" w:before="80"/>
      </w:pPr>
      <w:r>
        <w:rPr>
          <w:rFonts w:ascii="Arial" w:cs="Arial" w:eastAsia="Arial" w:hAnsi="Arial"/>
          <w:color w:val="000000"/>
          <w:sz w:val="20"/>
          <w:szCs w:val="20"/>
        </w:rPr>
        <w:t xml:space="preserve">2. Web Archiving / Proof of Web State</w:t>
      </w:r>
    </w:p>
    <w:p>
      <w:pPr>
        <w:spacing w:after="80" w:before="80"/>
      </w:pPr>
      <w:r>
        <w:rPr>
          <w:rFonts w:ascii="Arial" w:cs="Arial" w:eastAsia="Arial" w:hAnsi="Arial"/>
          <w:color w:val="000000"/>
          <w:sz w:val="20"/>
          <w:szCs w:val="20"/>
        </w:rPr>
        <w:t xml:space="preserve">This approach captures and fingerprints public web pages to prove they existed in a specific form at a specific time. The use case: legal evidence preservation, regulatory compliance, brand monitoring, and combating link rot. Bitcoin-anchored web state proofs are significantly more valuable than simple screenshots because they are cryptographically verifiable and tamper-evident.</w:t>
      </w:r>
    </w:p>
    <w:p>
      <w:pPr>
        <w:spacing w:after="80" w:before="80"/>
      </w:pPr>
      <w:r>
        <w:rPr>
          <w:rFonts w:ascii="Arial" w:cs="Arial" w:eastAsia="Arial" w:hAnsi="Arial"/>
          <w:color w:val="000000"/>
          <w:sz w:val="20"/>
          <w:szCs w:val="20"/>
        </w:rPr>
        <w:t xml:space="preserve">2.1 How It Works with Arkova's Architecture</w:t>
      </w:r>
    </w:p>
    <w:p>
      <w:pPr>
        <w:spacing w:after="80" w:before="80"/>
      </w:pPr>
      <w:r>
        <w:rPr>
          <w:rFonts w:ascii="Arial" w:cs="Arial" w:eastAsia="Arial" w:hAnsi="Arial"/>
          <w:color w:val="000000"/>
          <w:sz w:val="20"/>
          <w:szCs w:val="20"/>
        </w:rPr>
        <w:t xml:space="preserve">The flow: (1) Headless browser (Playwright) renders a target URL. (2) Canonicalize the DOM to produce a deterministic representation. (3) Fingerprint the canonical DOM plus a rendered screenshot. (4) Anchor the fingerprint to Bitcoin via Merkle tree. (5) Store the Merkle proof, canonical DOM hash, and metadata (URL, timestamp, HTTP headers). (6) Verification API returns proof that a specific page state existed at a specific Bitcoin-attested time.</w:t>
      </w:r>
    </w:p>
    <w:p>
      <w:pPr>
        <w:spacing w:after="80" w:before="80"/>
      </w:pPr>
      <w:r>
        <w:rPr>
          <w:rFonts w:ascii="Arial" w:cs="Arial" w:eastAsia="Arial" w:hAnsi="Arial"/>
          <w:color w:val="000000"/>
          <w:sz w:val="20"/>
          <w:szCs w:val="20"/>
        </w:rPr>
        <w:t xml:space="preserve">The technical challenge is DOM canonicalization---ensuring the same page produces the same fingerprint across rendering environments. JavaScript-heavy pages, dynamic content, and CSS variations make this non-trivial. Playwright provides better consistency than Puppeteer (96% vs. lower success rates on complex pages) due to built-in auto-waiting.</w:t>
      </w:r>
    </w:p>
    <w:p>
      <w:pPr>
        <w:spacing w:after="80" w:before="80"/>
      </w:pPr>
      <w:r>
        <w:rPr>
          <w:rFonts w:ascii="Arial" w:cs="Arial" w:eastAsia="Arial" w:hAnsi="Arial"/>
          <w:color w:val="000000"/>
          <w:sz w:val="20"/>
          <w:szCs w:val="20"/>
        </w:rPr>
        <w:t xml:space="preserve">2.2 Legal Analysis</w:t>
      </w:r>
    </w:p>
    <w:p>
      <w:pPr>
        <w:spacing w:after="80" w:before="80"/>
      </w:pPr>
      <w:r>
        <w:rPr>
          <w:rFonts w:ascii="Arial" w:cs="Arial" w:eastAsia="Arial" w:hAnsi="Arial"/>
          <w:color w:val="000000"/>
          <w:sz w:val="20"/>
          <w:szCs w:val="20"/>
        </w:rPr>
        <w:t xml:space="preserve">The legal landscape for web scraping has clarified significantly. The hiQ Labs v. LinkedIn ruling (9th Circuit, reaffirmed April 2022) established that scraping publicly available data without bypassing authentication barriers does not violate the Computer Fraud and Abuse Act. The Van Buren v. United States Supreme Court decision (2021) narrowed CFAA to a "gates up or down" test. Meta v. Bright Data (2024) further confirmed that scraping publicly visible content is permissible under CFAA.</w:t>
      </w:r>
    </w:p>
    <w:p>
      <w:pPr>
        <w:spacing w:after="80" w:before="80"/>
      </w:pPr>
      <w:r>
        <w:rPr>
          <w:rFonts w:ascii="Arial" w:cs="Arial" w:eastAsia="Arial" w:hAnsi="Arial"/>
          <w:color w:val="000000"/>
          <w:sz w:val="20"/>
          <w:szCs w:val="20"/>
        </w:rPr>
        <w:t xml:space="preserve">However, CFAA is not the only risk vector. Terms of Service violations can still create breach-of-contract claims. Robots.txt, while not legally binding in the U.S., is increasingly considered by European regulators (France's CNIL). The safest posture: only fingerprint publicly accessible pages, respect robots.txt, and never bypass authentication or CAPTCHAs. Arkova does not store page content---only fingerprints---which eliminates copyright concerns entirely.</w:t>
      </w:r>
    </w:p>
    <w:p>
      <w:pPr>
        <w:spacing w:after="80" w:before="80"/>
      </w:pPr>
      <w:r>
        <w:rPr>
          <w:rFonts w:ascii="Arial" w:cs="Arial" w:eastAsia="Arial" w:hAnsi="Arial"/>
          <w:color w:val="000000"/>
          <w:sz w:val="20"/>
          <w:szCs w:val="20"/>
        </w:rPr>
        <w:t xml:space="preserve">2.3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**Service**</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**Pricing**</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**Focus**</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**Limitations**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Wayback Machine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Free (60 req/min API)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Public archiving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3--10 hour lag, no SLA</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PageFreezer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Enterprise (custom)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SEC/FINRA compliance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Expensive, niche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Versionista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$99--379/month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Change monitoring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Limited scale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Archive-It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$2,100--$77,500/yr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Institutional archiving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600+ orgs, high cost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Webrecorder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Free (open source)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Browser-based capture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Manual, not API-first</w:t>
            </w:r>
          </w:p>
        </w:tc>
      </w:tr>
    </w:tbl>
    <w:p>
      <w:pPr>
        <w:spacing w:after="80" w:before="80"/>
      </w:pPr>
      <w:r>
        <w:rPr>
          <w:rFonts w:ascii="Arial" w:cs="Arial" w:eastAsia="Arial" w:hAnsi="Arial"/>
          <w:color w:val="000000"/>
          <w:sz w:val="20"/>
          <w:szCs w:val="20"/>
        </w:rPr>
        <w:t xml:space="preserve">Existing services store the page content. Arkova stores only the cryptographic fingerprint anchored to Bitcoin. This is lighter-weight, cheaper, more legally defensible (no copyright issues), and produces a stronger proof (Bitcoin-attested timestamp vs. a company's internal timestamp). The target market is different: legal evidence, agent verification, and regulatory compliance where tamper-evidence matters.</w:t>
      </w:r>
    </w:p>
    <w:p>
      <w:pPr>
        <w:spacing w:after="80" w:before="80"/>
      </w:pPr>
      <w:r>
        <w:rPr>
          <w:rFonts w:ascii="Arial" w:cs="Arial" w:eastAsia="Arial" w:hAnsi="Arial"/>
          <w:color w:val="000000"/>
          <w:sz w:val="20"/>
          <w:szCs w:val="20"/>
        </w:rPr>
        <w:t xml:space="preserve">2.4 Market Opportunity</w:t>
      </w:r>
    </w:p>
    <w:p>
      <w:pPr>
        <w:spacing w:after="80" w:before="80"/>
      </w:pPr>
      <w:r>
        <w:rPr>
          <w:rFonts w:ascii="Arial" w:cs="Arial" w:eastAsia="Arial" w:hAnsi="Arial"/>
          <w:color w:val="000000"/>
          <w:sz w:val="20"/>
          <w:szCs w:val="20"/>
        </w:rPr>
        <w:t xml:space="preserve">The enterprise information archiving market is valued at $10.56--$10.77 billion (2025), growing at 11.4--13.75% CAGR to $17.7--30.17 billion by 2031--2033. Key drivers include regulatory mandates (SEC Rule 17a-3/4 requires 6+ year retention of electronic records for financial firms), litigation evidence preservation, and cybersecurity documentation. The web scraping market alone is $1.01 billion (2024), with banking and financial services comprising 30% of demand.</w:t>
      </w:r>
    </w:p>
    <w:p>
      <w:pPr>
        <w:spacing w:after="80" w:before="80"/>
      </w:pPr>
      <w:r>
        <w:rPr>
          <w:rFonts w:ascii="Arial" w:cs="Arial" w:eastAsia="Arial" w:hAnsi="Arial"/>
          <w:color w:val="000000"/>
          <w:sz w:val="20"/>
          <w:szCs w:val="20"/>
        </w:rPr>
        <w:t xml:space="preserve">2.5 Cost and Revenue Model</w:t>
      </w:r>
    </w:p>
    <w:p>
      <w:pPr>
        <w:spacing w:after="80" w:before="80"/>
      </w:pPr>
      <w:r>
        <w:rPr>
          <w:rFonts w:ascii="Arial" w:cs="Arial" w:eastAsia="Arial" w:hAnsi="Arial"/>
          <w:color w:val="000000"/>
          <w:sz w:val="20"/>
          <w:szCs w:val="20"/>
        </w:rPr>
        <w:t xml:space="preserve">Costs: Headless browser infrastructure ($200--500/month for a rendering cluster), Bitcoin anchoring ($50--200/month with Merkle batching), storage for proofs ($50--100/month). Revenue: Verification calls for legal evidence and compliance, potentially at a premium tier ($0.005--$0.01/call) given the higher value of web state proofs. At 50K pages/month anchored and 5% verification rate: $125--$250/month. Scales significantly with enterprise partnerships.</w:t>
      </w:r>
    </w:p>
    <w:p>
      <w:pPr>
        <w:spacing w:after="80" w:before="80"/>
      </w:pPr>
      <w:r>
        <w:rPr>
          <w:rFonts w:ascii="Arial" w:cs="Arial" w:eastAsia="Arial" w:hAnsi="Arial"/>
          <w:color w:val="000000"/>
          <w:sz w:val="20"/>
          <w:szCs w:val="20"/>
        </w:rPr>
        <w:t xml:space="preserve">2.6 Recommendation</w:t>
      </w:r>
    </w:p>
    <w:p>
      <w:pPr>
        <w:spacing w:after="80" w:before="80"/>
      </w:pPr>
      <w:r>
        <w:rPr>
          <w:rFonts w:ascii="Arial" w:cs="Arial" w:eastAsia="Arial" w:hAnsi="Arial"/>
          <w:color w:val="000000"/>
          <w:sz w:val="20"/>
          <w:szCs w:val="20"/>
        </w:rPr>
        <w:t xml:space="preserve">Run as a background capability. The DOM canonicalization challenge requires engineering investment, and the legal nuance around ToS compliance adds risk. However, the market opportunity is enormous and Bitcoin-anchored web proofs are a genuinely differentiated product. Build it after the lower-hanging fruit is running.</w:t>
      </w:r>
    </w:p>
    <w:p>
      <w:pPr>
        <w:spacing w:after="80" w:before="80"/>
      </w:pPr>
      <w:r>
        <w:rPr>
          <w:rFonts w:ascii="Arial" w:cs="Arial" w:eastAsia="Arial" w:hAnsi="Arial"/>
          <w:color w:val="000000"/>
          <w:sz w:val="20"/>
          <w:szCs w:val="20"/>
        </w:rPr>
        <w:t xml:space="preserve">3. Open Data Partnerships</w:t>
      </w:r>
    </w:p>
    <w:p>
      <w:pPr>
        <w:spacing w:after="80" w:before="80"/>
      </w:pPr>
      <w:r>
        <w:rPr>
          <w:rFonts w:ascii="Arial" w:cs="Arial" w:eastAsia="Arial" w:hAnsi="Arial"/>
          <w:color w:val="000000"/>
          <w:sz w:val="20"/>
          <w:szCs w:val="20"/>
        </w:rPr>
        <w:t xml:space="preserve">Academic and research databases represent a massive, high-credibility corpus opportunity. These platforms contain hundreds of millions of scholarly works, and their operators are mission-aligned with data integrity. The partnership pitch: Arkova adds a cryptographic trust layer to their data for free, enabling verification of metadata integrity without any cost to the partner.</w:t>
      </w:r>
    </w:p>
    <w:p>
      <w:pPr>
        <w:spacing w:after="80" w:before="80"/>
      </w:pPr>
      <w:r>
        <w:rPr>
          <w:rFonts w:ascii="Arial" w:cs="Arial" w:eastAsia="Arial" w:hAnsi="Arial"/>
          <w:color w:val="000000"/>
          <w:sz w:val="20"/>
          <w:szCs w:val="20"/>
        </w:rPr>
        <w:t xml:space="preserve">3.1 How It Works with Arkova's Architecture</w:t>
      </w:r>
    </w:p>
    <w:p>
      <w:pPr>
        <w:spacing w:after="80" w:before="80"/>
      </w:pPr>
      <w:r>
        <w:rPr>
          <w:rFonts w:ascii="Arial" w:cs="Arial" w:eastAsia="Arial" w:hAnsi="Arial"/>
          <w:color w:val="000000"/>
          <w:sz w:val="20"/>
          <w:szCs w:val="20"/>
        </w:rPr>
        <w:t xml:space="preserve">The flow: (1) Bulk-download metadata from open data platforms. (2) Fingerprint each metadata record (DOI, title, authors, publication date, etc.). (3) Anchor fingerprints to Bitcoin via Merkle trees. (4) Provide verification API: given a DOI or metadata hash, return Bitcoin-anchored proof of the metadata state at anchoring time. This is metadata-only---no full-text content is stored or fingerprinted (avoiding copyright concerns with journal articles).</w:t>
      </w:r>
    </w:p>
    <w:p>
      <w:pPr>
        <w:spacing w:after="80" w:before="80"/>
      </w:pPr>
      <w:r>
        <w:rPr>
          <w:rFonts w:ascii="Arial" w:cs="Arial" w:eastAsia="Arial" w:hAnsi="Arial"/>
          <w:color w:val="000000"/>
          <w:sz w:val="20"/>
          <w:szCs w:val="20"/>
        </w:rPr>
        <w:t xml:space="preserve">3.2 Data Sources</w:t>
      </w:r>
    </w:p>
    <w:p>
      <w:pPr>
        <w:spacing w:after="80" w:before="80"/>
      </w:pPr>
      <w:r>
        <w:rPr>
          <w:rFonts w:ascii="Arial" w:cs="Arial" w:eastAsia="Arial" w:hAnsi="Arial"/>
          <w:color w:val="000000"/>
          <w:sz w:val="20"/>
          <w:szCs w:val="20"/>
        </w:rPr>
        <w:t xml:space="preserve">OpenAlex</w:t>
      </w:r>
    </w:p>
    <w:p>
      <w:pPr>
        <w:spacing w:after="80" w:before="80"/>
      </w:pPr>
      <w:r>
        <w:rPr>
          <w:rFonts w:ascii="Arial" w:cs="Arial" w:eastAsia="Arial" w:hAnsi="Arial"/>
          <w:color w:val="000000"/>
          <w:sz w:val="20"/>
          <w:szCs w:val="20"/>
        </w:rPr>
        <w:t xml:space="preserve">474 million scholarly works indexed, with 100 million deduplicated authors, 200,000+ journals, 11 million grants, and 2+ billion citation links. The API at api.openalex.org is free with rate limits of 10,000 list/filter calls per day. Bulk downloads are available as gzip-compressed JSON Lines files (~330 GB compressed, ~1.6 TB decompressed), updated monthly. License is CC0 (unrestricted commercial use). This is the single best academic data source: massive volume, fully open, and operated by a 14-year-old nonprofit funded by Arcadia, Navigation Fund, and Wellcome Trust.</w:t>
      </w:r>
    </w:p>
    <w:p>
      <w:pPr>
        <w:spacing w:after="80" w:before="80"/>
      </w:pPr>
      <w:r>
        <w:rPr>
          <w:rFonts w:ascii="Arial" w:cs="Arial" w:eastAsia="Arial" w:hAnsi="Arial"/>
          <w:color w:val="000000"/>
          <w:sz w:val="20"/>
          <w:szCs w:val="20"/>
        </w:rPr>
        <w:t xml:space="preserve">Crossref</w:t>
      </w:r>
    </w:p>
    <w:p>
      <w:pPr>
        <w:spacing w:after="80" w:before="80"/>
      </w:pPr>
      <w:r>
        <w:rPr>
          <w:rFonts w:ascii="Arial" w:cs="Arial" w:eastAsia="Arial" w:hAnsi="Arial"/>
          <w:color w:val="000000"/>
          <w:sz w:val="20"/>
          <w:szCs w:val="20"/>
        </w:rPr>
        <w:t xml:space="preserve">Approximately 180 million registered DOIs from 24,000+ member organizations across 166 countries, handling 2 billion monthly API queries. The Polite Pool (10 req/sec, free with email identification) is the practical access tier. Annual public data files contain all metadata in JSON-lines format. Metadata Plus subscribers ($550--$44,000/year) get 150 req/sec and monthly snapshots. Crossref's Crossmark service already tracks corrections and retractions---Bitcoin anchoring would complement this by providing immutable timestamps.</w:t>
      </w:r>
    </w:p>
    <w:p>
      <w:pPr>
        <w:spacing w:after="80" w:before="80"/>
      </w:pPr>
      <w:r>
        <w:rPr>
          <w:rFonts w:ascii="Arial" w:cs="Arial" w:eastAsia="Arial" w:hAnsi="Arial"/>
          <w:color w:val="000000"/>
          <w:sz w:val="20"/>
          <w:szCs w:val="20"/>
        </w:rPr>
        <w:t xml:space="preserve">PubMed / PMC</w:t>
      </w:r>
    </w:p>
    <w:p>
      <w:pPr>
        <w:spacing w:after="80" w:before="80"/>
      </w:pPr>
      <w:r>
        <w:rPr>
          <w:rFonts w:ascii="Arial" w:cs="Arial" w:eastAsia="Arial" w:hAnsi="Arial"/>
          <w:color w:val="000000"/>
          <w:sz w:val="20"/>
          <w:szCs w:val="20"/>
        </w:rPr>
        <w:t xml:space="preserve">40+ million biomedical citations in PubMed, 11.8 million free full-text articles in PMC. The E-utilities API (ncbi.nlm.nih.gov/entrez/eutils) allows 3 req/sec by default, higher with an API key. Annual baseline XML files are available via FTP for bulk download, with daily incremental updates. All data is public domain with no copyright restrictions.</w:t>
      </w:r>
    </w:p>
    <w:p>
      <w:pPr>
        <w:spacing w:after="80" w:before="80"/>
      </w:pPr>
      <w:r>
        <w:rPr>
          <w:rFonts w:ascii="Arial" w:cs="Arial" w:eastAsia="Arial" w:hAnsi="Arial"/>
          <w:color w:val="000000"/>
          <w:sz w:val="20"/>
          <w:szCs w:val="20"/>
        </w:rPr>
        <w:t xml:space="preserve">arXiv</w:t>
      </w:r>
    </w:p>
    <w:p>
      <w:pPr>
        <w:spacing w:after="80" w:before="80"/>
      </w:pPr>
      <w:r>
        <w:rPr>
          <w:rFonts w:ascii="Arial" w:cs="Arial" w:eastAsia="Arial" w:hAnsi="Arial"/>
          <w:color w:val="000000"/>
          <w:sz w:val="20"/>
          <w:szCs w:val="20"/>
        </w:rPr>
        <w:t xml:space="preserve">2.4 million scholarly preprints in physics, mathematics, computer science, and related fields. The OAI-PMH interface (oaipmh.arxiv.org/oai) supports bulk metadata harvesting with selective harvesting by category. Metadata availability updates around 10:30 PM ET Sunday through Thursday. Public API with attribution requirements.</w:t>
      </w:r>
    </w:p>
    <w:p>
      <w:pPr>
        <w:spacing w:after="80" w:before="80"/>
      </w:pPr>
      <w:r>
        <w:rPr>
          <w:rFonts w:ascii="Arial" w:cs="Arial" w:eastAsia="Arial" w:hAnsi="Arial"/>
          <w:color w:val="000000"/>
          <w:sz w:val="20"/>
          <w:szCs w:val="20"/>
        </w:rPr>
        <w:t xml:space="preserve">Additional Sources</w:t>
      </w:r>
    </w:p>
    <w:p>
      <w:pPr>
        <w:spacing w:after="80" w:before="80"/>
      </w:pPr>
      <w:r>
        <w:rPr>
          <w:rFonts w:ascii="Arial" w:cs="Arial" w:eastAsia="Arial" w:hAnsi="Arial"/>
          <w:color w:val="000000"/>
          <w:sz w:val="20"/>
          <w:szCs w:val="20"/>
        </w:rPr>
        <w:t xml:space="preserve">Semantic Scholar indexes 214 million papers with 2.49 billion citations. DBLP covers 8.4 million computer science publications under CC0 license. DataCite manages millions of research data DOIs. ORCID provides researcher identity linking across platforms.</w:t>
      </w:r>
    </w:p>
    <w:p>
      <w:pPr>
        <w:spacing w:after="80" w:before="80"/>
      </w:pPr>
      <w:r>
        <w:rPr>
          <w:rFonts w:ascii="Arial" w:cs="Arial" w:eastAsia="Arial" w:hAnsi="Arial"/>
          <w:color w:val="000000"/>
          <w:sz w:val="20"/>
          <w:szCs w:val="20"/>
        </w:rPr>
        <w:t xml:space="preserve">3.3 Partnership Strategy</w:t>
      </w:r>
    </w:p>
    <w:p>
      <w:pPr>
        <w:spacing w:after="80" w:before="80"/>
      </w:pPr>
      <w:r>
        <w:rPr>
          <w:rFonts w:ascii="Arial" w:cs="Arial" w:eastAsia="Arial" w:hAnsi="Arial"/>
          <w:color w:val="000000"/>
          <w:sz w:val="20"/>
          <w:szCs w:val="20"/>
        </w:rPr>
        <w:t xml:space="preserve">The pitch to these platforms: Arkova provides a free cryptographic integrity layer for your metadata. Every record gets a Bitcoin-anchored timestamp proving its state at verification time. This protects against metadata tampering, provides an independent verification mechanism, and adds value to your ecosystem at zero cost to you. Revenue comes from third-party verification calls, not from the partner.</w:t>
      </w:r>
    </w:p>
    <w:p>
      <w:pPr>
        <w:spacing w:after="80" w:before="80"/>
      </w:pPr>
      <w:r>
        <w:rPr>
          <w:rFonts w:ascii="Arial" w:cs="Arial" w:eastAsia="Arial" w:hAnsi="Arial"/>
          <w:color w:val="000000"/>
          <w:sz w:val="20"/>
          <w:szCs w:val="20"/>
        </w:rPr>
        <w:t xml:space="preserve">Start with OpenAlex (most open, CC0 license, nonprofit mission-aligned) and Crossref (largest DOI registry, existing trust infrastructure). These two alone give access to 650M+ metadata records.</w:t>
      </w:r>
    </w:p>
    <w:p>
      <w:pPr>
        <w:spacing w:after="80" w:before="80"/>
      </w:pPr>
      <w:r>
        <w:rPr>
          <w:rFonts w:ascii="Arial" w:cs="Arial" w:eastAsia="Arial" w:hAnsi="Arial"/>
          <w:color w:val="000000"/>
          <w:sz w:val="20"/>
          <w:szCs w:val="20"/>
        </w:rPr>
        <w:t xml:space="preserve">3.4 Cost and Revenue Model</w:t>
      </w:r>
    </w:p>
    <w:p>
      <w:pPr>
        <w:spacing w:after="80" w:before="80"/>
      </w:pPr>
      <w:r>
        <w:rPr>
          <w:rFonts w:ascii="Arial" w:cs="Arial" w:eastAsia="Arial" w:hAnsi="Arial"/>
          <w:color w:val="000000"/>
          <w:sz w:val="20"/>
          <w:szCs w:val="20"/>
        </w:rPr>
        <w:t xml:space="preserve">Bulk download and processing: $100--300/month infrastructure. Bitcoin anchoring of 500M+ records via aggressive Merkle batching: $200--500/month. The revenue upside is significant: academic integrity verification is a growing concern (paper mills, citation manipulation, retraction fraud). A verification API serving researchers, journals, institutions, and AI training pipelines could generate substantial volume. At 0.1% monthly verification on 500M records = 500K calls/month = $1,000/month initially.</w:t>
      </w:r>
    </w:p>
    <w:p>
      <w:pPr>
        <w:spacing w:after="80" w:before="80"/>
      </w:pPr>
      <w:r>
        <w:rPr>
          <w:rFonts w:ascii="Arial" w:cs="Arial" w:eastAsia="Arial" w:hAnsi="Arial"/>
          <w:color w:val="000000"/>
          <w:sz w:val="20"/>
          <w:szCs w:val="20"/>
        </w:rPr>
        <w:t xml:space="preserve">3.5 Recommendation</w:t>
      </w:r>
    </w:p>
    <w:p>
      <w:pPr>
        <w:spacing w:after="80" w:before="80"/>
      </w:pPr>
      <w:r>
        <w:rPr>
          <w:rFonts w:ascii="Arial" w:cs="Arial" w:eastAsia="Arial" w:hAnsi="Arial"/>
          <w:color w:val="000000"/>
          <w:sz w:val="20"/>
          <w:szCs w:val="20"/>
        </w:rPr>
        <w:t xml:space="preserve">High credibility, massive volume, low cost, and strong mission alignment with data integrity. The partnership development requires relationship-building but no technical integration from the partner side. Start bulk-downloading OpenAlex immediately (no partnership required---it's CC0). Pursue Crossref partnership in parallel.</w:t>
      </w:r>
    </w:p>
    <w:p>
      <w:pPr>
        <w:spacing w:after="80" w:before="80"/>
      </w:pPr>
      <w:r>
        <w:rPr>
          <w:rFonts w:ascii="Arial" w:cs="Arial" w:eastAsia="Arial" w:hAnsi="Arial"/>
          <w:color w:val="000000"/>
          <w:sz w:val="20"/>
          <w:szCs w:val="20"/>
        </w:rPr>
        <w:t xml:space="preserve">4. Agent-Initiated Anchoring</w:t>
      </w:r>
    </w:p>
    <w:p>
      <w:pPr>
        <w:spacing w:after="80" w:before="80"/>
      </w:pPr>
      <w:r>
        <w:rPr>
          <w:rFonts w:ascii="Arial" w:cs="Arial" w:eastAsia="Arial" w:hAnsi="Arial"/>
          <w:color w:val="000000"/>
          <w:sz w:val="20"/>
          <w:szCs w:val="20"/>
        </w:rPr>
        <w:t xml:space="preserve">This is the highest-leverage strategic play. AI agents anchor their own outputs---reports, analyses, decisions, code---creating both supply (anchored documents) and demand (verification calls from other agents). The flywheel: more agent outputs anchored means more verification demand, which attracts more agents to anchor. This directly addresses the cold-start problem by creating a self-reinforcing loop.</w:t>
      </w:r>
    </w:p>
    <w:p>
      <w:pPr>
        <w:spacing w:after="80" w:before="80"/>
      </w:pPr>
      <w:r>
        <w:rPr>
          <w:rFonts w:ascii="Arial" w:cs="Arial" w:eastAsia="Arial" w:hAnsi="Arial"/>
          <w:color w:val="000000"/>
          <w:sz w:val="20"/>
          <w:szCs w:val="20"/>
        </w:rPr>
        <w:t xml:space="preserve">4.1 How It Works with Arkova's Architecture</w:t>
      </w:r>
    </w:p>
    <w:p>
      <w:pPr>
        <w:spacing w:after="80" w:before="80"/>
      </w:pPr>
      <w:r>
        <w:rPr>
          <w:rFonts w:ascii="Arial" w:cs="Arial" w:eastAsia="Arial" w:hAnsi="Arial"/>
          <w:color w:val="000000"/>
          <w:sz w:val="20"/>
          <w:szCs w:val="20"/>
        </w:rPr>
        <w:t xml:space="preserve">The flow: (1) Agent generates an output (report, analysis, decision). (2) Agent calls Arkova's SDK: arkova.anchor(output). (3) Arkova fingerprints the output client-side, anchors to Bitcoin, returns a receipt (Merkle proof + Bitcoin tx ID). (4) Agent includes the receipt with its output. (5) Any downstream agent or human can verify: arkova.verify(output, receipt) for $0.002 via x402. The SDK must be frictionless---a single function call, no key management, payment via x402 micropayments.</w:t>
      </w:r>
    </w:p>
    <w:p>
      <w:pPr>
        <w:spacing w:after="80" w:before="80"/>
      </w:pPr>
      <w:r>
        <w:rPr>
          <w:rFonts w:ascii="Arial" w:cs="Arial" w:eastAsia="Arial" w:hAnsi="Arial"/>
          <w:color w:val="000000"/>
          <w:sz w:val="20"/>
          <w:szCs w:val="20"/>
        </w:rPr>
        <w:t xml:space="preserve">4.2 Framework Integration Points</w:t>
      </w:r>
    </w:p>
    <w:p>
      <w:pPr>
        <w:spacing w:after="80" w:before="80"/>
      </w:pPr>
      <w:r>
        <w:rPr>
          <w:rFonts w:ascii="Arial" w:cs="Arial" w:eastAsia="Arial" w:hAnsi="Arial"/>
          <w:color w:val="000000"/>
          <w:sz w:val="20"/>
          <w:szCs w:val="20"/>
        </w:rPr>
        <w:t xml:space="preserve">The agent framework ecosystem is mature enough for deep integration. LangChain (224.6 million PyPI downloads/month) has a middleware system with hooks including before_agent, after_agent, and wrap_tool_call---a verification middleware could automatically anchor all agent outputs. CrewAI (1.8M+ monthly downloads, 60%+ of Fortune 500 using open-source core) has TaskOutput classes supporting multiple formats and file output. Vercel AI SDK (20M+ monthly npm downloads) supports middleware for model output processing. Microsoft's Agent Framework (built on AutoGen, 54K GitHub stars) provides interceptors for agent actions. MCP (Model Context Protocol) is becoming the universal standard for agent tool integration, with thousands of community-built servers and adoption by both Anthropic and OpenAI.</w:t>
      </w:r>
    </w:p>
    <w:p>
      <w:pPr>
        <w:spacing w:after="80" w:before="80"/>
      </w:pPr>
      <w:r>
        <w:rPr>
          <w:rFonts w:ascii="Arial" w:cs="Arial" w:eastAsia="Arial" w:hAnsi="Arial"/>
          <w:color w:val="000000"/>
          <w:sz w:val="20"/>
          <w:szCs w:val="20"/>
        </w:rPr>
        <w:t xml:space="preserve">4.3 The x402 Payment Flywheel</w:t>
      </w:r>
    </w:p>
    <w:p>
      <w:pPr>
        <w:spacing w:after="80" w:before="80"/>
      </w:pPr>
      <w:r>
        <w:rPr>
          <w:rFonts w:ascii="Arial" w:cs="Arial" w:eastAsia="Arial" w:hAnsi="Arial"/>
          <w:color w:val="000000"/>
          <w:sz w:val="20"/>
          <w:szCs w:val="20"/>
        </w:rPr>
        <w:t xml:space="preserve">The x402 protocol enables HTTP-native micropayments: server responds 402 Payment Required, client pays via USDC on Base, retries. This is already live with Stripe integration and Circle infrastructure (as of February 2026). CoinGecko has deployed x402-powered API endpoints at $0.01 USDC per request. Arkova's $0.002/call verification pricing fits perfectly into this model---agents can autonomously pay for verification without API keys, subscriptions, or human intervention.</w:t>
      </w:r>
    </w:p>
    <w:p>
      <w:pPr>
        <w:spacing w:after="80" w:before="80"/>
      </w:pPr>
      <w:r>
        <w:rPr>
          <w:rFonts w:ascii="Arial" w:cs="Arial" w:eastAsia="Arial" w:hAnsi="Arial"/>
          <w:color w:val="000000"/>
          <w:sz w:val="20"/>
          <w:szCs w:val="20"/>
        </w:rPr>
        <w:t xml:space="preserve">The flywheel economics: anchoring costs Arkova ~$0.002--$0.003 per document (Merkle batched). Verification revenue is $0.002 per call. Break-even requires roughly 1--1.5 verification calls per anchored document. With network effects, high-value documents (financial analyses, legal opinions, compliance reports) should generate multiple verification calls over their lifetime.</w:t>
      </w:r>
    </w:p>
    <w:p>
      <w:pPr>
        <w:spacing w:after="80" w:before="80"/>
      </w:pPr>
      <w:r>
        <w:rPr>
          <w:rFonts w:ascii="Arial" w:cs="Arial" w:eastAsia="Arial" w:hAnsi="Arial"/>
          <w:color w:val="000000"/>
          <w:sz w:val="20"/>
          <w:szCs w:val="20"/>
        </w:rPr>
        <w:t xml:space="preserve">4.4 Market Size and Adoption</w:t>
      </w:r>
    </w:p>
    <w:p>
      <w:pPr>
        <w:spacing w:after="80" w:before="80"/>
      </w:pPr>
      <w:r>
        <w:rPr>
          <w:rFonts w:ascii="Arial" w:cs="Arial" w:eastAsia="Arial" w:hAnsi="Arial"/>
          <w:color w:val="000000"/>
          <w:sz w:val="20"/>
          <w:szCs w:val="20"/>
        </w:rPr>
        <w:t xml:space="preserve">The AI agent market is projected at $7.84 billion (2025), growing to $52.62 billion by 2030 at 46.3% CAGR. Gartner predicts 40% of enterprise applications will feature task-specific AI agents by 2026 (up from less than 5% in 2025). Currently, 79% of organizations have adopted AI agents to some extent, but only 2% are at full production scale---meaning the market is at the very beginning of the adoption curve.</w:t>
      </w:r>
    </w:p>
    <w:p>
      <w:pPr>
        <w:spacing w:after="80" w:before="80"/>
      </w:pPr>
      <w:r>
        <w:rPr>
          <w:rFonts w:ascii="Arial" w:cs="Arial" w:eastAsia="Arial" w:hAnsi="Arial"/>
          <w:color w:val="000000"/>
          <w:sz w:val="20"/>
          <w:szCs w:val="20"/>
        </w:rPr>
        <w:t xml:space="preserve">The verification gap is real: current AI agent outputs are unverifiable. End users have no way of knowing whether an output came from a particular model, or whether it has been tampered with. Solutions are emerging (SynthID has watermarked 10B+ pieces of content, C2PA is rolling out provenance metadata), but none offer Bitcoin-anchored tamper-evidence with micropayment verification. This is Arkova's unique position.</w:t>
      </w:r>
    </w:p>
    <w:p>
      <w:pPr>
        <w:spacing w:after="80" w:before="80"/>
      </w:pPr>
      <w:r>
        <w:rPr>
          <w:rFonts w:ascii="Arial" w:cs="Arial" w:eastAsia="Arial" w:hAnsi="Arial"/>
          <w:color w:val="000000"/>
          <w:sz w:val="20"/>
          <w:szCs w:val="20"/>
        </w:rPr>
        <w:t xml:space="preserve">4.5 Technical Implementation</w:t>
      </w:r>
    </w:p>
    <w:p>
      <w:pPr>
        <w:pStyle w:val="ListParagraph"/>
        <w:numPr>
          <w:ilvl w:val="0"/>
          <w:numId w:val="2"/>
        </w:numPr>
        <w:spacing w:after="60" w:before="60"/>
      </w:pPr>
      <w:r>
        <w:rPr>
          <w:rFonts w:ascii="Arial" w:cs="Arial" w:eastAsia="Arial" w:hAnsi="Arial"/>
          <w:b/>
          <w:bCs/>
          <w:color w:val="000000"/>
          <w:sz w:val="20"/>
          <w:szCs w:val="20"/>
        </w:rPr>
        <w:t xml:space="preserve">Phase 1 (weeks 1--4):</w:t>
      </w:r>
      <w:r>
        <w:rPr>
          <w:rFonts w:ascii="Arial" w:cs="Arial" w:eastAsia="Arial" w:hAnsi="Arial"/>
          <w:color w:val="000000"/>
          <w:sz w:val="20"/>
          <w:szCs w:val="20"/>
        </w:rPr>
        <w:t xml:space="preserve"> Build Arkova SDK for Python and TypeScript. Single function: arkova.anchor(data) returns receipt. Single function: arkova.verify(data, receipt) returns boolean. x402 payment integration built into the SDK.</w:t>
      </w:r>
    </w:p>
    <w:p>
      <w:pPr>
        <w:pStyle w:val="ListParagraph"/>
        <w:numPr>
          <w:ilvl w:val="0"/>
          <w:numId w:val="2"/>
        </w:numPr>
        <w:spacing w:after="60" w:before="60"/>
      </w:pPr>
      <w:r>
        <w:rPr>
          <w:rFonts w:ascii="Arial" w:cs="Arial" w:eastAsia="Arial" w:hAnsi="Arial"/>
          <w:b/>
          <w:bCs/>
          <w:color w:val="000000"/>
          <w:sz w:val="20"/>
          <w:szCs w:val="20"/>
        </w:rPr>
        <w:t xml:space="preserve">Phase 2 (weeks 4--8):</w:t>
      </w:r>
      <w:r>
        <w:rPr>
          <w:rFonts w:ascii="Arial" w:cs="Arial" w:eastAsia="Arial" w:hAnsi="Arial"/>
          <w:color w:val="000000"/>
          <w:sz w:val="20"/>
          <w:szCs w:val="20"/>
        </w:rPr>
        <w:t xml:space="preserve"> Build framework-specific integrations: LangChain middleware, CrewAI tool, Vercel AI SDK middleware, MCP server. Each integration should be installable in under 5 minutes.</w:t>
      </w:r>
    </w:p>
    <w:p>
      <w:pPr>
        <w:pStyle w:val="ListParagraph"/>
        <w:numPr>
          <w:ilvl w:val="0"/>
          <w:numId w:val="2"/>
        </w:numPr>
        <w:spacing w:after="60" w:before="60"/>
      </w:pPr>
      <w:r>
        <w:rPr>
          <w:rFonts w:ascii="Arial" w:cs="Arial" w:eastAsia="Arial" w:hAnsi="Arial"/>
          <w:b/>
          <w:bCs/>
          <w:color w:val="000000"/>
          <w:sz w:val="20"/>
          <w:szCs w:val="20"/>
        </w:rPr>
        <w:t xml:space="preserve">Phase 3 (weeks 8--12):</w:t>
      </w:r>
      <w:r>
        <w:rPr>
          <w:rFonts w:ascii="Arial" w:cs="Arial" w:eastAsia="Arial" w:hAnsi="Arial"/>
          <w:color w:val="000000"/>
          <w:sz w:val="20"/>
          <w:szCs w:val="20"/>
        </w:rPr>
        <w:t xml:space="preserve"> Developer relations: documentation, tutorials, GitHub Actions for automated anchoring in CI/CD pipelines, free tier for individual developers.</w:t>
      </w:r>
    </w:p>
    <w:p>
      <w:pPr>
        <w:spacing w:after="80" w:before="80"/>
      </w:pPr>
      <w:r>
        <w:rPr>
          <w:rFonts w:ascii="Arial" w:cs="Arial" w:eastAsia="Arial" w:hAnsi="Arial"/>
          <w:color w:val="000000"/>
          <w:sz w:val="20"/>
          <w:szCs w:val="20"/>
        </w:rPr>
        <w:t xml:space="preserve">4.6 Cost Modeling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**Cost Category**</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**Monthly Estimate**</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SDK development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$0 (founder time)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4--8 weeks initial build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Framework integrations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$0 (founder time)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4--8 weeks per framework</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Developer documentation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$0 (founder time)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Ongoing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Free tier subsidy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$100--500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Free anchoring for early adopters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Infrastructure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$200--500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API servers, monitoring</w:t>
            </w:r>
          </w:p>
        </w:tc>
      </w:tr>
    </w:tbl>
    <w:p>
      <w:pPr>
        <w:spacing w:after="80" w:before="80"/>
      </w:pPr>
      <w:r>
        <w:rPr>
          <w:rFonts w:ascii="Arial" w:cs="Arial" w:eastAsia="Arial" w:hAnsi="Arial"/>
          <w:color w:val="000000"/>
          <w:sz w:val="20"/>
          <w:szCs w:val="20"/>
        </w:rPr>
        <w:t xml:space="preserve">4.7 Recommendation</w:t>
      </w:r>
    </w:p>
    <w:p>
      <w:pPr>
        <w:spacing w:after="80" w:before="80"/>
      </w:pPr>
      <w:r>
        <w:rPr>
          <w:rFonts w:ascii="Arial" w:cs="Arial" w:eastAsia="Arial" w:hAnsi="Arial"/>
          <w:color w:val="000000"/>
          <w:sz w:val="20"/>
          <w:szCs w:val="20"/>
        </w:rPr>
        <w:t xml:space="preserve">This is the demand-side engine. Without agent-initiated anchoring, the corpus is a static archive. With it, every AI agent becomes both a supplier (anchoring outputs) and a customer (verifying others' outputs). Build the SDK immediately alongside the public records pipeline. The flywheel is the business.</w:t>
      </w:r>
    </w:p>
    <w:p>
      <w:pPr>
        <w:spacing w:after="80" w:before="80"/>
      </w:pPr>
      <w:r>
        <w:rPr>
          <w:rFonts w:ascii="Arial" w:cs="Arial" w:eastAsia="Arial" w:hAnsi="Arial"/>
          <w:color w:val="000000"/>
          <w:sz w:val="20"/>
          <w:szCs w:val="20"/>
        </w:rPr>
        <w:t xml:space="preserve">5. Notarization-as-a-Service (E-Signature Integration)</w:t>
      </w:r>
    </w:p>
    <w:p>
      <w:pPr>
        <w:spacing w:after="80" w:before="80"/>
      </w:pPr>
      <w:r>
        <w:rPr>
          <w:rFonts w:ascii="Arial" w:cs="Arial" w:eastAsia="Arial" w:hAnsi="Arial"/>
          <w:color w:val="000000"/>
          <w:sz w:val="20"/>
          <w:szCs w:val="20"/>
        </w:rPr>
        <w:t xml:space="preserve">E-signature platforms process billions of documents annually. Adding Bitcoin anchoring at the moment of signature completion creates an immutable proof layer that strengthens the legal standing of signed documents. This is a high-value, high-partnership-effort approach.</w:t>
      </w:r>
    </w:p>
    <w:p>
      <w:pPr>
        <w:spacing w:after="80" w:before="80"/>
      </w:pPr>
      <w:r>
        <w:rPr>
          <w:rFonts w:ascii="Arial" w:cs="Arial" w:eastAsia="Arial" w:hAnsi="Arial"/>
          <w:color w:val="000000"/>
          <w:sz w:val="20"/>
          <w:szCs w:val="20"/>
        </w:rPr>
        <w:t xml:space="preserve">5.1 How It Works with Arkova's Architecture</w:t>
      </w:r>
    </w:p>
    <w:p>
      <w:pPr>
        <w:spacing w:after="80" w:before="80"/>
      </w:pPr>
      <w:r>
        <w:rPr>
          <w:rFonts w:ascii="Arial" w:cs="Arial" w:eastAsia="Arial" w:hAnsi="Arial"/>
          <w:color w:val="000000"/>
          <w:sz w:val="20"/>
          <w:szCs w:val="20"/>
        </w:rPr>
        <w:t xml:space="preserve">The flow: (1) Customer signs a document via DocuSign, Adobe Sign, or another platform. (2) Platform fires a webhook event (e.g., DocuSign Connect's "envelope completed" event). (3) Arkova's integration service receives the webhook, retrieves the completed document via API, fingerprints it, and anchors to Bitcoin. (4) Arkova returns a verification receipt to the signing platform or stores it for later API access. (5) Any party to the agreement can verify the document's integrity via Arkova's verification API.</w:t>
      </w:r>
    </w:p>
    <w:p>
      <w:pPr>
        <w:spacing w:after="80" w:before="80"/>
      </w:pPr>
      <w:r>
        <w:rPr>
          <w:rFonts w:ascii="Arial" w:cs="Arial" w:eastAsia="Arial" w:hAnsi="Arial"/>
          <w:color w:val="000000"/>
          <w:sz w:val="20"/>
          <w:szCs w:val="20"/>
        </w:rPr>
        <w:t xml:space="preserve">5.2 Platform Analysis</w:t>
      </w:r>
    </w:p>
    <w:p>
      <w:pPr>
        <w:spacing w:after="80" w:before="80"/>
      </w:pPr>
      <w:r>
        <w:rPr>
          <w:rFonts w:ascii="Arial" w:cs="Arial" w:eastAsia="Arial" w:hAnsi="Arial"/>
          <w:color w:val="000000"/>
          <w:sz w:val="20"/>
          <w:szCs w:val="20"/>
        </w:rPr>
        <w:t xml:space="preserve">DocuSign</w:t>
      </w:r>
    </w:p>
    <w:p>
      <w:pPr>
        <w:spacing w:after="80" w:before="80"/>
      </w:pPr>
      <w:r>
        <w:rPr>
          <w:rFonts w:ascii="Arial" w:cs="Arial" w:eastAsia="Arial" w:hAnsi="Arial"/>
          <w:color w:val="000000"/>
          <w:sz w:val="20"/>
          <w:szCs w:val="20"/>
        </w:rPr>
        <w:t xml:space="preserve">DocuSign holds 67.62% of the e-signature market. Their REST API provides 400+ endpoints with webhook (Connect) support for envelope-level and account-level events. The "envelope completed" event is the key trigger. API pricing ranges from $600/year (Starter, 40 envelopes/month) to $5,760/year (Advanced, 100 envelopes/month + bulk send + webhooks). Rate limits scale from ~1,000 requests/hour (Intermediate) to 10,000 requests/hour (Advanced). DocuSign has an active partner ecosystem (ISV, System Integrator, Referral partners) with complimentary training, certifications, and sandbox access.</w:t>
      </w:r>
    </w:p>
    <w:p>
      <w:pPr>
        <w:spacing w:after="80" w:before="80"/>
      </w:pPr>
      <w:r>
        <w:rPr>
          <w:rFonts w:ascii="Arial" w:cs="Arial" w:eastAsia="Arial" w:hAnsi="Arial"/>
          <w:color w:val="000000"/>
          <w:sz w:val="20"/>
          <w:szCs w:val="20"/>
        </w:rPr>
        <w:t xml:space="preserve">Adobe Acrobat Sign</w:t>
      </w:r>
    </w:p>
    <w:p>
      <w:pPr>
        <w:spacing w:after="80" w:before="80"/>
      </w:pPr>
      <w:r>
        <w:rPr>
          <w:rFonts w:ascii="Arial" w:cs="Arial" w:eastAsia="Arial" w:hAnsi="Arial"/>
          <w:color w:val="000000"/>
          <w:sz w:val="20"/>
          <w:szCs w:val="20"/>
        </w:rPr>
        <w:t xml:space="preserve">Adobe holds approximately 20% of the document processing market, with Document Cloud revenue of $3.18 billion in 2024 (18% YoY growth). Webhooks support agreement events, web form events, and bulk operations. Retry strategy uses doubling intervals from 1 minute to 12 hours, with 15 retries over 72 hours. Recent enhancements include an AI Assistant for document analysis.</w:t>
      </w:r>
    </w:p>
    <w:p>
      <w:pPr>
        <w:spacing w:after="80" w:before="80"/>
      </w:pPr>
      <w:r>
        <w:rPr>
          <w:rFonts w:ascii="Arial" w:cs="Arial" w:eastAsia="Arial" w:hAnsi="Arial"/>
          <w:color w:val="000000"/>
          <w:sz w:val="20"/>
          <w:szCs w:val="20"/>
        </w:rPr>
        <w:t xml:space="preserve">Dropbox Sign and PandaDoc</w:t>
      </w:r>
    </w:p>
    <w:p>
      <w:pPr>
        <w:spacing w:after="80" w:before="80"/>
      </w:pPr>
      <w:r>
        <w:rPr>
          <w:rFonts w:ascii="Arial" w:cs="Arial" w:eastAsia="Arial" w:hAnsi="Arial"/>
          <w:color w:val="000000"/>
          <w:sz w:val="20"/>
          <w:szCs w:val="20"/>
        </w:rPr>
        <w:t xml:space="preserve">Dropbox Sign (formerly HelloSign) offers embedded signing, real-time webhook notifications, and API plans from $75/month (50 requests) to custom enterprise pricing. PandaDoc has reached $100M ARR with 56,000+ customers, offering webhooks for document opened, signed, and payment events. Both are smaller targets but more likely to partner with startups.</w:t>
      </w:r>
    </w:p>
    <w:p>
      <w:pPr>
        <w:spacing w:after="80" w:before="80"/>
      </w:pPr>
      <w:r>
        <w:rPr>
          <w:rFonts w:ascii="Arial" w:cs="Arial" w:eastAsia="Arial" w:hAnsi="Arial"/>
          <w:color w:val="000000"/>
          <w:sz w:val="20"/>
          <w:szCs w:val="20"/>
        </w:rPr>
        <w:t xml:space="preserve">5.3 Legal Value of Blockchain Timestamps</w:t>
      </w:r>
    </w:p>
    <w:p>
      <w:pPr>
        <w:spacing w:after="80" w:before="80"/>
      </w:pPr>
      <w:r>
        <w:rPr>
          <w:rFonts w:ascii="Arial" w:cs="Arial" w:eastAsia="Arial" w:hAnsi="Arial"/>
          <w:color w:val="000000"/>
          <w:sz w:val="20"/>
          <w:szCs w:val="20"/>
        </w:rPr>
        <w:t xml:space="preserve">The legal precedents are increasingly favorable. In Roman Sterlingov (March 2024), the U.S. District Court ruled blockchain analytics reliable and admissible as substantive evidence. In March 2025, the Marseille Judicial Court recognized blockchain timestamps as legitimate evidence of prior existence and ownership in a copyright case---a landmark EU decision. Vermont and Arizona have enacted statutes recognizing blockchain-recorded data as business records. Nebraska explicitly recognizes blockchain-created contracts as electronic records under UETA.</w:t>
      </w:r>
    </w:p>
    <w:p>
      <w:pPr>
        <w:spacing w:after="80" w:before="80"/>
      </w:pPr>
      <w:r>
        <w:rPr>
          <w:rFonts w:ascii="Arial" w:cs="Arial" w:eastAsia="Arial" w:hAnsi="Arial"/>
          <w:color w:val="000000"/>
          <w:sz w:val="20"/>
          <w:szCs w:val="20"/>
        </w:rPr>
        <w:t xml:space="preserve">The ESIGN Act and UETA are technology-neutral: they define e-signatures broadly as any electronic sound, symbol, or process associated with a record. Bitcoin anchoring meets these requirements through immutable records, cryptographic security, and transparent verification. Under eIDAS (EU), blockchain timestamps compete with qualified timestamps for proof-of-existence---the European Blockchain Services Infrastructure (EBSI) is being developed for eIDAS compliance.</w:t>
      </w:r>
    </w:p>
    <w:p>
      <w:pPr>
        <w:spacing w:after="80" w:before="80"/>
      </w:pPr>
      <w:r>
        <w:rPr>
          <w:rFonts w:ascii="Arial" w:cs="Arial" w:eastAsia="Arial" w:hAnsi="Arial"/>
          <w:color w:val="000000"/>
          <w:sz w:val="20"/>
          <w:szCs w:val="20"/>
        </w:rPr>
        <w:t xml:space="preserve">5.4 Competitive Landscape</w:t>
      </w:r>
    </w:p>
    <w:p>
      <w:pPr>
        <w:spacing w:after="80" w:before="80"/>
      </w:pPr>
      <w:r>
        <w:rPr>
          <w:rFonts w:ascii="Arial" w:cs="Arial" w:eastAsia="Arial" w:hAnsi="Arial"/>
          <w:color w:val="000000"/>
          <w:sz w:val="20"/>
          <w:szCs w:val="20"/>
        </w:rPr>
        <w:t xml:space="preserve">Zoho Sign already integrates OpenTimestamps with Bitcoin blockchain for document timestamping. DoxyChain claims eIDAS, GDPR, and Durable Medium Directive compliance with blockchain-based e-signatures. OpenSig anchors proofs to Polygon (Ethereum L2). Namirial Sign and eSignly also offer blockchain integration. Industry-wide, blockchain e-signature adoption has grown 35% year-over-year.</w:t>
      </w:r>
    </w:p>
    <w:p>
      <w:pPr>
        <w:spacing w:after="80" w:before="80"/>
      </w:pPr>
      <w:r>
        <w:rPr>
          <w:rFonts w:ascii="Arial" w:cs="Arial" w:eastAsia="Arial" w:hAnsi="Arial"/>
          <w:color w:val="000000"/>
          <w:sz w:val="20"/>
          <w:szCs w:val="20"/>
        </w:rPr>
        <w:t xml:space="preserve">Most competitors use private or permissioned blockchains. Arkova's Bitcoin-only approach provides the strongest immutability guarantee (Bitcoin's hashrate and 15+ year track record). The verification API is agent-native via x402, enabling automated compliance checking at scale---no competitor offers this.</w:t>
      </w:r>
    </w:p>
    <w:p>
      <w:pPr>
        <w:spacing w:after="80" w:before="80"/>
      </w:pPr>
      <w:r>
        <w:rPr>
          <w:rFonts w:ascii="Arial" w:cs="Arial" w:eastAsia="Arial" w:hAnsi="Arial"/>
          <w:color w:val="000000"/>
          <w:sz w:val="20"/>
          <w:szCs w:val="20"/>
        </w:rPr>
        <w:t xml:space="preserve">5.5 Market Size</w:t>
      </w:r>
    </w:p>
    <w:p>
      <w:pPr>
        <w:spacing w:after="80" w:before="80"/>
      </w:pPr>
      <w:r>
        <w:rPr>
          <w:rFonts w:ascii="Arial" w:cs="Arial" w:eastAsia="Arial" w:hAnsi="Arial"/>
          <w:color w:val="000000"/>
          <w:sz w:val="20"/>
          <w:szCs w:val="20"/>
        </w:rPr>
        <w:t xml:space="preserve">The e-signature market is valued at $7.04--$14.7 billion (2025), growing at 28--40.5% CAGR to $24.5--$51.16 billion by 2030. Mobile-based signature transactions are projected at 75.44 billion in 2025. North America represents 32.48% of the market.</w:t>
      </w:r>
    </w:p>
    <w:p>
      <w:pPr>
        <w:spacing w:after="80" w:before="80"/>
      </w:pPr>
      <w:r>
        <w:rPr>
          <w:rFonts w:ascii="Arial" w:cs="Arial" w:eastAsia="Arial" w:hAnsi="Arial"/>
          <w:color w:val="000000"/>
          <w:sz w:val="20"/>
          <w:szCs w:val="20"/>
        </w:rPr>
        <w:t xml:space="preserve">5.6 Recommendation</w:t>
      </w:r>
    </w:p>
    <w:p>
      <w:pPr>
        <w:spacing w:after="80" w:before="80"/>
      </w:pPr>
      <w:r>
        <w:rPr>
          <w:rFonts w:ascii="Arial" w:cs="Arial" w:eastAsia="Arial" w:hAnsi="Arial"/>
          <w:color w:val="000000"/>
          <w:sz w:val="20"/>
          <w:szCs w:val="20"/>
        </w:rPr>
        <w:t xml:space="preserve">The per-document value is the highest of any approach (legal documents, contracts, agreements), but partnership development with DocuSign or Adobe is a 6--12 month process. Start with smaller platforms (Dropbox Sign, PandaDoc) as proof of concept, then pursue DocuSign partnership with traction data. The legal precedent trajectory is strongly favorable.</w:t>
      </w:r>
    </w:p>
    <w:p>
      <w:pPr>
        <w:spacing w:after="80" w:before="80"/>
      </w:pPr>
      <w:r>
        <w:rPr>
          <w:rFonts w:ascii="Arial" w:cs="Arial" w:eastAsia="Arial" w:hAnsi="Arial"/>
          <w:color w:val="000000"/>
          <w:sz w:val="20"/>
          <w:szCs w:val="20"/>
        </w:rPr>
        <w:t xml:space="preserve">6. Developer/OSS Supply Chain Integrity</w:t>
      </w:r>
    </w:p>
    <w:p>
      <w:pPr>
        <w:spacing w:after="80" w:before="80"/>
      </w:pPr>
      <w:r>
        <w:rPr>
          <w:rFonts w:ascii="Arial" w:cs="Arial" w:eastAsia="Arial" w:hAnsi="Arial"/>
          <w:color w:val="000000"/>
          <w:sz w:val="20"/>
          <w:szCs w:val="20"/>
        </w:rPr>
        <w:t xml:space="preserve">Software supply chain attacks have surged 742% since 2020. In September 2025, 18 popular npm packages (including chalk, debug, ansi-styles) with 2.6 billion weekly downloads were compromised. In November 2025, the Shai-Hulud 2.0 attack hit 796 packages with 20M+ weekly downloads. The market for supply chain security is $5.53 billion (2025), growing to $10.10 billion by 2030. Bitcoin-anchored verification of software artifacts addresses a real and growing pain point.</w:t>
      </w:r>
    </w:p>
    <w:p>
      <w:pPr>
        <w:spacing w:after="80" w:before="80"/>
      </w:pPr>
      <w:r>
        <w:rPr>
          <w:rFonts w:ascii="Arial" w:cs="Arial" w:eastAsia="Arial" w:hAnsi="Arial"/>
          <w:color w:val="000000"/>
          <w:sz w:val="20"/>
          <w:szCs w:val="20"/>
        </w:rPr>
        <w:t xml:space="preserve">6.1 How It Works with Arkova's Architecture</w:t>
      </w:r>
    </w:p>
    <w:p>
      <w:pPr>
        <w:spacing w:after="80" w:before="80"/>
      </w:pPr>
      <w:r>
        <w:rPr>
          <w:rFonts w:ascii="Arial" w:cs="Arial" w:eastAsia="Arial" w:hAnsi="Arial"/>
          <w:color w:val="000000"/>
          <w:sz w:val="20"/>
          <w:szCs w:val="20"/>
        </w:rPr>
        <w:t xml:space="preserve">The approach is to complement, not compete with, existing tools. Sigstore provides ephemeral signing. SLSA provides build provenance levels. in-toto provides attestation chains. Arkova adds an immutability layer: anchor Sigstore entries, SLSA provenance, SBOMs, git commits, and package hashes to Bitcoin. This creates proof that a specific software artifact existed in a specific state at a specific time, independently verifiable without trusting any single infrastructure operator.</w:t>
      </w:r>
    </w:p>
    <w:p>
      <w:pPr>
        <w:spacing w:after="80" w:before="80"/>
      </w:pPr>
      <w:r>
        <w:rPr>
          <w:rFonts w:ascii="Arial" w:cs="Arial" w:eastAsia="Arial" w:hAnsi="Arial"/>
          <w:color w:val="000000"/>
          <w:sz w:val="20"/>
          <w:szCs w:val="20"/>
        </w:rPr>
        <w:t xml:space="preserve">6.2 Integration with Existing Ecosystem</w:t>
      </w:r>
    </w:p>
    <w:p>
      <w:pPr>
        <w:spacing w:after="80" w:before="80"/>
      </w:pPr>
      <w:r>
        <w:rPr>
          <w:rFonts w:ascii="Arial" w:cs="Arial" w:eastAsia="Arial" w:hAnsi="Arial"/>
          <w:color w:val="000000"/>
          <w:sz w:val="20"/>
          <w:szCs w:val="20"/>
        </w:rPr>
        <w:t xml:space="preserve">Sigstore</w:t>
      </w:r>
    </w:p>
    <w:p>
      <w:pPr>
        <w:spacing w:after="80" w:before="80"/>
      </w:pPr>
      <w:r>
        <w:rPr>
          <w:rFonts w:ascii="Arial" w:cs="Arial" w:eastAsia="Arial" w:hAnsi="Arial"/>
          <w:color w:val="000000"/>
          <w:sz w:val="20"/>
          <w:szCs w:val="20"/>
        </w:rPr>
        <w:t xml:space="preserve">Sigstore has logged 2.2M+ signatures across critical infrastructure (Kubernetes, Distroless). Its Rekor transparency log is transitioning to a v2 tile-backed architecture. npm has 16,000+ packages publishing with Sigstore provenance (500M+ downloads). However, Rekor entries depend on hosted infrastructure---if Rekor's operator changes policies or goes offline, historical proofs are at risk. Bitcoin anchoring of Rekor entries provides permanence independent of infrastructure lifecycle.</w:t>
      </w:r>
    </w:p>
    <w:p>
      <w:pPr>
        <w:spacing w:after="80" w:before="80"/>
      </w:pPr>
      <w:r>
        <w:rPr>
          <w:rFonts w:ascii="Arial" w:cs="Arial" w:eastAsia="Arial" w:hAnsi="Arial"/>
          <w:color w:val="000000"/>
          <w:sz w:val="20"/>
          <w:szCs w:val="20"/>
        </w:rPr>
        <w:t xml:space="preserve">SLSA and in-toto</w:t>
      </w:r>
    </w:p>
    <w:p>
      <w:pPr>
        <w:spacing w:after="80" w:before="80"/>
      </w:pPr>
      <w:r>
        <w:rPr>
          <w:rFonts w:ascii="Arial" w:cs="Arial" w:eastAsia="Arial" w:hAnsi="Arial"/>
          <w:color w:val="000000"/>
          <w:sz w:val="20"/>
          <w:szCs w:val="20"/>
        </w:rPr>
        <w:t xml:space="preserve">SLSA defines four levels of supply chain security, from basic provenance (L1) to full hermeticity with two-person review (L4). Enterprise adoption is accelerating due to the EU Cyber Resilience Act and U.S. SSDF requirements. in-toto graduated to CNCF in April 2025, used by SolarWinds and Autodesk. Arkova can anchor SLSA provenance attestations and in-toto link metadata to Bitcoin, providing immutable compliance proof.</w:t>
      </w:r>
    </w:p>
    <w:p>
      <w:pPr>
        <w:spacing w:after="80" w:before="80"/>
      </w:pPr>
      <w:r>
        <w:rPr>
          <w:rFonts w:ascii="Arial" w:cs="Arial" w:eastAsia="Arial" w:hAnsi="Arial"/>
          <w:color w:val="000000"/>
          <w:sz w:val="20"/>
          <w:szCs w:val="20"/>
        </w:rPr>
        <w:t xml:space="preserve">SBOMs</w:t>
      </w:r>
    </w:p>
    <w:p>
      <w:pPr>
        <w:spacing w:after="80" w:before="80"/>
      </w:pPr>
      <w:r>
        <w:rPr>
          <w:rFonts w:ascii="Arial" w:cs="Arial" w:eastAsia="Arial" w:hAnsi="Arial"/>
          <w:color w:val="000000"/>
          <w:sz w:val="20"/>
          <w:szCs w:val="20"/>
        </w:rPr>
        <w:t xml:space="preserve">The SBOM market is $1.318 billion (2025), growing at 24% CAGR to $6.05 billion by 2030. 60--76% of enterprises now require SBOMs from suppliers. Executive Order 14028 mandates SBOMs for federal procurement. Both SPDX (ISO standard) and CycloneDX (ECMA standard) are supported. Bitcoin-anchored SBOMs provide immutable proof of regulatory compliance at release time.</w:t>
      </w:r>
    </w:p>
    <w:p>
      <w:pPr>
        <w:spacing w:after="80" w:before="80"/>
      </w:pPr>
      <w:r>
        <w:rPr>
          <w:rFonts w:ascii="Arial" w:cs="Arial" w:eastAsia="Arial" w:hAnsi="Arial"/>
          <w:color w:val="000000"/>
          <w:sz w:val="20"/>
          <w:szCs w:val="20"/>
        </w:rPr>
        <w:t xml:space="preserve">6.3 Technical Implementation</w:t>
      </w:r>
    </w:p>
    <w:p>
      <w:pPr>
        <w:pStyle w:val="ListParagraph"/>
        <w:numPr>
          <w:ilvl w:val="0"/>
          <w:numId w:val="2"/>
        </w:numPr>
        <w:spacing w:after="60" w:before="60"/>
      </w:pPr>
      <w:r>
        <w:rPr>
          <w:rFonts w:ascii="Arial" w:cs="Arial" w:eastAsia="Arial" w:hAnsi="Arial"/>
          <w:b/>
          <w:bCs/>
          <w:color w:val="000000"/>
          <w:sz w:val="20"/>
          <w:szCs w:val="20"/>
        </w:rPr>
        <w:t xml:space="preserve">GitHub Action:</w:t>
      </w:r>
      <w:r>
        <w:rPr>
          <w:rFonts w:ascii="Arial" w:cs="Arial" w:eastAsia="Arial" w:hAnsi="Arial"/>
          <w:color w:val="000000"/>
          <w:sz w:val="20"/>
          <w:szCs w:val="20"/>
        </w:rPr>
        <w:t xml:space="preserve"> Build a GitHub Action that anchors build artifacts, SLSA provenance, and SBOMs to Bitcoin after every CI/CD run. Target: GitHub Actions marketplace (20,000+ Actions, 5M+ daily workflow runs, 33% developer adoption).</w:t>
      </w:r>
    </w:p>
    <w:p>
      <w:pPr>
        <w:pStyle w:val="ListParagraph"/>
        <w:numPr>
          <w:ilvl w:val="0"/>
          <w:numId w:val="2"/>
        </w:numPr>
        <w:spacing w:after="60" w:before="60"/>
      </w:pPr>
      <w:r>
        <w:rPr>
          <w:rFonts w:ascii="Arial" w:cs="Arial" w:eastAsia="Arial" w:hAnsi="Arial"/>
          <w:b/>
          <w:bCs/>
          <w:color w:val="000000"/>
          <w:sz w:val="20"/>
          <w:szCs w:val="20"/>
        </w:rPr>
        <w:t xml:space="preserve">npm Hook:</w:t>
      </w:r>
      <w:r>
        <w:rPr>
          <w:rFonts w:ascii="Arial" w:cs="Arial" w:eastAsia="Arial" w:hAnsi="Arial"/>
          <w:color w:val="000000"/>
          <w:sz w:val="20"/>
          <w:szCs w:val="20"/>
        </w:rPr>
        <w:t xml:space="preserve"> Post-publish hook that automatically anchors package hashes. Targets npm's 746K+ packages.</w:t>
      </w:r>
    </w:p>
    <w:p>
      <w:pPr>
        <w:pStyle w:val="ListParagraph"/>
        <w:numPr>
          <w:ilvl w:val="0"/>
          <w:numId w:val="2"/>
        </w:numPr>
        <w:spacing w:after="60" w:before="60"/>
      </w:pPr>
      <w:r>
        <w:rPr>
          <w:rFonts w:ascii="Arial" w:cs="Arial" w:eastAsia="Arial" w:hAnsi="Arial"/>
          <w:b/>
          <w:bCs/>
          <w:color w:val="000000"/>
          <w:sz w:val="20"/>
          <w:szCs w:val="20"/>
        </w:rPr>
        <w:t xml:space="preserve">Docker Integration:</w:t>
      </w:r>
      <w:r>
        <w:rPr>
          <w:rFonts w:ascii="Arial" w:cs="Arial" w:eastAsia="Arial" w:hAnsi="Arial"/>
          <w:color w:val="000000"/>
          <w:sz w:val="20"/>
          <w:szCs w:val="20"/>
        </w:rPr>
        <w:t xml:space="preserve"> Anchor image digests at build/push time. Docker Content Trust was deprecated March 2025---the Notary Project is the successor, and Arkova can complement it.</w:t>
      </w:r>
    </w:p>
    <w:p>
      <w:pPr>
        <w:pStyle w:val="ListParagraph"/>
        <w:numPr>
          <w:ilvl w:val="0"/>
          <w:numId w:val="2"/>
        </w:numPr>
        <w:spacing w:after="60" w:before="60"/>
      </w:pPr>
      <w:r>
        <w:rPr>
          <w:rFonts w:ascii="Arial" w:cs="Arial" w:eastAsia="Arial" w:hAnsi="Arial"/>
          <w:b/>
          <w:bCs/>
          <w:color w:val="000000"/>
          <w:sz w:val="20"/>
          <w:szCs w:val="20"/>
        </w:rPr>
        <w:t xml:space="preserve">Git Signing:</w:t>
      </w:r>
      <w:r>
        <w:rPr>
          <w:rFonts w:ascii="Arial" w:cs="Arial" w:eastAsia="Arial" w:hAnsi="Arial"/>
          <w:color w:val="000000"/>
          <w:sz w:val="20"/>
          <w:szCs w:val="20"/>
        </w:rPr>
        <w:t xml:space="preserve"> Only 9.65% of GitHub commits are signed. Arkova could offer a lightweight alternative: anchor commit hashes to Bitcoin without requiring GPG/SSH key management.</w:t>
      </w:r>
    </w:p>
    <w:p>
      <w:pPr>
        <w:spacing w:after="80" w:before="80"/>
      </w:pPr>
      <w:r>
        <w:rPr>
          <w:rFonts w:ascii="Arial" w:cs="Arial" w:eastAsia="Arial" w:hAnsi="Arial"/>
          <w:color w:val="000000"/>
          <w:sz w:val="20"/>
          <w:szCs w:val="20"/>
        </w:rPr>
        <w:t xml:space="preserve">6.4 Go-to-Market: Free Tier as Community Building</w:t>
      </w:r>
    </w:p>
    <w:p>
      <w:pPr>
        <w:spacing w:after="80" w:before="80"/>
      </w:pPr>
      <w:r>
        <w:rPr>
          <w:rFonts w:ascii="Arial" w:cs="Arial" w:eastAsia="Arial" w:hAnsi="Arial"/>
          <w:color w:val="000000"/>
          <w:sz w:val="20"/>
          <w:szCs w:val="20"/>
        </w:rPr>
        <w:t xml:space="preserve">Offer free anchoring for open-source projects (verified by GitHub repository visibility). This builds the corpus, creates developer goodwill, and generates word-of-mouth. Monetize through (a) paid tiers for private repositories, (b) enterprise verification API access, and (c) compliance reporting for SBOM verification.</w:t>
      </w:r>
    </w:p>
    <w:p>
      <w:pPr>
        <w:spacing w:after="80" w:before="80"/>
      </w:pPr>
      <w:r>
        <w:rPr>
          <w:rFonts w:ascii="Arial" w:cs="Arial" w:eastAsia="Arial" w:hAnsi="Arial"/>
          <w:color w:val="000000"/>
          <w:sz w:val="20"/>
          <w:szCs w:val="20"/>
        </w:rPr>
        <w:t xml:space="preserve">6.5 Recommendation</w:t>
      </w:r>
    </w:p>
    <w:p>
      <w:pPr>
        <w:spacing w:after="80" w:before="80"/>
      </w:pPr>
      <w:r>
        <w:rPr>
          <w:rFonts w:ascii="Arial" w:cs="Arial" w:eastAsia="Arial" w:hAnsi="Arial"/>
          <w:color w:val="000000"/>
          <w:sz w:val="20"/>
          <w:szCs w:val="20"/>
        </w:rPr>
        <w:t xml:space="preserve">The supply chain security market is large, growing, and pain-driven (real attacks, regulatory mandates). A GitHub Action is a low-effort, high-distribution mechanism. The free tier for OSS projects builds corpus and community simultaneously. Start with the GitHub Action after the SDK (Priority 2) is ready.</w:t>
      </w:r>
    </w:p>
    <w:p>
      <w:pPr>
        <w:spacing w:after="80" w:before="80"/>
      </w:pPr>
      <w:r>
        <w:rPr>
          <w:rFonts w:ascii="Arial" w:cs="Arial" w:eastAsia="Arial" w:hAnsi="Arial"/>
          <w:color w:val="000000"/>
          <w:sz w:val="20"/>
          <w:szCs w:val="20"/>
        </w:rPr>
        <w:t xml:space="preserve">7. News/Media Verification</w:t>
      </w:r>
    </w:p>
    <w:p>
      <w:pPr>
        <w:spacing w:after="80" w:before="80"/>
      </w:pPr>
      <w:r>
        <w:rPr>
          <w:rFonts w:ascii="Arial" w:cs="Arial" w:eastAsia="Arial" w:hAnsi="Arial"/>
          <w:color w:val="000000"/>
          <w:sz w:val="20"/>
          <w:szCs w:val="20"/>
        </w:rPr>
        <w:t xml:space="preserve">The deepfake crisis is accelerating: deepfake content surged from 500,000 files (2023) to 8 million (2025)---a 1,600% increase. Europol estimates 90% of online content may be synthetically generated by 2026. The content verification market is valued at $1.63 billion (2025), projected to reach $5.12 billion by 2030 at 25.6% CAGR. Bitcoin-anchored news verification addresses an acute and growing societal need.</w:t>
      </w:r>
    </w:p>
    <w:p>
      <w:pPr>
        <w:spacing w:after="80" w:before="80"/>
      </w:pPr>
      <w:r>
        <w:rPr>
          <w:rFonts w:ascii="Arial" w:cs="Arial" w:eastAsia="Arial" w:hAnsi="Arial"/>
          <w:color w:val="000000"/>
          <w:sz w:val="20"/>
          <w:szCs w:val="20"/>
        </w:rPr>
        <w:t xml:space="preserve">7.1 How It Works with Arkova's Architecture</w:t>
      </w:r>
    </w:p>
    <w:p>
      <w:pPr>
        <w:spacing w:after="80" w:before="80"/>
      </w:pPr>
      <w:r>
        <w:rPr>
          <w:rFonts w:ascii="Arial" w:cs="Arial" w:eastAsia="Arial" w:hAnsi="Arial"/>
          <w:color w:val="000000"/>
          <w:sz w:val="20"/>
          <w:szCs w:val="20"/>
        </w:rPr>
        <w:t xml:space="preserve">The flow: (1) News organization publishes an article via their CMS (WordPress, Drupal, or custom). (2) A CMS plugin generates a C2PA manifest containing article metadata (IPTC standards: headline, byline, dateline, etc.). (3) Arkova fingerprints the C2PA manifest and anchors to Bitcoin. (4) The article is published with both the C2PA manifest and the Bitcoin anchor proof. (5) Fact-checkers, social platforms, or AI training pipelines can verify article authenticity via Arkova's API: confirm this article existed in this exact form at time X per Bitcoin block Y.</w:t>
      </w:r>
    </w:p>
    <w:p>
      <w:pPr>
        <w:spacing w:after="80" w:before="80"/>
      </w:pPr>
      <w:r>
        <w:rPr>
          <w:rFonts w:ascii="Arial" w:cs="Arial" w:eastAsia="Arial" w:hAnsi="Arial"/>
          <w:color w:val="000000"/>
          <w:sz w:val="20"/>
          <w:szCs w:val="20"/>
        </w:rPr>
        <w:t xml:space="preserve">7.2 C2PA Integration</w:t>
      </w:r>
    </w:p>
    <w:p>
      <w:pPr>
        <w:spacing w:after="80" w:before="80"/>
      </w:pPr>
      <w:r>
        <w:rPr>
          <w:rFonts w:ascii="Arial" w:cs="Arial" w:eastAsia="Arial" w:hAnsi="Arial"/>
          <w:color w:val="000000"/>
          <w:sz w:val="20"/>
          <w:szCs w:val="20"/>
        </w:rPr>
        <w:t xml:space="preserve">C2PA (version 2.2, released May 2025) is the open standard for content provenance. The steering committee includes Adobe, Amazon, BBC, Google, Meta, Microsoft, OpenAI, and Sony. The Content Authenticity Initiative (CAI) has grown to 6,000+ members. However, actual deployment on news content remains minimal despite institutional commitment. Technical integration is ready: WordPress has an IPTC-developed C2PA plugin (2025), and Drupal has a C2PA Sign module supporting signing on upload and publication.</w:t>
      </w:r>
    </w:p>
    <w:p>
      <w:pPr>
        <w:spacing w:after="80" w:before="80"/>
      </w:pPr>
      <w:r>
        <w:rPr>
          <w:rFonts w:ascii="Arial" w:cs="Arial" w:eastAsia="Arial" w:hAnsi="Arial"/>
          <w:color w:val="000000"/>
          <w:sz w:val="20"/>
          <w:szCs w:val="20"/>
        </w:rPr>
        <w:t xml:space="preserve">C2PA provides provenance metadata with fast offline verification. Bitcoin provides immutable public timestamping with independent verification. The combination is powerful: C2PA for speed and interoperability, Bitcoin for trust and permanence. Arkova bridges the two.</w:t>
      </w:r>
    </w:p>
    <w:p>
      <w:pPr>
        <w:spacing w:after="80" w:before="80"/>
      </w:pPr>
      <w:r>
        <w:rPr>
          <w:rFonts w:ascii="Arial" w:cs="Arial" w:eastAsia="Arial" w:hAnsi="Arial"/>
          <w:color w:val="000000"/>
          <w:sz w:val="20"/>
          <w:szCs w:val="20"/>
        </w:rPr>
        <w:t xml:space="preserve">7.3 News Organization Initiatives</w:t>
      </w:r>
    </w:p>
    <w:p>
      <w:pPr>
        <w:spacing w:after="80" w:before="80"/>
      </w:pPr>
      <w:r>
        <w:rPr>
          <w:rFonts w:ascii="Arial" w:cs="Arial" w:eastAsia="Arial" w:hAnsi="Arial"/>
          <w:color w:val="000000"/>
          <w:sz w:val="20"/>
          <w:szCs w:val="20"/>
        </w:rPr>
        <w:t xml:space="preserve">The Associated Press partnered with blockchain startup Civil in 2018 for content licensing tracking. The New York Times' News Provenance Project built a blockchain prototype for photo verification, storing metadata on-chain. Reuters runs a fact-checking team (IFCN signatory) focused on multimedia manipulation detection. The News/Media Alliance has released AI Principles and an AI Licensing Program with 50% revenue share models. Industry context: 50--70% of published content is republished without credit or compensation.</w:t>
      </w:r>
    </w:p>
    <w:p>
      <w:pPr>
        <w:spacing w:after="80" w:before="80"/>
      </w:pPr>
      <w:r>
        <w:rPr>
          <w:rFonts w:ascii="Arial" w:cs="Arial" w:eastAsia="Arial" w:hAnsi="Arial"/>
          <w:color w:val="000000"/>
          <w:sz w:val="20"/>
          <w:szCs w:val="20"/>
        </w:rPr>
        <w:t xml:space="preserve">7.4 Regulatory Tailwinds</w:t>
      </w:r>
    </w:p>
    <w:p>
      <w:pPr>
        <w:spacing w:after="80" w:before="80"/>
      </w:pPr>
      <w:r>
        <w:rPr>
          <w:rFonts w:ascii="Arial" w:cs="Arial" w:eastAsia="Arial" w:hAnsi="Arial"/>
          <w:color w:val="000000"/>
          <w:sz w:val="20"/>
          <w:szCs w:val="20"/>
        </w:rPr>
        <w:t xml:space="preserve">The EU AI Act (effective August 2026) requires providers of AI-generated content to disclose this fact, implement machine-readable marking, and provide free detection mechanisms. California's AI Transparency Act (SB 942, effective August 2026) mandates disclosure for AI systems with 1M+ monthly visitors, with penalties of $5,000 per violation per day. 12+ U.S. states have enacted political content AI disclosure requirements. These regulations create direct demand for content provenance infrastructure.</w:t>
      </w:r>
    </w:p>
    <w:p>
      <w:pPr>
        <w:spacing w:after="80" w:before="80"/>
      </w:pPr>
      <w:r>
        <w:rPr>
          <w:rFonts w:ascii="Arial" w:cs="Arial" w:eastAsia="Arial" w:hAnsi="Arial"/>
          <w:color w:val="000000"/>
          <w:sz w:val="20"/>
          <w:szCs w:val="20"/>
        </w:rPr>
        <w:t xml:space="preserve">7.5 Cost and Revenue Model</w:t>
      </w:r>
    </w:p>
    <w:p>
      <w:pPr>
        <w:spacing w:after="80" w:before="80"/>
      </w:pPr>
      <w:r>
        <w:rPr>
          <w:rFonts w:ascii="Arial" w:cs="Arial" w:eastAsia="Arial" w:hAnsi="Arial"/>
          <w:color w:val="000000"/>
          <w:sz w:val="20"/>
          <w:szCs w:val="20"/>
        </w:rPr>
        <w:t xml:space="preserve">Partnership development is the primary cost---technical integration is lightweight (CMS plugin + Arkova SDK). Revenue streams: (a) Verification API calls from fact-checkers and social platforms ($0.002--$0.01/call), (b) Premium API tier for AI training pipeline verification (proving training data provenance), (c) Enterprise contracts with news organizations for branded verification badges. The deepfake crisis creates urgency: $1.1 billion in U.S. deepfake fraud losses in 2025, tripled from 2024.</w:t>
      </w:r>
    </w:p>
    <w:p>
      <w:pPr>
        <w:spacing w:after="80" w:before="80"/>
      </w:pPr>
      <w:r>
        <w:rPr>
          <w:rFonts w:ascii="Arial" w:cs="Arial" w:eastAsia="Arial" w:hAnsi="Arial"/>
          <w:color w:val="000000"/>
          <w:sz w:val="20"/>
          <w:szCs w:val="20"/>
        </w:rPr>
        <w:t xml:space="preserve">7.6 Recommendation</w:t>
      </w:r>
    </w:p>
    <w:p>
      <w:pPr>
        <w:spacing w:after="80" w:before="80"/>
      </w:pPr>
      <w:r>
        <w:rPr>
          <w:rFonts w:ascii="Arial" w:cs="Arial" w:eastAsia="Arial" w:hAnsi="Arial"/>
          <w:color w:val="000000"/>
          <w:sz w:val="20"/>
          <w:szCs w:val="20"/>
        </w:rPr>
        <w:t xml:space="preserve">The strategic value is enormous---content provenance is becoming a societal imperative. But news organization partnerships are slow and require trust-building. Start by anchoring RSS feeds of major news sites (no partnership required) to build a proof-of-concept corpus. Then approach individual news organizations with traction data. The C2PA integration is technically ready; the bottleneck is partnership development.</w:t>
      </w:r>
    </w:p>
    <w:p>
      <w:pPr>
        <w:spacing w:after="80" w:before="80"/>
      </w:pPr>
      <w:r>
        <w:rPr>
          <w:rFonts w:ascii="Arial" w:cs="Arial" w:eastAsia="Arial" w:hAnsi="Arial"/>
          <w:color w:val="000000"/>
          <w:sz w:val="20"/>
          <w:szCs w:val="20"/>
        </w:rPr>
        <w:t xml:space="preserve">8. Comparative Analysis</w:t>
      </w:r>
    </w:p>
    <w:p>
      <w:pPr>
        <w:spacing w:after="80" w:before="80"/>
      </w:pPr>
      <w:r>
        <w:rPr>
          <w:rFonts w:ascii="Arial" w:cs="Arial" w:eastAsia="Arial" w:hAnsi="Arial"/>
          <w:color w:val="000000"/>
          <w:sz w:val="20"/>
          <w:szCs w:val="20"/>
        </w:rPr>
        <w:t xml:space="preserve">8.1 Side-by-Side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**Dimension**</w:t>
            </w:r>
          </w:p>
        </w:tc>
        <w:tc>
          <w:tcPr>
            <w:tcW w:type="dxa" w:w="117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**Public Records**</w:t>
            </w:r>
          </w:p>
        </w:tc>
        <w:tc>
          <w:tcPr>
            <w:tcW w:type="dxa" w:w="117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**Web Archive**</w:t>
            </w:r>
          </w:p>
        </w:tc>
        <w:tc>
          <w:tcPr>
            <w:tcW w:type="dxa" w:w="117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**Open Data**</w:t>
            </w:r>
          </w:p>
        </w:tc>
        <w:tc>
          <w:tcPr>
            <w:tcW w:type="dxa" w:w="117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**Agent Anchoring**</w:t>
            </w:r>
          </w:p>
        </w:tc>
        <w:tc>
          <w:tcPr>
            <w:tcW w:type="dxa" w:w="117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**E-Signature**</w:t>
            </w:r>
          </w:p>
        </w:tc>
        <w:tc>
          <w:tcPr>
            <w:tcW w:type="dxa" w:w="117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**Dev/OSS**</w:t>
            </w:r>
          </w:p>
        </w:tc>
        <w:tc>
          <w:tcPr>
            <w:tcW w:type="dxa" w:w="117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**News/Media**</w:t>
            </w:r>
          </w:p>
        </w:tc>
      </w:tr>
      <w:tr>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Time to 1M docs</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90 days</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6 months</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30 days*</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12+ months</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12+ months</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12+ months</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12+ months</w:t>
            </w:r>
          </w:p>
        </w:tc>
      </w:tr>
      <w:tr>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Engineering effort</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2--4 weeks</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6--8 weeks</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2--3 weeks</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8--12 weeks</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4--6 weeks</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4--6 weeks</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4--6 weeks</w:t>
            </w:r>
          </w:p>
        </w:tc>
      </w:tr>
      <w:tr>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Monthly opex</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$150--400</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$300--800</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$300--800</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$300--1,000</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$200--500</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$200--500</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$200--500</w:t>
            </w:r>
          </w:p>
        </w:tc>
      </w:tr>
      <w:tr>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Legal risk</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None</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Low--Medium</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None</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None</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Low</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None</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Low</w:t>
            </w:r>
          </w:p>
        </w:tc>
      </w:tr>
      <w:tr>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Partnership needed</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Helpful</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Helpful</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Required</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Helpful</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Required</w:t>
            </w:r>
          </w:p>
        </w:tc>
      </w:tr>
      <w:tr>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Verification value/doc</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Low</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Medium</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Medium</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High</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Very High</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Medium</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High</w:t>
            </w:r>
          </w:p>
        </w:tc>
      </w:tr>
      <w:tr>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Network effects</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Weak</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Weak</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Medium</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Strong</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Medium</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Strong</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Medium</w:t>
            </w:r>
          </w:p>
        </w:tc>
      </w:tr>
      <w:tr>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Strategic moat</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Corpus size</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Coverage</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Credibility</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Flywheel</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Partnerships</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Community</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Trust</w:t>
            </w:r>
          </w:p>
        </w:tc>
      </w:tr>
    </w:tbl>
    <w:p>
      <w:pPr>
        <w:spacing w:after="80" w:before="80"/>
      </w:pPr>
      <w:r>
        <w:rPr>
          <w:rFonts w:ascii="Arial" w:cs="Arial" w:eastAsia="Arial" w:hAnsi="Arial"/>
          <w:color w:val="000000"/>
          <w:sz w:val="20"/>
          <w:szCs w:val="20"/>
        </w:rPr>
        <w:t xml:space="preserve">*Open Data reaches 1M by metadata-only anchoring of existing academic databases. Full-text anchoring takes longer.</w:t>
      </w:r>
    </w:p>
    <w:p>
      <w:pPr>
        <w:spacing w:after="80" w:before="80"/>
      </w:pPr>
      <w:r>
        <w:rPr>
          <w:rFonts w:ascii="Arial" w:cs="Arial" w:eastAsia="Arial" w:hAnsi="Arial"/>
          <w:color w:val="000000"/>
          <w:sz w:val="20"/>
          <w:szCs w:val="20"/>
        </w:rPr>
        <w:t xml:space="preserve">8.2 Recommended Phasing</w:t>
      </w:r>
    </w:p>
    <w:p>
      <w:pPr>
        <w:spacing w:after="80" w:before="80"/>
      </w:pPr>
      <w:r>
        <w:rPr>
          <w:rFonts w:ascii="Arial" w:cs="Arial" w:eastAsia="Arial" w:hAnsi="Arial"/>
          <w:color w:val="000000"/>
          <w:sz w:val="20"/>
          <w:szCs w:val="20"/>
        </w:rPr>
        <w:t xml:space="preserve">Wave 1: Months 1--3 (Foundation)</w:t>
      </w:r>
    </w:p>
    <w:p>
      <w:pPr>
        <w:pStyle w:val="ListParagraph"/>
        <w:numPr>
          <w:ilvl w:val="0"/>
          <w:numId w:val="2"/>
        </w:numPr>
        <w:spacing w:after="60" w:before="60"/>
      </w:pPr>
      <w:r>
        <w:rPr>
          <w:rFonts w:ascii="Arial" w:cs="Arial" w:eastAsia="Arial" w:hAnsi="Arial"/>
          <w:b/>
          <w:bCs/>
          <w:color w:val="000000"/>
          <w:sz w:val="20"/>
          <w:szCs w:val="20"/>
        </w:rPr>
        <w:t xml:space="preserve">Public Records Anchoring:</w:t>
      </w:r>
      <w:r>
        <w:rPr>
          <w:rFonts w:ascii="Arial" w:cs="Arial" w:eastAsia="Arial" w:hAnsi="Arial"/>
          <w:color w:val="000000"/>
          <w:sz w:val="20"/>
          <w:szCs w:val="20"/>
        </w:rPr>
        <w:t xml:space="preserve"> Immediate start. EDGAR + USPTO + Federal Register. Target: 1M documents in 90 days. Cost: $150--400/month.</w:t>
      </w:r>
    </w:p>
    <w:p>
      <w:pPr>
        <w:pStyle w:val="ListParagraph"/>
        <w:numPr>
          <w:ilvl w:val="0"/>
          <w:numId w:val="2"/>
        </w:numPr>
        <w:spacing w:after="60" w:before="60"/>
      </w:pPr>
      <w:r>
        <w:rPr>
          <w:rFonts w:ascii="Arial" w:cs="Arial" w:eastAsia="Arial" w:hAnsi="Arial"/>
          <w:b/>
          <w:bCs/>
          <w:color w:val="000000"/>
          <w:sz w:val="20"/>
          <w:szCs w:val="20"/>
        </w:rPr>
        <w:t xml:space="preserve">Agent-Initiated Anchoring SDK:</w:t>
      </w:r>
      <w:r>
        <w:rPr>
          <w:rFonts w:ascii="Arial" w:cs="Arial" w:eastAsia="Arial" w:hAnsi="Arial"/>
          <w:color w:val="000000"/>
          <w:sz w:val="20"/>
          <w:szCs w:val="20"/>
        </w:rPr>
        <w:t xml:space="preserve"> Parallel build. Python + TypeScript SDK with x402 integration. Ship to early adopter agents by month 3.</w:t>
      </w:r>
    </w:p>
    <w:p>
      <w:pPr>
        <w:spacing w:after="80" w:before="80"/>
      </w:pPr>
      <w:r>
        <w:rPr>
          <w:rFonts w:ascii="Arial" w:cs="Arial" w:eastAsia="Arial" w:hAnsi="Arial"/>
          <w:color w:val="000000"/>
          <w:sz w:val="20"/>
          <w:szCs w:val="20"/>
        </w:rPr>
        <w:t xml:space="preserve">Wave 2: Months 3--6 (Expansion)</w:t>
      </w:r>
    </w:p>
    <w:p>
      <w:pPr>
        <w:pStyle w:val="ListParagraph"/>
        <w:numPr>
          <w:ilvl w:val="0"/>
          <w:numId w:val="2"/>
        </w:numPr>
        <w:spacing w:after="60" w:before="60"/>
      </w:pPr>
      <w:r>
        <w:rPr>
          <w:rFonts w:ascii="Arial" w:cs="Arial" w:eastAsia="Arial" w:hAnsi="Arial"/>
          <w:b/>
          <w:bCs/>
          <w:color w:val="000000"/>
          <w:sz w:val="20"/>
          <w:szCs w:val="20"/>
        </w:rPr>
        <w:t xml:space="preserve">Open Data Partnerships:</w:t>
      </w:r>
      <w:r>
        <w:rPr>
          <w:rFonts w:ascii="Arial" w:cs="Arial" w:eastAsia="Arial" w:hAnsi="Arial"/>
          <w:color w:val="000000"/>
          <w:sz w:val="20"/>
          <w:szCs w:val="20"/>
        </w:rPr>
        <w:t xml:space="preserve"> Bulk-download OpenAlex (no partnership needed). Initiate Crossref partnership discussions. Target: 500M metadata records.</w:t>
      </w:r>
    </w:p>
    <w:p>
      <w:pPr>
        <w:pStyle w:val="ListParagraph"/>
        <w:numPr>
          <w:ilvl w:val="0"/>
          <w:numId w:val="2"/>
        </w:numPr>
        <w:spacing w:after="60" w:before="60"/>
      </w:pPr>
      <w:r>
        <w:rPr>
          <w:rFonts w:ascii="Arial" w:cs="Arial" w:eastAsia="Arial" w:hAnsi="Arial"/>
          <w:b/>
          <w:bCs/>
          <w:color w:val="000000"/>
          <w:sz w:val="20"/>
          <w:szCs w:val="20"/>
        </w:rPr>
        <w:t xml:space="preserve">Developer/OSS Supply Chain:</w:t>
      </w:r>
      <w:r>
        <w:rPr>
          <w:rFonts w:ascii="Arial" w:cs="Arial" w:eastAsia="Arial" w:hAnsi="Arial"/>
          <w:color w:val="000000"/>
          <w:sz w:val="20"/>
          <w:szCs w:val="20"/>
        </w:rPr>
        <w:t xml:space="preserve"> GitHub Action for build artifact anchoring. Free tier for OSS. Target: 1,000+ repositories.</w:t>
      </w:r>
    </w:p>
    <w:p>
      <w:pPr>
        <w:spacing w:after="80" w:before="80"/>
      </w:pPr>
      <w:r>
        <w:rPr>
          <w:rFonts w:ascii="Arial" w:cs="Arial" w:eastAsia="Arial" w:hAnsi="Arial"/>
          <w:color w:val="000000"/>
          <w:sz w:val="20"/>
          <w:szCs w:val="20"/>
        </w:rPr>
        <w:t xml:space="preserve">Wave 3: Months 6--12 (Partnership-Driven)</w:t>
      </w:r>
    </w:p>
    <w:p>
      <w:pPr>
        <w:pStyle w:val="ListParagraph"/>
        <w:numPr>
          <w:ilvl w:val="0"/>
          <w:numId w:val="2"/>
        </w:numPr>
        <w:spacing w:after="60" w:before="60"/>
      </w:pPr>
      <w:r>
        <w:rPr>
          <w:rFonts w:ascii="Arial" w:cs="Arial" w:eastAsia="Arial" w:hAnsi="Arial"/>
          <w:b/>
          <w:bCs/>
          <w:color w:val="000000"/>
          <w:sz w:val="20"/>
          <w:szCs w:val="20"/>
        </w:rPr>
        <w:t xml:space="preserve">E-Signature Integration:</w:t>
      </w:r>
      <w:r>
        <w:rPr>
          <w:rFonts w:ascii="Arial" w:cs="Arial" w:eastAsia="Arial" w:hAnsi="Arial"/>
          <w:color w:val="000000"/>
          <w:sz w:val="20"/>
          <w:szCs w:val="20"/>
        </w:rPr>
        <w:t xml:space="preserve"> Start with Dropbox Sign/PandaDoc POC. Pursue DocuSign ISV partnership with traction data.</w:t>
      </w:r>
    </w:p>
    <w:p>
      <w:pPr>
        <w:pStyle w:val="ListParagraph"/>
        <w:numPr>
          <w:ilvl w:val="0"/>
          <w:numId w:val="2"/>
        </w:numPr>
        <w:spacing w:after="60" w:before="60"/>
      </w:pPr>
      <w:r>
        <w:rPr>
          <w:rFonts w:ascii="Arial" w:cs="Arial" w:eastAsia="Arial" w:hAnsi="Arial"/>
          <w:b/>
          <w:bCs/>
          <w:color w:val="000000"/>
          <w:sz w:val="20"/>
          <w:szCs w:val="20"/>
        </w:rPr>
        <w:t xml:space="preserve">News/Media Verification:</w:t>
      </w:r>
      <w:r>
        <w:rPr>
          <w:rFonts w:ascii="Arial" w:cs="Arial" w:eastAsia="Arial" w:hAnsi="Arial"/>
          <w:color w:val="000000"/>
          <w:sz w:val="20"/>
          <w:szCs w:val="20"/>
        </w:rPr>
        <w:t xml:space="preserve"> Begin with RSS-based proof-of-concept. Pursue C2PA integration and news organization partnerships.</w:t>
      </w:r>
    </w:p>
    <w:p>
      <w:pPr>
        <w:pStyle w:val="ListParagraph"/>
        <w:numPr>
          <w:ilvl w:val="0"/>
          <w:numId w:val="2"/>
        </w:numPr>
        <w:spacing w:after="60" w:before="60"/>
      </w:pPr>
      <w:r>
        <w:rPr>
          <w:rFonts w:ascii="Arial" w:cs="Arial" w:eastAsia="Arial" w:hAnsi="Arial"/>
          <w:b/>
          <w:bCs/>
          <w:color w:val="000000"/>
          <w:sz w:val="20"/>
          <w:szCs w:val="20"/>
        </w:rPr>
        <w:t xml:space="preserve">Web Archiving:</w:t>
      </w:r>
      <w:r>
        <w:rPr>
          <w:rFonts w:ascii="Arial" w:cs="Arial" w:eastAsia="Arial" w:hAnsi="Arial"/>
          <w:color w:val="000000"/>
          <w:sz w:val="20"/>
          <w:szCs w:val="20"/>
        </w:rPr>
        <w:t xml:space="preserve"> Background capability throughout. Solve DOM canonicalization. Deploy for legal/compliance use cases.</w:t>
      </w:r>
    </w:p>
    <w:p>
      <w:pPr>
        <w:spacing w:after="80" w:before="80"/>
      </w:pPr>
      <w:r>
        <w:rPr>
          <w:rFonts w:ascii="Arial" w:cs="Arial" w:eastAsia="Arial" w:hAnsi="Arial"/>
          <w:color w:val="000000"/>
          <w:sz w:val="20"/>
          <w:szCs w:val="20"/>
        </w:rPr>
        <w:t xml:space="preserve">9. Combined Financial Model</w:t>
      </w:r>
    </w:p>
    <w:p>
      <w:pPr>
        <w:spacing w:after="80" w:before="80"/>
      </w:pPr>
      <w:r>
        <w:rPr>
          <w:rFonts w:ascii="Arial" w:cs="Arial" w:eastAsia="Arial" w:hAnsi="Arial"/>
          <w:color w:val="000000"/>
          <w:sz w:val="20"/>
          <w:szCs w:val="20"/>
        </w:rPr>
        <w:t xml:space="preserve">9.1 Cost to Build Corpus (12-Month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**Quarter**</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**Anchoring Costs**</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**Infrastructure**</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**Total Monthly**</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**Cumulative Corpus Size**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Q1 (Mo 1--3)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$200/mo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$300/mo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$500/mo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1.5M documents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Q2 (Mo 4--6)</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$500/mo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$600/mo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$1,100/mo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5M documents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Q3 (Mo 7--9)</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$800/mo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$800/mo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$1,600/mo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8M documents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Q4 (Mo 10--12)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$1,000/mo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$1,000/mo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$2,000/mo</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12M+ documents</w:t>
            </w:r>
          </w:p>
        </w:tc>
      </w:tr>
    </w:tbl>
    <w:p>
      <w:pPr>
        <w:spacing w:after="80" w:before="80"/>
      </w:pPr>
      <w:r>
        <w:rPr>
          <w:rFonts w:ascii="Arial" w:cs="Arial" w:eastAsia="Arial" w:hAnsi="Arial"/>
          <w:color w:val="000000"/>
          <w:sz w:val="20"/>
          <w:szCs w:val="20"/>
        </w:rPr>
        <w:t xml:space="preserve">Total 12-month corpus-building cost: approximately $15,600. This assumes Merkle tree batching at 10,000--100,000 documents per Bitcoin transaction, aggressive use of free government and open data sources, and founder engineering time (not costed).</w:t>
      </w:r>
    </w:p>
    <w:p>
      <w:pPr>
        <w:spacing w:after="80" w:before="80"/>
      </w:pPr>
      <w:r>
        <w:rPr>
          <w:rFonts w:ascii="Arial" w:cs="Arial" w:eastAsia="Arial" w:hAnsi="Arial"/>
          <w:color w:val="000000"/>
          <w:sz w:val="20"/>
          <w:szCs w:val="20"/>
        </w:rPr>
        <w:t xml:space="preserve">9.2 Revenue Projections (12-Month)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**Quarter**</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**Corpus Size**</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**Verification Rate**</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**Monthly Calls**</w:t>
            </w:r>
          </w:p>
        </w:tc>
        <w:tc>
          <w:tcPr>
            <w:tcW w:type="dxa" w:w="1872"/>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**Monthly Revenue**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Q1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1.5M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0.1%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1,500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Q2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0.5%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25,000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$50</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Q3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8M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80,000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$160</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Q4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12M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240,000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$480</w:t>
            </w:r>
          </w:p>
        </w:tc>
      </w:tr>
    </w:tbl>
    <w:p>
      <w:pPr>
        <w:spacing w:after="80" w:before="80"/>
      </w:pPr>
      <w:r>
        <w:rPr>
          <w:rFonts w:ascii="Arial" w:cs="Arial" w:eastAsia="Arial" w:hAnsi="Arial"/>
          <w:color w:val="000000"/>
          <w:sz w:val="20"/>
          <w:szCs w:val="20"/>
        </w:rPr>
        <w:t xml:space="preserve">Direct API revenue in year 1 will not cover costs. This is expected and acceptable. The value proposition in year 1 is corpus building and network effect seeding, not revenue. Revenue inflection happens when (a) enterprise customers sign annual contracts for verification access, (b) the agent economy matures and verification becomes standard practice, and (c) premium API tiers are introduced for high-value verticals (legal, financial, compliance).</w:t>
      </w:r>
    </w:p>
    <w:p>
      <w:pPr>
        <w:spacing w:after="80" w:before="80"/>
      </w:pPr>
      <w:r>
        <w:rPr>
          <w:rFonts w:ascii="Arial" w:cs="Arial" w:eastAsia="Arial" w:hAnsi="Arial"/>
          <w:color w:val="000000"/>
          <w:sz w:val="20"/>
          <w:szCs w:val="20"/>
        </w:rPr>
        <w:t xml:space="preserve">9.3 Path to Meaningful Revenue</w:t>
      </w:r>
    </w:p>
    <w:p>
      <w:pPr>
        <w:spacing w:after="80" w:before="80"/>
      </w:pPr>
      <w:r>
        <w:rPr>
          <w:rFonts w:ascii="Arial" w:cs="Arial" w:eastAsia="Arial" w:hAnsi="Arial"/>
          <w:color w:val="000000"/>
          <w:sz w:val="20"/>
          <w:szCs w:val="20"/>
        </w:rPr>
        <w:t xml:space="preserve">Year 2 projections with 50M+ corpus and growing agent adoption: at 5% monthly verification rate, 2.5M calls/month = $5,000/month. With enterprise contracts ($500--$5,000/month per customer) and premium tiers, annual revenue could reach $100K--$500K by end of year 2. The corpus is the asset; verification revenue is the monetization mechanism.</w:t>
      </w:r>
    </w:p>
    <w:p>
      <w:pPr>
        <w:spacing w:after="80" w:before="80"/>
      </w:pPr>
      <w:r>
        <w:rPr>
          <w:rFonts w:ascii="Arial" w:cs="Arial" w:eastAsia="Arial" w:hAnsi="Arial"/>
          <w:color w:val="000000"/>
          <w:sz w:val="20"/>
          <w:szCs w:val="20"/>
        </w:rPr>
        <w:t xml:space="preserve">10. Open Questions and Decision Points</w:t>
      </w:r>
    </w:p>
    <w:p>
      <w:pPr>
        <w:spacing w:after="80" w:before="80"/>
      </w:pPr>
      <w:r>
        <w:rPr>
          <w:rFonts w:ascii="Arial" w:cs="Arial" w:eastAsia="Arial" w:hAnsi="Arial"/>
          <w:color w:val="000000"/>
          <w:sz w:val="20"/>
          <w:szCs w:val="20"/>
        </w:rPr>
        <w:t xml:space="preserve">10.1 Strategic Questions</w:t>
      </w:r>
    </w:p>
    <w:p>
      <w:pPr>
        <w:pStyle w:val="ListParagraph"/>
        <w:numPr>
          <w:ilvl w:val="0"/>
          <w:numId w:val="2"/>
        </w:numPr>
        <w:spacing w:after="60" w:before="60"/>
      </w:pPr>
      <w:r>
        <w:rPr>
          <w:rFonts w:ascii="Arial" w:cs="Arial" w:eastAsia="Arial" w:hAnsi="Arial"/>
          <w:b/>
          <w:bCs/>
          <w:color w:val="000000"/>
          <w:sz w:val="20"/>
          <w:szCs w:val="20"/>
        </w:rPr>
        <w:t xml:space="preserve">Merkle Batching Frequency:</w:t>
      </w:r>
      <w:r>
        <w:rPr>
          <w:rFonts w:ascii="Arial" w:cs="Arial" w:eastAsia="Arial" w:hAnsi="Arial"/>
          <w:color w:val="000000"/>
          <w:sz w:val="20"/>
          <w:szCs w:val="20"/>
        </w:rPr>
        <w:t xml:space="preserve"> Anchor every 10 minutes (per Bitcoin block) or accumulate for daily batches? More frequent = higher cost but stronger timestamp granularity. Recommendation: start with every 10 minutes; optimize later.</w:t>
      </w:r>
    </w:p>
    <w:p>
      <w:pPr>
        <w:pStyle w:val="ListParagraph"/>
        <w:numPr>
          <w:ilvl w:val="0"/>
          <w:numId w:val="2"/>
        </w:numPr>
        <w:spacing w:after="60" w:before="60"/>
      </w:pPr>
      <w:r>
        <w:rPr>
          <w:rFonts w:ascii="Arial" w:cs="Arial" w:eastAsia="Arial" w:hAnsi="Arial"/>
          <w:b/>
          <w:bCs/>
          <w:color w:val="000000"/>
          <w:sz w:val="20"/>
          <w:szCs w:val="20"/>
        </w:rPr>
        <w:t xml:space="preserve">Free vs. Paid Anchoring:</w:t>
      </w:r>
      <w:r>
        <w:rPr>
          <w:rFonts w:ascii="Arial" w:cs="Arial" w:eastAsia="Arial" w:hAnsi="Arial"/>
          <w:color w:val="000000"/>
          <w:sz w:val="20"/>
          <w:szCs w:val="20"/>
        </w:rPr>
        <w:t xml:space="preserve"> Should document owners pay to anchor, or does Arkova subsidize anchoring and monetize only on verification? The cold-start economics favor free anchoring initially.</w:t>
      </w:r>
    </w:p>
    <w:p>
      <w:pPr>
        <w:pStyle w:val="ListParagraph"/>
        <w:numPr>
          <w:ilvl w:val="0"/>
          <w:numId w:val="2"/>
        </w:numPr>
        <w:spacing w:after="60" w:before="60"/>
      </w:pPr>
      <w:r>
        <w:rPr>
          <w:rFonts w:ascii="Arial" w:cs="Arial" w:eastAsia="Arial" w:hAnsi="Arial"/>
          <w:b/>
          <w:bCs/>
          <w:color w:val="000000"/>
          <w:sz w:val="20"/>
          <w:szCs w:val="20"/>
        </w:rPr>
        <w:t xml:space="preserve">Corpus Exclusivity:</w:t>
      </w:r>
      <w:r>
        <w:rPr>
          <w:rFonts w:ascii="Arial" w:cs="Arial" w:eastAsia="Arial" w:hAnsi="Arial"/>
          <w:color w:val="000000"/>
          <w:sz w:val="20"/>
          <w:szCs w:val="20"/>
        </w:rPr>
        <w:t xml:space="preserve"> Should Arkova publish anchored document lists (increasing verification demand) or keep the corpus index private (forcing API usage)? Open corpus drives adoption; closed corpus drives revenue. Recommend: open metadata, private proofs.</w:t>
      </w:r>
    </w:p>
    <w:p>
      <w:pPr>
        <w:pStyle w:val="ListParagraph"/>
        <w:numPr>
          <w:ilvl w:val="0"/>
          <w:numId w:val="2"/>
        </w:numPr>
        <w:spacing w:after="60" w:before="60"/>
      </w:pPr>
      <w:r>
        <w:rPr>
          <w:rFonts w:ascii="Arial" w:cs="Arial" w:eastAsia="Arial" w:hAnsi="Arial"/>
          <w:b/>
          <w:bCs/>
          <w:color w:val="000000"/>
          <w:sz w:val="20"/>
          <w:szCs w:val="20"/>
        </w:rPr>
        <w:t xml:space="preserve">Multi-Chain Strategy:</w:t>
      </w:r>
      <w:r>
        <w:rPr>
          <w:rFonts w:ascii="Arial" w:cs="Arial" w:eastAsia="Arial" w:hAnsi="Arial"/>
          <w:color w:val="000000"/>
          <w:sz w:val="20"/>
          <w:szCs w:val="20"/>
        </w:rPr>
        <w:t xml:space="preserve"> Bitcoin-only provides the strongest immutability narrative. Adding Ethereum or other chains reduces Bitcoin narrative purity but broadens the addressable market. Recommendation: Bitcoin-only for now; multi-chain is a year 2 decision.</w:t>
      </w:r>
    </w:p>
    <w:p>
      <w:pPr>
        <w:spacing w:after="80" w:before="80"/>
      </w:pPr>
      <w:r>
        <w:rPr>
          <w:rFonts w:ascii="Arial" w:cs="Arial" w:eastAsia="Arial" w:hAnsi="Arial"/>
          <w:color w:val="000000"/>
          <w:sz w:val="20"/>
          <w:szCs w:val="20"/>
        </w:rPr>
        <w:t xml:space="preserve">10.2 Technical Questions</w:t>
      </w:r>
    </w:p>
    <w:p>
      <w:pPr>
        <w:pStyle w:val="ListParagraph"/>
        <w:numPr>
          <w:ilvl w:val="0"/>
          <w:numId w:val="2"/>
        </w:numPr>
        <w:spacing w:after="60" w:before="60"/>
      </w:pPr>
      <w:r>
        <w:rPr>
          <w:rFonts w:ascii="Arial" w:cs="Arial" w:eastAsia="Arial" w:hAnsi="Arial"/>
          <w:b/>
          <w:bCs/>
          <w:color w:val="000000"/>
          <w:sz w:val="20"/>
          <w:szCs w:val="20"/>
        </w:rPr>
        <w:t xml:space="preserve">DOM Canonicalization:</w:t>
      </w:r>
      <w:r>
        <w:rPr>
          <w:rFonts w:ascii="Arial" w:cs="Arial" w:eastAsia="Arial" w:hAnsi="Arial"/>
          <w:color w:val="000000"/>
          <w:sz w:val="20"/>
          <w:szCs w:val="20"/>
        </w:rPr>
        <w:t xml:space="preserve"> Which canonicalization standard for web archiving? W3C's Canonical XML? A custom canonical form? This needs a technical spike before committing to web archiving at scale.</w:t>
      </w:r>
    </w:p>
    <w:p>
      <w:pPr>
        <w:pStyle w:val="ListParagraph"/>
        <w:numPr>
          <w:ilvl w:val="0"/>
          <w:numId w:val="2"/>
        </w:numPr>
        <w:spacing w:after="60" w:before="60"/>
      </w:pPr>
      <w:r>
        <w:rPr>
          <w:rFonts w:ascii="Arial" w:cs="Arial" w:eastAsia="Arial" w:hAnsi="Arial"/>
          <w:b/>
          <w:bCs/>
          <w:color w:val="000000"/>
          <w:sz w:val="20"/>
          <w:szCs w:val="20"/>
        </w:rPr>
        <w:t xml:space="preserve">Agent SDK Scope:</w:t>
      </w:r>
      <w:r>
        <w:rPr>
          <w:rFonts w:ascii="Arial" w:cs="Arial" w:eastAsia="Arial" w:hAnsi="Arial"/>
          <w:color w:val="000000"/>
          <w:sz w:val="20"/>
          <w:szCs w:val="20"/>
        </w:rPr>
        <w:t xml:space="preserve"> Should the SDK handle only anchoring/verification, or should it include document preparation (hashing, formatting)? Recommendation: thin SDK that accepts pre-computed hashes; let integrators handle document processing.</w:t>
      </w:r>
    </w:p>
    <w:p>
      <w:pPr>
        <w:pStyle w:val="ListParagraph"/>
        <w:numPr>
          <w:ilvl w:val="0"/>
          <w:numId w:val="2"/>
        </w:numPr>
        <w:spacing w:after="60" w:before="60"/>
      </w:pPr>
      <w:r>
        <w:rPr>
          <w:rFonts w:ascii="Arial" w:cs="Arial" w:eastAsia="Arial" w:hAnsi="Arial"/>
          <w:b/>
          <w:bCs/>
          <w:color w:val="000000"/>
          <w:sz w:val="20"/>
          <w:szCs w:val="20"/>
        </w:rPr>
        <w:t xml:space="preserve">Proof Storage:</w:t>
      </w:r>
      <w:r>
        <w:rPr>
          <w:rFonts w:ascii="Arial" w:cs="Arial" w:eastAsia="Arial" w:hAnsi="Arial"/>
          <w:color w:val="000000"/>
          <w:sz w:val="20"/>
          <w:szCs w:val="20"/>
        </w:rPr>
        <w:t xml:space="preserve"> Where do Merkle proofs live? Arkova's database? IPFS? A dedicated proof ledger? Cost and durability tradeoffs.</w:t>
      </w:r>
    </w:p>
    <w:p>
      <w:pPr>
        <w:spacing w:after="80" w:before="80"/>
      </w:pPr>
      <w:r>
        <w:rPr>
          <w:rFonts w:ascii="Arial" w:cs="Arial" w:eastAsia="Arial" w:hAnsi="Arial"/>
          <w:color w:val="000000"/>
          <w:sz w:val="20"/>
          <w:szCs w:val="20"/>
        </w:rPr>
        <w:t xml:space="preserve">10.3 Business Questions</w:t>
      </w:r>
    </w:p>
    <w:p>
      <w:pPr>
        <w:pStyle w:val="ListParagraph"/>
        <w:numPr>
          <w:ilvl w:val="0"/>
          <w:numId w:val="2"/>
        </w:numPr>
        <w:spacing w:after="60" w:before="60"/>
      </w:pPr>
      <w:r>
        <w:rPr>
          <w:rFonts w:ascii="Arial" w:cs="Arial" w:eastAsia="Arial" w:hAnsi="Arial"/>
          <w:b/>
          <w:bCs/>
          <w:color w:val="000000"/>
          <w:sz w:val="20"/>
          <w:szCs w:val="20"/>
        </w:rPr>
        <w:t xml:space="preserve">Enterprise Pricing:</w:t>
      </w:r>
      <w:r>
        <w:rPr>
          <w:rFonts w:ascii="Arial" w:cs="Arial" w:eastAsia="Arial" w:hAnsi="Arial"/>
          <w:color w:val="000000"/>
          <w:sz w:val="20"/>
          <w:szCs w:val="20"/>
        </w:rPr>
        <w:t xml:space="preserve"> Per-call pricing ($0.002) is right for agents. Enterprise pricing should be tiered (monthly commitments, volume discounts, SLAs). What are the tiers?</w:t>
      </w:r>
    </w:p>
    <w:p>
      <w:pPr>
        <w:pStyle w:val="ListParagraph"/>
        <w:numPr>
          <w:ilvl w:val="0"/>
          <w:numId w:val="2"/>
        </w:numPr>
        <w:spacing w:after="60" w:before="60"/>
      </w:pPr>
      <w:r>
        <w:rPr>
          <w:rFonts w:ascii="Arial" w:cs="Arial" w:eastAsia="Arial" w:hAnsi="Arial"/>
          <w:b/>
          <w:bCs/>
          <w:color w:val="000000"/>
          <w:sz w:val="20"/>
          <w:szCs w:val="20"/>
        </w:rPr>
        <w:t xml:space="preserve">Partnership Prioritization:</w:t>
      </w:r>
      <w:r>
        <w:rPr>
          <w:rFonts w:ascii="Arial" w:cs="Arial" w:eastAsia="Arial" w:hAnsi="Arial"/>
          <w:color w:val="000000"/>
          <w:sz w:val="20"/>
          <w:szCs w:val="20"/>
        </w:rPr>
        <w:t xml:space="preserve"> Limited bandwidth for partnership development. DocuSign vs. Crossref vs. news organizations: which partnership has the highest ROI per hour of founder time?</w:t>
      </w:r>
    </w:p>
    <w:p>
      <w:pPr>
        <w:pStyle w:val="ListParagraph"/>
        <w:numPr>
          <w:ilvl w:val="0"/>
          <w:numId w:val="2"/>
        </w:numPr>
        <w:spacing w:after="60" w:before="60"/>
      </w:pPr>
      <w:r>
        <w:rPr>
          <w:rFonts w:ascii="Arial" w:cs="Arial" w:eastAsia="Arial" w:hAnsi="Arial"/>
          <w:b/>
          <w:bCs/>
          <w:color w:val="000000"/>
          <w:sz w:val="20"/>
          <w:szCs w:val="20"/>
        </w:rPr>
        <w:t xml:space="preserve">Competitive Response:</w:t>
      </w:r>
      <w:r>
        <w:rPr>
          <w:rFonts w:ascii="Arial" w:cs="Arial" w:eastAsia="Arial" w:hAnsi="Arial"/>
          <w:color w:val="000000"/>
          <w:sz w:val="20"/>
          <w:szCs w:val="20"/>
        </w:rPr>
        <w:t xml:space="preserve"> What happens when OpenTimestamps or Woleet add a verification API? Arkova's moat must be the corpus + agent integrations, not the anchoring technology itself.</w:t>
      </w:r>
    </w:p>
    <w:p>
      <w:pPr>
        <w:spacing w:after="80" w:before="80"/>
      </w:pPr>
      <w:r>
        <w:rPr>
          <w:rFonts w:ascii="Arial" w:cs="Arial" w:eastAsia="Arial" w:hAnsi="Arial"/>
          <w:color w:val="000000"/>
          <w:sz w:val="20"/>
          <w:szCs w:val="20"/>
        </w:rPr>
        <w:t xml:space="preserve">11. Conclusion</w:t>
      </w:r>
    </w:p>
    <w:p>
      <w:pPr>
        <w:spacing w:after="80" w:before="80"/>
      </w:pPr>
      <w:r>
        <w:rPr>
          <w:rFonts w:ascii="Arial" w:cs="Arial" w:eastAsia="Arial" w:hAnsi="Arial"/>
          <w:color w:val="000000"/>
          <w:sz w:val="20"/>
          <w:szCs w:val="20"/>
        </w:rPr>
        <w:t xml:space="preserve">The cold-start problem is solvable. Public records alone can generate a million-document corpus in 90 days at under $500/month. Agent-initiated anchoring seeds the demand-side flywheel. Open data partnerships add academic credibility. Developer supply chain tools create community. E-signature and news media partnerships deliver the highest per-document value but require patience.</w:t>
      </w:r>
    </w:p>
    <w:p>
      <w:pPr>
        <w:spacing w:after="80" w:before="80"/>
      </w:pPr>
      <w:r>
        <w:rPr>
          <w:rFonts w:ascii="Arial" w:cs="Arial" w:eastAsia="Arial" w:hAnsi="Arial"/>
          <w:color w:val="000000"/>
          <w:sz w:val="20"/>
          <w:szCs w:val="20"/>
        </w:rPr>
        <w:t xml:space="preserve">The key insight: Arkova is not building a timestamping service (commodity). Arkova is building a verification network (moat). The corpus is the network. Every anchored document makes verification more valuable. Every verification call validates the corpus. The cold-start problem is a 90-day sprint, not a multi-year slog.</w:t>
      </w:r>
    </w:p>
    <w:p>
      <w:pPr>
        <w:spacing w:after="80" w:before="80"/>
      </w:pPr>
      <w:r>
        <w:rPr>
          <w:rFonts w:ascii="Arial" w:cs="Arial" w:eastAsia="Arial" w:hAnsi="Arial"/>
          <w:color w:val="000000"/>
          <w:sz w:val="20"/>
          <w:szCs w:val="20"/>
        </w:rPr>
        <w:t xml:space="preserve">Start with public records and the agent SDK. Everything else follows.</w:t>
      </w:r>
    </w:p>
    <w:p>
      <w:pPr>
        <w:spacing w:after="80" w:before="80"/>
      </w:pPr>
      <w:r>
        <w:rPr>
          <w:rFonts w:ascii="Arial" w:cs="Arial" w:eastAsia="Arial" w:hAnsi="Arial"/>
          <w:i/>
          <w:iCs/>
          <w:color w:val="000000"/>
          <w:sz w:val="20"/>
          <w:szCs w:val="20"/>
        </w:rPr>
        <w:t xml:space="preserve">End of Report --- Prepared March 2026 --- Confidential</w:t>
      </w:r>
    </w:p>
    <w:p>
      <w:r>
        <w:br w:type="page"/>
      </w:r>
    </w:p>
    <w:p>
      <w:pPr>
        <w:spacing w:after="200" w:before="2400"/>
        <w:jc w:val="center"/>
      </w:pPr>
      <w:r>
        <w:rPr>
          <w:rFonts w:ascii="Arial" w:cs="Arial" w:eastAsia="Arial" w:hAnsi="Arial"/>
          <w:b/>
          <w:bCs/>
          <w:color w:val="2B5797"/>
          <w:sz w:val="48"/>
          <w:szCs w:val="48"/>
        </w:rPr>
        <w:t xml:space="preserve">PART 4</w:t>
      </w:r>
    </w:p>
    <w:p>
      <w:pPr>
        <w:spacing w:after="100" w:before="200"/>
        <w:jc w:val="center"/>
      </w:pPr>
      <w:r>
        <w:rPr>
          <w:rFonts w:ascii="Arial" w:cs="Arial" w:eastAsia="Arial" w:hAnsi="Arial"/>
          <w:b/>
          <w:bCs/>
          <w:color w:val="333333"/>
          <w:sz w:val="36"/>
          <w:szCs w:val="36"/>
        </w:rPr>
        <w:t xml:space="preserve">Global Data Source Registry</w:t>
      </w:r>
    </w:p>
    <w:p>
      <w:pPr>
        <w:spacing w:after="600" w:before="100"/>
        <w:jc w:val="center"/>
      </w:pPr>
      <w:r>
        <w:rPr>
          <w:rFonts w:ascii="Arial" w:cs="Arial" w:eastAsia="Arial" w:hAnsi="Arial"/>
          <w:i/>
          <w:iCs/>
          <w:color w:val="666666"/>
          <w:sz w:val="24"/>
          <w:szCs w:val="24"/>
        </w:rPr>
        <w:t xml:space="preserve">Source: Arkova-Global-Data-Source-Registry.docx</w:t>
      </w:r>
    </w:p>
    <w:p>
      <w:pPr>
        <w:pBdr>
          <w:bottom w:val="single" w:color="2B5797" w:sz="6" w:space="1"/>
        </w:pBdr>
        <w:spacing w:after="400" w:before="200"/>
        <w:jc w:val="center"/>
      </w:pPr>
      <w:r>
        <w:rPr>
          <w:sz w:val="10"/>
          <w:szCs w:val="10"/>
        </w:rPr>
        <w:t xml:space="preserve"> </w:t>
      </w:r>
    </w:p>
    <w:p>
      <w:pPr>
        <w:spacing w:after="80" w:before="80"/>
      </w:pPr>
      <w:r>
        <w:rPr>
          <w:rFonts w:ascii="Arial" w:cs="Arial" w:eastAsia="Arial" w:hAnsi="Arial"/>
          <w:b/>
          <w:bCs/>
          <w:color w:val="000000"/>
          <w:sz w:val="20"/>
          <w:szCs w:val="20"/>
        </w:rPr>
        <w:t xml:space="preserve">ARKOVA</w:t>
      </w:r>
    </w:p>
    <w:p>
      <w:pPr>
        <w:spacing w:after="80" w:before="80"/>
      </w:pPr>
      <w:r>
        <w:rPr>
          <w:rFonts w:ascii="Arial" w:cs="Arial" w:eastAsia="Arial" w:hAnsi="Arial"/>
          <w:color w:val="000000"/>
          <w:sz w:val="20"/>
          <w:szCs w:val="20"/>
        </w:rPr>
        <w:t xml:space="preserve">Global Data Source Registry</w:t>
      </w:r>
    </w:p>
    <w:p>
      <w:pPr>
        <w:spacing w:after="80" w:before="80"/>
      </w:pPr>
      <w:r>
        <w:rPr>
          <w:rFonts w:ascii="Arial" w:cs="Arial" w:eastAsia="Arial" w:hAnsi="Arial"/>
          <w:color w:val="000000"/>
          <w:sz w:val="20"/>
          <w:szCs w:val="20"/>
        </w:rPr>
        <w:t xml:space="preserve">International Verification Bootstrap</w:t>
      </w:r>
    </w:p>
    <w:p>
      <w:pPr>
        <w:spacing w:after="80" w:before="80"/>
      </w:pPr>
      <w:r>
        <w:rPr>
          <w:rFonts w:ascii="Arial" w:cs="Arial" w:eastAsia="Arial" w:hAnsi="Arial"/>
          <w:color w:val="000000"/>
          <w:sz w:val="20"/>
          <w:szCs w:val="20"/>
        </w:rPr>
        <w:t xml:space="preserve">Jurisdiction-by-Jurisdiction Analysis</w:t>
      </w:r>
    </w:p>
    <w:p>
      <w:pPr>
        <w:spacing w:after="80" w:before="80"/>
      </w:pPr>
      <w:r>
        <w:rPr>
          <w:rFonts w:ascii="Arial" w:cs="Arial" w:eastAsia="Arial" w:hAnsi="Arial"/>
          <w:color w:val="000000"/>
          <w:sz w:val="20"/>
          <w:szCs w:val="20"/>
        </w:rPr>
        <w:t xml:space="preserve">March 2026</w:t>
      </w:r>
    </w:p>
    <w:p>
      <w:pPr>
        <w:spacing w:after="80" w:before="80"/>
      </w:pPr>
      <w:r>
        <w:rPr>
          <w:rFonts w:ascii="Arial" w:cs="Arial" w:eastAsia="Arial" w:hAnsi="Arial"/>
          <w:i/>
          <w:iCs/>
          <w:color w:val="000000"/>
          <w:sz w:val="20"/>
          <w:szCs w:val="20"/>
        </w:rPr>
        <w:t xml:space="preserve">Prepared for: Arkova Legal &amp; Engineering Teams</w:t>
      </w:r>
    </w:p>
    <w:p>
      <w:pPr>
        <w:spacing w:after="80" w:before="80"/>
      </w:pPr>
      <w:r>
        <w:rPr>
          <w:rFonts w:ascii="Arial" w:cs="Arial" w:eastAsia="Arial" w:hAnsi="Arial"/>
          <w:b/>
          <w:bCs/>
          <w:color w:val="000000"/>
          <w:sz w:val="20"/>
          <w:szCs w:val="20"/>
        </w:rPr>
        <w:t xml:space="preserve">CONFIDENTIAL</w:t>
      </w:r>
    </w:p>
    <w:p>
      <w:pPr>
        <w:spacing w:after="80" w:before="80"/>
      </w:pPr>
      <w:r>
        <w:rPr>
          <w:rFonts w:ascii="Arial" w:cs="Arial" w:eastAsia="Arial" w:hAnsi="Arial"/>
          <w:color w:val="000000"/>
          <w:sz w:val="20"/>
          <w:szCs w:val="20"/>
        </w:rPr>
        <w:t xml:space="preserve">Executive Summary</w:t>
      </w:r>
    </w:p>
    <w:p>
      <w:pPr>
        <w:spacing w:after="80" w:before="80"/>
      </w:pPr>
      <w:r>
        <w:rPr>
          <w:rFonts w:ascii="Arial" w:cs="Arial" w:eastAsia="Arial" w:hAnsi="Arial"/>
          <w:color w:val="000000"/>
          <w:sz w:val="20"/>
          <w:szCs w:val="20"/>
        </w:rPr>
        <w:t xml:space="preserve">This document provides a comprehensive mapping of public data sources across 30+ jurisdictions and 7 global regions for Arkova's verification bootstrap strategy. Each source is evaluated across nine dimensions: exact data source, volume, access method, legal analysis, language, data format, update frequency, cost, and technical complexity.</w:t>
      </w:r>
    </w:p>
    <w:p>
      <w:pPr>
        <w:spacing w:after="80" w:before="80"/>
      </w:pPr>
      <w:r>
        <w:rPr>
          <w:rFonts w:ascii="Arial" w:cs="Arial" w:eastAsia="Arial" w:hAnsi="Arial"/>
          <w:color w:val="000000"/>
          <w:sz w:val="20"/>
          <w:szCs w:val="20"/>
        </w:rPr>
        <w:t xml:space="preserve">The analysis covers corporate registries, securities filings, intellectual property databases, legal case law repositories, and official gazettes across Australia, Canada, Latin America, Asia, Africa, Europe, and the Middle East.</w:t>
      </w:r>
    </w:p>
    <w:p>
      <w:pPr>
        <w:spacing w:after="80" w:before="80"/>
      </w:pPr>
      <w:r>
        <w:rPr>
          <w:rFonts w:ascii="Arial" w:cs="Arial" w:eastAsia="Arial" w:hAnsi="Arial"/>
          <w:color w:val="000000"/>
          <w:sz w:val="20"/>
          <w:szCs w:val="20"/>
        </w:rPr>
        <w:t xml:space="preserve">Regional Readiness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**Region**</w:t>
            </w:r>
          </w:p>
        </w:tc>
        <w:tc>
          <w:tcPr>
            <w:tcW w:type="dxa" w:w="1337"/>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**APIs**</w:t>
            </w:r>
          </w:p>
        </w:tc>
        <w:tc>
          <w:tcPr>
            <w:tcW w:type="dxa" w:w="1337"/>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**Volume**</w:t>
            </w:r>
          </w:p>
        </w:tc>
        <w:tc>
          <w:tcPr>
            <w:tcW w:type="dxa" w:w="1337"/>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**Legal**</w:t>
            </w:r>
          </w:p>
        </w:tc>
        <w:tc>
          <w:tcPr>
            <w:tcW w:type="dxa" w:w="1337"/>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**Cost**</w:t>
            </w:r>
          </w:p>
        </w:tc>
        <w:tc>
          <w:tcPr>
            <w:tcW w:type="dxa" w:w="1337"/>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**Language**</w:t>
            </w:r>
          </w:p>
        </w:tc>
        <w:tc>
          <w:tcPr>
            <w:tcW w:type="dxa" w:w="1338"/>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**Priority**</w:t>
            </w:r>
          </w:p>
        </w:tc>
      </w:tr>
      <w:tr>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UK/EU</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Excellent</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Very High</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GDPR Complex</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Mostly Free</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English/Multi</w:t>
            </w:r>
          </w:p>
        </w:tc>
        <w:tc>
          <w:tcPr>
            <w:tcW w:type="dxa" w:w="13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Tier 1</w:t>
            </w:r>
          </w:p>
        </w:tc>
      </w:tr>
      <w:tr>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Australia</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Good</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High (3.4M)</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Privacy Act</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Free APIs</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English</w:t>
            </w:r>
          </w:p>
        </w:tc>
        <w:tc>
          <w:tcPr>
            <w:tcW w:type="dxa" w:w="13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Tier 1</w:t>
            </w:r>
          </w:p>
        </w:tc>
      </w:tr>
      <w:tr>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Canada</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Moderate</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High (2.5M)</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Fragmented</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Mixed</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EN/FR</w:t>
            </w:r>
          </w:p>
        </w:tc>
        <w:tc>
          <w:tcPr>
            <w:tcW w:type="dxa" w:w="13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Tier 1</w:t>
            </w:r>
          </w:p>
        </w:tc>
      </w:tr>
      <w:tr>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Singapore/HK</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Good</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High</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PDPA/PDPO</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Mixed</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English</w:t>
            </w:r>
          </w:p>
        </w:tc>
        <w:tc>
          <w:tcPr>
            <w:tcW w:type="dxa" w:w="13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Tier 1</w:t>
            </w:r>
          </w:p>
        </w:tc>
      </w:tr>
      <w:tr>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Japan/Korea</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Excellent</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Very High</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APPI/PIPA</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Free APIs</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JP/KR only</w:t>
            </w:r>
          </w:p>
        </w:tc>
        <w:tc>
          <w:tcPr>
            <w:tcW w:type="dxa" w:w="13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Tier 2</w:t>
            </w:r>
          </w:p>
        </w:tc>
      </w:tr>
      <w:tr>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India</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Moderate</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Very High</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IT Act/SPDI</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Low cost</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English</w:t>
            </w:r>
          </w:p>
        </w:tc>
        <w:tc>
          <w:tcPr>
            <w:tcW w:type="dxa" w:w="13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Tier 1</w:t>
            </w:r>
          </w:p>
        </w:tc>
      </w:tr>
      <w:tr>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China</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Limited</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Massive</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PIPL/Complex</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Mixed</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Chinese only</w:t>
            </w:r>
          </w:p>
        </w:tc>
        <w:tc>
          <w:tcPr>
            <w:tcW w:type="dxa" w:w="13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Tier 3</w:t>
            </w:r>
          </w:p>
        </w:tc>
      </w:tr>
      <w:tr>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Brazil</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Good</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High</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LGPD</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Free</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Portuguese</w:t>
            </w:r>
          </w:p>
        </w:tc>
        <w:tc>
          <w:tcPr>
            <w:tcW w:type="dxa" w:w="13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Tier 2</w:t>
            </w:r>
          </w:p>
        </w:tc>
      </w:tr>
      <w:tr>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LatAm (other)</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Limited</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Moderate</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Varied</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Free/Low</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Spanish</w:t>
            </w:r>
          </w:p>
        </w:tc>
        <w:tc>
          <w:tcPr>
            <w:tcW w:type="dxa" w:w="13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Tier 2-3</w:t>
            </w:r>
          </w:p>
        </w:tc>
      </w:tr>
      <w:tr>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Kenya</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Limited</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Moderate</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DPA 2019</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Free</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English</w:t>
            </w:r>
          </w:p>
        </w:tc>
        <w:tc>
          <w:tcPr>
            <w:tcW w:type="dxa" w:w="13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Tier 2</w:t>
            </w:r>
          </w:p>
        </w:tc>
      </w:tr>
      <w:tr>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South Africa</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Limited</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Moderate</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POPIA</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Mixed</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English</w:t>
            </w:r>
          </w:p>
        </w:tc>
        <w:tc>
          <w:tcPr>
            <w:tcW w:type="dxa" w:w="13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Tier 2</w:t>
            </w:r>
          </w:p>
        </w:tc>
      </w:tr>
      <w:tr>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Nigeria/Ghana</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Emerging</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Low-Med</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NDPR/DPA</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Low cost</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English</w:t>
            </w:r>
          </w:p>
        </w:tc>
        <w:tc>
          <w:tcPr>
            <w:tcW w:type="dxa" w:w="13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Tier 3</w:t>
            </w:r>
          </w:p>
        </w:tc>
      </w:tr>
      <w:tr>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UAE</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Emerging</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Small</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PDPL/DIFC</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Free</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EN/AR</w:t>
            </w:r>
          </w:p>
        </w:tc>
        <w:tc>
          <w:tcPr>
            <w:tcW w:type="dxa" w:w="13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Tier 2</w:t>
            </w:r>
          </w:p>
        </w:tc>
      </w:tr>
      <w:tr>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Saudi Arabia</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Basic</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Small</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PDPL</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Mixed</w:t>
            </w:r>
          </w:p>
        </w:tc>
        <w:tc>
          <w:tcPr>
            <w:tcW w:type="dxa" w:w="1337"/>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Arabic/EN</w:t>
            </w:r>
          </w:p>
        </w:tc>
        <w:tc>
          <w:tcPr>
            <w:tcW w:type="dxa" w:w="13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Tier 3</w:t>
            </w:r>
          </w:p>
        </w:tc>
      </w:tr>
    </w:tbl>
    <w:p>
      <w:pPr>
        <w:spacing w:after="80" w:before="80"/>
      </w:pPr>
      <w:r>
        <w:rPr>
          <w:rFonts w:ascii="Arial" w:cs="Arial" w:eastAsia="Arial" w:hAnsi="Arial"/>
          <w:i/>
          <w:iCs/>
          <w:color w:val="000000"/>
          <w:sz w:val="20"/>
          <w:szCs w:val="20"/>
        </w:rPr>
        <w:t xml:space="preserve">Legend: Green = High readiness/favorable, Yellow = Moderate/caution needed, Orange = Developing, Red = Significant barriers.</w:t>
      </w:r>
    </w:p>
    <w:p>
      <w:pPr>
        <w:spacing w:after="80" w:before="80"/>
      </w:pPr>
      <w:r>
        <w:rPr>
          <w:rFonts w:ascii="Arial" w:cs="Arial" w:eastAsia="Arial" w:hAnsi="Arial"/>
          <w:color w:val="000000"/>
          <w:sz w:val="20"/>
          <w:szCs w:val="20"/>
        </w:rPr>
        <w:t xml:space="preserve">Priority Ranking</w:t>
      </w:r>
    </w:p>
    <w:p>
      <w:pPr>
        <w:spacing w:after="80" w:before="80"/>
      </w:pPr>
      <w:r>
        <w:rPr>
          <w:rFonts w:ascii="Arial" w:cs="Arial" w:eastAsia="Arial" w:hAnsi="Arial"/>
          <w:b/>
          <w:bCs/>
          <w:color w:val="000000"/>
          <w:sz w:val="20"/>
          <w:szCs w:val="20"/>
        </w:rPr>
        <w:t xml:space="preserve">Tier 1 (Immediate - Q2 2026):</w:t>
      </w:r>
      <w:r>
        <w:rPr>
          <w:rFonts w:ascii="Arial" w:cs="Arial" w:eastAsia="Arial" w:hAnsi="Arial"/>
          <w:color w:val="000000"/>
          <w:sz w:val="20"/>
          <w:szCs w:val="20"/>
        </w:rPr>
        <w:t xml:space="preserve"> UK (Companies House), EU (EUIPO/EPO/EUR-Lex), Australia (ASIC/ABR), Singapore (ACRA/IPOS), India (MCA/Indian Kanoon), Japan (EDINET), South Korea (DART/KIPRIS)</w:t>
      </w:r>
    </w:p>
    <w:p>
      <w:pPr>
        <w:spacing w:after="80" w:before="80"/>
      </w:pPr>
      <w:r>
        <w:rPr>
          <w:rFonts w:ascii="Arial" w:cs="Arial" w:eastAsia="Arial" w:hAnsi="Arial"/>
          <w:b/>
          <w:bCs/>
          <w:color w:val="000000"/>
          <w:sz w:val="20"/>
          <w:szCs w:val="20"/>
        </w:rPr>
        <w:t xml:space="preserve">Tier 2 (Q3-Q4 2026):</w:t>
      </w:r>
      <w:r>
        <w:rPr>
          <w:rFonts w:ascii="Arial" w:cs="Arial" w:eastAsia="Arial" w:hAnsi="Arial"/>
          <w:color w:val="000000"/>
          <w:sz w:val="20"/>
          <w:szCs w:val="20"/>
        </w:rPr>
        <w:t xml:space="preserve"> Canada (SEDAR+/CanLII/OSFI), Brazil (CVM/DOU), Chile (CMF), Kenya (Kenya Law/Gazette), South Africa (SAFLII/CIPC), Hong Kong (HKEX/ICRIS), UAE (DIFC/ADGM)</w:t>
      </w:r>
    </w:p>
    <w:p>
      <w:pPr>
        <w:spacing w:after="80" w:before="80"/>
      </w:pPr>
      <w:r>
        <w:rPr>
          <w:rFonts w:ascii="Arial" w:cs="Arial" w:eastAsia="Arial" w:hAnsi="Arial"/>
          <w:b/>
          <w:bCs/>
          <w:color w:val="000000"/>
          <w:sz w:val="20"/>
          <w:szCs w:val="20"/>
        </w:rPr>
        <w:t xml:space="preserve">Tier 3 (2027+):</w:t>
      </w:r>
      <w:r>
        <w:rPr>
          <w:rFonts w:ascii="Arial" w:cs="Arial" w:eastAsia="Arial" w:hAnsi="Arial"/>
          <w:color w:val="000000"/>
          <w:sz w:val="20"/>
          <w:szCs w:val="20"/>
        </w:rPr>
        <w:t xml:space="preserve"> China (CNINFO/CNIPA), Mexico, Colombia, Argentina, Peru, Philippines, Indonesia, Nigeria, Ghana, Saudi Arabia</w:t>
      </w:r>
    </w:p>
    <w:p>
      <w:pPr>
        <w:spacing w:after="80" w:before="80"/>
      </w:pPr>
      <w:r>
        <w:rPr>
          <w:rFonts w:ascii="Arial" w:cs="Arial" w:eastAsia="Arial" w:hAnsi="Arial"/>
          <w:color w:val="000000"/>
          <w:sz w:val="20"/>
          <w:szCs w:val="20"/>
        </w:rPr>
        <w:t xml:space="preserve">Chapter 1: Australia</w:t>
      </w:r>
    </w:p>
    <w:p>
      <w:pPr>
        <w:spacing w:after="80" w:before="80"/>
      </w:pPr>
      <w:r>
        <w:rPr>
          <w:rFonts w:ascii="Arial" w:cs="Arial" w:eastAsia="Arial" w:hAnsi="Arial"/>
          <w:color w:val="000000"/>
          <w:sz w:val="20"/>
          <w:szCs w:val="20"/>
        </w:rPr>
        <w:t xml:space="preserve">Australia offers one of the most accessible data environments globally for corporate verification, with well-documented APIs, centralized federal registries, and strong English-language support. The Privacy Act 1988 with its 13 Australian Privacy Principles governs data handling.</w:t>
      </w:r>
    </w:p>
    <w:p>
      <w:pPr>
        <w:spacing w:after="80" w:before="80"/>
      </w:pPr>
      <w:r>
        <w:rPr>
          <w:rFonts w:ascii="Arial" w:cs="Arial" w:eastAsia="Arial" w:hAnsi="Arial"/>
          <w:color w:val="000000"/>
          <w:sz w:val="20"/>
          <w:szCs w:val="20"/>
        </w:rPr>
        <w:t xml:space="preserve">ASIC (Australian Securities and Investments Commission)</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https://asic.gov.au | API: https://asic.gov.au/online-services/application-programming-interfaces-apis-for-digital-service-providers-dsps/</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3.4 million registered companies; 3.1 million updates processed annually</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REST API (OAuth 2.0, free registration as Digital Service Provider); Bulk download via data.gov.au; Real-time search via ASICConnect</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JSON, RDF, XML (ISO19115-3)</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Weekly (Company Dataset updated every Tuesday); Real-time via ASICConnect</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 for API access (no connection fee); must register as DSP. Fees for specific extracts.</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English</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Privacy Act 1988 (13 Australian Privacy Principles). Residential address restrictions implemented Feb 2026. Data use for verification permitted under consumer/identity verification allowances.</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Medium (OAuth 2.0 enforcement, API registration required)</w:t>
      </w:r>
    </w:p>
    <w:p>
      <w:pPr>
        <w:spacing w:after="80" w:before="80"/>
      </w:pPr>
      <w:r>
        <w:rPr>
          <w:rFonts w:ascii="Arial" w:cs="Arial" w:eastAsia="Arial" w:hAnsi="Arial"/>
          <w:color w:val="000000"/>
          <w:sz w:val="20"/>
          <w:szCs w:val="20"/>
        </w:rPr>
        <w:t xml:space="preserve">AustLII (Australasian Legal Information Institute)</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https://www.austlii.edu.au/</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1,056 databases; 1,502,739 cases and decisions; 126,232 journal articles</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Web search (free); No public API. Commercial bulk access requires written licensing agreement.</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HTML (primary), PDF (historical 1977-1994), Word documents (1995-present)</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Daily</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 for web searches; commercial licensing must be negotiated</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English</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Prohibits scraping, spidering, crawling, mirroring, API access, bulk querying. Only exception: written licensing agreements.</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Hard (manual web access only; commercial access requires negotiated licensing)</w:t>
      </w:r>
    </w:p>
    <w:p>
      <w:pPr>
        <w:spacing w:after="80" w:before="80"/>
      </w:pPr>
      <w:r>
        <w:rPr>
          <w:rFonts w:ascii="Arial" w:cs="Arial" w:eastAsia="Arial" w:hAnsi="Arial"/>
          <w:color w:val="000000"/>
          <w:sz w:val="20"/>
          <w:szCs w:val="20"/>
        </w:rPr>
        <w:t xml:space="preserve">IP Australia (Patents, Trademarks, Designs)</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https://www.ipaustralia.gov.au/ | API: https://portal.api.ipaustralia.gov.au/</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85,945 trademark applications (2024); 30,478 standard patent applications (2024)</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OAuth 2.0 authenticated APIs for high-volume customers</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JSON, XML structured data</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Real-time API access; data updated continuously</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 to connect APIs; fees apply for filing/searches</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English</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Australian Privacy Act for personal information of filers. Registration and OAuth 2.0 authentication required.</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Medium (OAuth 2.0 required, API portal registration)</w:t>
      </w:r>
    </w:p>
    <w:p>
      <w:pPr>
        <w:spacing w:after="80" w:before="80"/>
      </w:pPr>
      <w:r>
        <w:rPr>
          <w:rFonts w:ascii="Arial" w:cs="Arial" w:eastAsia="Arial" w:hAnsi="Arial"/>
          <w:color w:val="000000"/>
          <w:sz w:val="20"/>
          <w:szCs w:val="20"/>
        </w:rPr>
        <w:t xml:space="preserve">Federal Court of Australia (Decisions)</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https://www.fedcourt.gov.au/digital-law-library/judgments/ | Federal Law Search from 1984+</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Judgments from 1977 to present; available through AustLII (1.5M+ total Australian cases)</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Public web search (free); Full-text searchable. No API.</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HTML (1995-present), PDF (1977-1994), downloadable as MS Word</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Daily (within 24 hours of judgment; priority cases within 1 hour)</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 public access</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English</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Judgments are public documents. Copyright retained by courts. Commercial bulk access restricted without agreement.</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Easy (web search only; no API)</w:t>
      </w:r>
    </w:p>
    <w:p>
      <w:pPr>
        <w:spacing w:after="80" w:before="80"/>
      </w:pPr>
      <w:r>
        <w:rPr>
          <w:rFonts w:ascii="Arial" w:cs="Arial" w:eastAsia="Arial" w:hAnsi="Arial"/>
          <w:color w:val="000000"/>
          <w:sz w:val="20"/>
          <w:szCs w:val="20"/>
        </w:rPr>
        <w:t xml:space="preserve">Australian Business Register (ABR/ABN Lookup)</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https://abr.business.gov.au/ | Web Services: https://abr.business.gov.au/Tools/WebServices</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3.4 million active businesses</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SOAP or HTTP GET/POST web services (free, requires GUID registration); Limited JSON support; Bulk extraction via data.gov.au</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SOAP XML responses; JSON for ABN name searches</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Hourly updates</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 access; registration required for API credentials (GUID)</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English</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ABN data is publicly available. Privacy Act applies to personal information of business principals. Read-only API.</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Easy-Medium (SOAP or HTTP, free registration)</w:t>
      </w:r>
    </w:p>
    <w:p>
      <w:pPr>
        <w:spacing w:after="80" w:before="80"/>
      </w:pPr>
      <w:r>
        <w:rPr>
          <w:rFonts w:ascii="Arial" w:cs="Arial" w:eastAsia="Arial" w:hAnsi="Arial"/>
          <w:color w:val="000000"/>
          <w:sz w:val="20"/>
          <w:szCs w:val="20"/>
        </w:rPr>
        <w:t xml:space="preserve">State/Territory Registries</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Centralized under ASIC since 1991</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N/A (no separate state company registries exist)</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All corporate registrations handled federally by ASIC. Land registries exist at state level but are separate systems.</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N/A</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N/A</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N/A</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English</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No separate state-level corporate registries to integrate.</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N/A (covered by ASIC)</w:t>
      </w:r>
    </w:p>
    <w:p>
      <w:pPr>
        <w:spacing w:after="80" w:before="80"/>
      </w:pPr>
      <w:r>
        <w:rPr>
          <w:rFonts w:ascii="Arial" w:cs="Arial" w:eastAsia="Arial" w:hAnsi="Arial"/>
          <w:color w:val="000000"/>
          <w:sz w:val="20"/>
          <w:szCs w:val="20"/>
        </w:rPr>
        <w:t xml:space="preserve">Chapter 2: Canada</w:t>
      </w:r>
    </w:p>
    <w:p>
      <w:pPr>
        <w:spacing w:after="80" w:before="80"/>
      </w:pPr>
      <w:r>
        <w:rPr>
          <w:rFonts w:ascii="Arial" w:cs="Arial" w:eastAsia="Arial" w:hAnsi="Arial"/>
          <w:color w:val="000000"/>
          <w:sz w:val="20"/>
          <w:szCs w:val="20"/>
        </w:rPr>
        <w:t xml:space="preserve">Canada presents a fragmented data landscape due to provincial jurisdiction over business registration, but offers strong federal-level sources. Bilingual (English/French) requirements apply to national datasets. The Personal Information Protection and Electronic Documents Act (PIPEDA) governs federal privacy, with provincial variations.</w:t>
      </w:r>
    </w:p>
    <w:p>
      <w:pPr>
        <w:spacing w:after="80" w:before="80"/>
      </w:pPr>
      <w:r>
        <w:rPr>
          <w:rFonts w:ascii="Arial" w:cs="Arial" w:eastAsia="Arial" w:hAnsi="Arial"/>
          <w:color w:val="000000"/>
          <w:sz w:val="20"/>
          <w:szCs w:val="20"/>
        </w:rPr>
        <w:t xml:space="preserve">SEDAR+ (Securities Filings)</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https://www.sedarplus.ca/</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All Canadian public companies and investment funds; 1.1M+ annual documents filed</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Public web search (free, no account). Third-party APIs (QuoteMedia) offer SFTP and request APIs.</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PDF, XML document downloads; SFTP delivery for third parties; JSON via request APIs</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Real-time filing; documents available immediately upon acceptance</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 public search; third-party API access fee-based</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English and French (bilingual filings required)</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Public filings under Securities Acts. No restriction on commercial use of public filing data.</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Easy (web search); Medium (third-party API integration)</w:t>
      </w:r>
    </w:p>
    <w:p>
      <w:pPr>
        <w:spacing w:after="80" w:before="80"/>
      </w:pPr>
      <w:r>
        <w:rPr>
          <w:rFonts w:ascii="Arial" w:cs="Arial" w:eastAsia="Arial" w:hAnsi="Arial"/>
          <w:color w:val="000000"/>
          <w:sz w:val="20"/>
          <w:szCs w:val="20"/>
        </w:rPr>
        <w:t xml:space="preserve">CIPO (Canadian Intellectual Property Office)</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https://ised-isde.canada.ca/site/canadian-intellectual-property-office/en/ | IP Horizons: https://ised-isde.canada.ca/site/canadian-intellectual-property-office/en/canadian-intellectual-property-statistics/ip-horizons-download-intellectual-property-data</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2.24-2.5 million patent documents (1878-present); significant trademark volume</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IP Horizons bulk download (CSV, TXT, XML, PNG); Web search interface (free). No official REST API.</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CSV, TXT, XML (weekly updates), PNG (trademark images)</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Trademarks: quarterly (CSV/TXT), weekly (XML/PNG); Patents: weekly</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 for researcher datasets and web searches</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English and French</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Public IP registry. Fair dealing applicable to non-commercial research. Commercial use permitted for legitimate business.</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Easy (web search and bulk download)</w:t>
      </w:r>
    </w:p>
    <w:p>
      <w:pPr>
        <w:spacing w:after="80" w:before="80"/>
      </w:pPr>
      <w:r>
        <w:rPr>
          <w:rFonts w:ascii="Arial" w:cs="Arial" w:eastAsia="Arial" w:hAnsi="Arial"/>
          <w:color w:val="000000"/>
          <w:sz w:val="20"/>
          <w:szCs w:val="20"/>
        </w:rPr>
        <w:t xml:space="preserve">CanLII (Canadian Legal Information Institute)</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https://www.canlii.org/en/ | API: https://github.com/canlii/API_documentation</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Over 1 million linked and searchable documents from 200+ collections</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Web search (free); REST HTTP API (read-only, requires API key, max 10MB transfers, max 10,000 results/query); Bulk/commercial licensing restricted.</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JSON (API), HTML (web)</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Daily</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 web search; Free API access (must apply); Bulk commercial licensing restricted</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English and French</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Constrained by licensing from most restrictive contributing court. Scraping prohibited. Canadian Judicial Council guidelines set framework for commercial bulk access.</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Medium (REST API with registration; bulk access restricted)</w:t>
      </w:r>
    </w:p>
    <w:p>
      <w:pPr>
        <w:spacing w:after="80" w:before="80"/>
      </w:pPr>
      <w:r>
        <w:rPr>
          <w:rFonts w:ascii="Arial" w:cs="Arial" w:eastAsia="Arial" w:hAnsi="Arial"/>
          <w:color w:val="000000"/>
          <w:sz w:val="20"/>
          <w:szCs w:val="20"/>
        </w:rPr>
        <w:t xml:space="preserve">Provincial Business Registries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**URL:** Ontario: https://www.ontario.ca/page/ontario-business-registry </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BC: gov.bc.ca </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Alberta: alberta.ca </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Federal aggregator: https://ised-isde.canada.ca/cbr-rec/</w:t>
            </w:r>
          </w:p>
        </w:tc>
      </w:tr>
    </w:tbl>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Ontario 2M+, BC 1M+, Alberta 1M+ companies</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Fragmented provincial systems. Ontario free basic search ($3-8 for docs). BC Online portal ($7/search). Alberta free via registry agents. MRAS federal aggregator. Third-party aggregators (Kyckr) provide multi-province API access.</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Web/Download per province</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Real-time per province</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 to $7/search depending on province</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English (Ontario, BC, Alberta); French (Quebec)</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Provincial jurisdiction over business registration. Commercial use of public registry data permitted. Privacy Act (federal) and provincial privacy laws apply.</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Medium-Hard (fragmented systems; third-party aggregation recommended)</w:t>
      </w:r>
    </w:p>
    <w:p>
      <w:pPr>
        <w:spacing w:after="80" w:before="80"/>
      </w:pPr>
      <w:r>
        <w:rPr>
          <w:rFonts w:ascii="Arial" w:cs="Arial" w:eastAsia="Arial" w:hAnsi="Arial"/>
          <w:color w:val="000000"/>
          <w:sz w:val="20"/>
          <w:szCs w:val="20"/>
        </w:rPr>
        <w:t xml:space="preserve">OSFI (Office of the Superintendent of Financial Institutions)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**URL:** https://www.osfi-bsif.gc.ca/en/ </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Open Data: https://open.canada.ca/data/en/organization/osfi-bsif </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API: ws.osfi-bsif.gc.ca</w:t>
            </w:r>
          </w:p>
        </w:tc>
      </w:tr>
    </w:tbl>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400+ federally regulated financial institutions (banks, insurers, trust companies); 1,200+ private pension plans</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Open Government Canada portal (free download); Web search; API access via ws.osfi-bsif.gc.ca</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CSV, JSON-compatible</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Daily</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 public access</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English and French (bilingual)</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Regulatory disclosure. Public data under Open Government initiative. No commercial restriction.</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Easy (web search/download); Medium (API integration)</w:t>
      </w:r>
    </w:p>
    <w:p>
      <w:pPr>
        <w:spacing w:after="80" w:before="80"/>
      </w:pPr>
      <w:r>
        <w:rPr>
          <w:rFonts w:ascii="Arial" w:cs="Arial" w:eastAsia="Arial" w:hAnsi="Arial"/>
          <w:color w:val="000000"/>
          <w:sz w:val="20"/>
          <w:szCs w:val="20"/>
        </w:rPr>
        <w:t xml:space="preserve">Chapter 3: Latin America</w:t>
      </w:r>
    </w:p>
    <w:p>
      <w:pPr>
        <w:spacing w:after="80" w:before="80"/>
      </w:pPr>
      <w:r>
        <w:rPr>
          <w:rFonts w:ascii="Arial" w:cs="Arial" w:eastAsia="Arial" w:hAnsi="Arial"/>
          <w:color w:val="000000"/>
          <w:sz w:val="20"/>
          <w:szCs w:val="20"/>
        </w:rPr>
        <w:t xml:space="preserve">Latin America presents a diverse data landscape with varying levels of digital maturity. Brazil leads with open data initiatives (CVM, DOU) and is the largest market. Chile stands out with a well-documented CMF API. Most IP offices across the region lack formal APIs, requiring web-based access. Data protection laws are converging toward GDPR-style frameworks (LGPD in Brazil, Law 21.719 in Chile).</w:t>
      </w:r>
    </w:p>
    <w:p>
      <w:pPr>
        <w:spacing w:after="80" w:before="80"/>
      </w:pPr>
      <w:r>
        <w:rPr>
          <w:rFonts w:ascii="Arial" w:cs="Arial" w:eastAsia="Arial" w:hAnsi="Arial"/>
          <w:color w:val="000000"/>
          <w:sz w:val="20"/>
          <w:szCs w:val="20"/>
        </w:rPr>
        <w:t xml:space="preserve">Brazil</w:t>
      </w:r>
    </w:p>
    <w:p>
      <w:pPr>
        <w:spacing w:after="80" w:before="80"/>
      </w:pPr>
      <w:r>
        <w:rPr>
          <w:rFonts w:ascii="Arial" w:cs="Arial" w:eastAsia="Arial" w:hAnsi="Arial"/>
          <w:color w:val="000000"/>
          <w:sz w:val="20"/>
          <w:szCs w:val="20"/>
        </w:rPr>
        <w:t xml:space="preserve">CVM (Comissão de Valores Mobiliários) - Securities</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https://www.gov.br/cvm/pt-br | Open Data: https://dados.cvm.gov.br/dataset/</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All listed company filings; large volume of real-time market data and historical filings</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API via open data portal; Web-based filing systems; Bulk data download</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XML, JSON, CSV via open data portal</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Real-time for market data; monthly aggregations for open data</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 for open data access</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Portuguese (primary); limited English</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LGPD (Lei Geral de Proteção de Dados). Securities regulation under Law 6,385/1976. Mandatory disclosure for listed companies.</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Low-Medium (REST API, standard authentication)</w:t>
      </w:r>
    </w:p>
    <w:p>
      <w:pPr>
        <w:spacing w:after="80" w:before="80"/>
      </w:pPr>
      <w:r>
        <w:rPr>
          <w:rFonts w:ascii="Arial" w:cs="Arial" w:eastAsia="Arial" w:hAnsi="Arial"/>
          <w:color w:val="000000"/>
          <w:sz w:val="20"/>
          <w:szCs w:val="20"/>
        </w:rPr>
        <w:t xml:space="preserve">INPI Brazil (Patents/Trademarks)</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https://www.gov.br/inpi/en | WIPO integration for 5M+ trademark records</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504,461 trademark applications (2025, record year); 29,557 patent applications (2025, +6.7%); millions cumulative since 1970</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BuscaWeb web interface (login/password required); Manual search and download. No programmatic API.</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PDF, downloadable documents</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Daily (new applications/decisions)</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 for search; fees for registration/filing</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Portuguese (primary); English on main portal</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LGPD compliance. Industrial Property Law. International treaty obligations (Paris Convention, TRIPS).</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Low (web interface only; no API)</w:t>
      </w:r>
    </w:p>
    <w:p>
      <w:pPr>
        <w:spacing w:after="80" w:before="80"/>
      </w:pPr>
      <w:r>
        <w:rPr>
          <w:rFonts w:ascii="Arial" w:cs="Arial" w:eastAsia="Arial" w:hAnsi="Arial"/>
          <w:color w:val="000000"/>
          <w:sz w:val="20"/>
          <w:szCs w:val="20"/>
        </w:rPr>
        <w:t xml:space="preserve">Diário Oficial da União (DOU) - Official Gazette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**URL:** https://in.gov.br/servicos/diario-oficial-da-uniao </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Open Data: https://in.gov.br/acesso-a-informacao/dados-abertos/base-de-dados </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GitHub INLABS: https://github.com/Imprensa-Nacional/inlabs</w:t>
            </w:r>
          </w:p>
        </w:tc>
      </w:tr>
    </w:tbl>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Daily publications (every business day); 200,000+ notices/publications monthly; fully digitized since 2017</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Web search interface; REST API (open data); Bulk XML/PDF downloads via INLABS; WS-INCom API (government-only)</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XML, PDF, HTML</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Daily (morning publication)</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 for public access</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Portuguese</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Official publication compliance requirements. LGPD for personal data in notices. Public records legislation.</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Medium (XML parsing, daily sync requirements)</w:t>
      </w:r>
    </w:p>
    <w:p>
      <w:pPr>
        <w:spacing w:after="80" w:before="80"/>
      </w:pPr>
      <w:r>
        <w:rPr>
          <w:rFonts w:ascii="Arial" w:cs="Arial" w:eastAsia="Arial" w:hAnsi="Arial"/>
          <w:color w:val="000000"/>
          <w:sz w:val="20"/>
          <w:szCs w:val="20"/>
        </w:rPr>
        <w:t xml:space="preserve">STF/STJ (Supreme Courts) -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**URL:** STF: https://portal.stf.jus.br/ </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STJ: https://www.stj.jus.br/ </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STJ PJI: https://www.stj.jus.br/PJI/</w:t>
            </w:r>
          </w:p>
        </w:tc>
      </w:tr>
    </w:tbl>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STF: ~126,531 decisions/year; 100,000+ cases received annually. STJ: substantial volume.</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Web-based search portals. No official APIs. Third-party platforms (Jusbrasil, Consudata) provide enhanced access.</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HTML, PDF (downloadable decisions)</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Daily (new decisions published continuously)</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 public access</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Portuguese (primary); selected decisions translated to English</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Judicial confidentiality rules. LGPD for personal information. Privacy protection for parties/witnesses.</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Low-Medium (web scraping required for automation)</w:t>
      </w:r>
    </w:p>
    <w:p>
      <w:pPr>
        <w:spacing w:after="80" w:before="80"/>
      </w:pPr>
      <w:r>
        <w:rPr>
          <w:rFonts w:ascii="Arial" w:cs="Arial" w:eastAsia="Arial" w:hAnsi="Arial"/>
          <w:color w:val="000000"/>
          <w:sz w:val="20"/>
          <w:szCs w:val="20"/>
        </w:rPr>
        <w:t xml:space="preserve">Mexico</w:t>
      </w:r>
    </w:p>
    <w:p>
      <w:pPr>
        <w:spacing w:after="80" w:before="80"/>
      </w:pPr>
      <w:r>
        <w:rPr>
          <w:rFonts w:ascii="Arial" w:cs="Arial" w:eastAsia="Arial" w:hAnsi="Arial"/>
          <w:color w:val="000000"/>
          <w:sz w:val="20"/>
          <w:szCs w:val="20"/>
        </w:rPr>
        <w:t xml:space="preserve">BMV (Bolsa Mexicana de Valores) - Stock Exchange</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https://www.bmv.com.mx/ | Alternative API: https://databursatil.com/</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~140 listed companies; thousands of filings annually</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DataBursatil REST API (free limited tier); BMV proprietary web services (contact BMV); Web portal downloads</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JSON (DataBursatil), CSV, XML</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Real-time (market data); daily (filings)</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DataBursatil: free with rate limits, premium available. BMV: custom pricing.</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Spanish (primary); English available</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Ley del Mercado de Valores. Disclosure requirements for listed companies. LFPDPPP personal data protection.</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Low-Medium (REST API via DataBursatil)</w:t>
      </w:r>
    </w:p>
    <w:p>
      <w:pPr>
        <w:spacing w:after="80" w:before="80"/>
      </w:pPr>
      <w:r>
        <w:rPr>
          <w:rFonts w:ascii="Arial" w:cs="Arial" w:eastAsia="Arial" w:hAnsi="Arial"/>
          <w:color w:val="000000"/>
          <w:sz w:val="20"/>
          <w:szCs w:val="20"/>
        </w:rPr>
        <w:t xml:space="preserve">IMPI (IP Office) - Patents/Trademarks</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https://www.gob.mx/impi | SIGA: https://siga.impi.gob.mx/</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Millions of trademark records; hundreds of thousands of patent applications</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SIGA web search (free); VIDOC viewer. No programmatic access.</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PDF, web interface</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Daily (new filings)</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 search; fees for registration</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Spanish</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Industrial Property Law. International treaty compliance.</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Low (web interface only)</w:t>
      </w:r>
    </w:p>
    <w:p>
      <w:pPr>
        <w:spacing w:after="80" w:before="80"/>
      </w:pPr>
      <w:r>
        <w:rPr>
          <w:rFonts w:ascii="Arial" w:cs="Arial" w:eastAsia="Arial" w:hAnsi="Arial"/>
          <w:color w:val="000000"/>
          <w:sz w:val="20"/>
          <w:szCs w:val="20"/>
        </w:rPr>
        <w:t xml:space="preserve">DOF (Diario Oficial de la Federación)</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https://dof.gob.mx/ | Community API: https://github.com/imco/dof-api</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Daily publications; 50,000+ entries monthly</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Web portal search; GitHub community API; Bulk downloads</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XML, PDF, HTML</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Daily</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Spanish</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Official publication compliance. Public records legislation.</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Medium (web parsing, community API)</w:t>
      </w:r>
    </w:p>
    <w:p>
      <w:pPr>
        <w:spacing w:after="80" w:before="80"/>
      </w:pPr>
      <w:r>
        <w:rPr>
          <w:rFonts w:ascii="Arial" w:cs="Arial" w:eastAsia="Arial" w:hAnsi="Arial"/>
          <w:color w:val="000000"/>
          <w:sz w:val="20"/>
          <w:szCs w:val="20"/>
        </w:rPr>
        <w:t xml:space="preserve">SCJN (Supreme Court)</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https://www.scjn.gob.mx/</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Millions of digitized files; thousands of decisions annually</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Web-based search portal. No programmatic API.</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PDF, HTML</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Continuous (new decisions)</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 public access</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Spanish</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Judicial confidentiality. Data privacy for case parties.</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Low-Medium (web scraping required)</w:t>
      </w:r>
    </w:p>
    <w:p>
      <w:pPr>
        <w:spacing w:after="80" w:before="80"/>
      </w:pPr>
      <w:r>
        <w:rPr>
          <w:rFonts w:ascii="Arial" w:cs="Arial" w:eastAsia="Arial" w:hAnsi="Arial"/>
          <w:color w:val="000000"/>
          <w:sz w:val="20"/>
          <w:szCs w:val="20"/>
        </w:rPr>
        <w:t xml:space="preserve">Colombia</w:t>
      </w:r>
    </w:p>
    <w:p>
      <w:pPr>
        <w:spacing w:after="80" w:before="80"/>
      </w:pPr>
      <w:r>
        <w:rPr>
          <w:rFonts w:ascii="Arial" w:cs="Arial" w:eastAsia="Arial" w:hAnsi="Arial"/>
          <w:color w:val="000000"/>
          <w:sz w:val="20"/>
          <w:szCs w:val="20"/>
        </w:rPr>
        <w:t xml:space="preserve">Superintendencia de Sociedades</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https://www.supersociedades.gov.co/ | SIIS: https://siis.ia.supersociedades.gov.co/</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Millions of corporate records and financial statements</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SIIS web portal (free); SIREM reporting system. No official API.</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HTML, downloadable reports</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Regular (based on filing requirements)</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 public access</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Spanish</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Corporate Law compliance. Law 1581/2012 data protection (Decreto 1377/2013).</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Low (web interface)</w:t>
      </w:r>
    </w:p>
    <w:p>
      <w:pPr>
        <w:spacing w:after="80" w:before="80"/>
      </w:pPr>
      <w:r>
        <w:rPr>
          <w:rFonts w:ascii="Arial" w:cs="Arial" w:eastAsia="Arial" w:hAnsi="Arial"/>
          <w:color w:val="000000"/>
          <w:sz w:val="20"/>
          <w:szCs w:val="20"/>
        </w:rPr>
        <w:t xml:space="preserve">SIC (IP Office) and Rama Judicial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**URL:** SIC: https://www.sic.gov.co/ </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SIPI: https://sipi.sic.gov.co/ </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Rama Judicial: https://www.ramajudicial.gov.co/ </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Open data: https://www.datos.gov.co/</w:t>
            </w:r>
          </w:p>
        </w:tc>
      </w:tr>
    </w:tbl>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Millions of IP records and judicial cases</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SIPI web search; CKAN API via datos.gov.co; Manual case lookup. Third-party services (Monolegal).</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XML, CSV, HTML</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Daily (new filings and decisions)</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 public access</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Spanish</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Law 1581/2012 (similar EU-style framework). Enforcement via SIC. Judicial confidentiality rules.</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Low-Medium (web scraping, open data API)</w:t>
      </w:r>
    </w:p>
    <w:p>
      <w:pPr>
        <w:spacing w:after="80" w:before="80"/>
      </w:pPr>
      <w:r>
        <w:rPr>
          <w:rFonts w:ascii="Arial" w:cs="Arial" w:eastAsia="Arial" w:hAnsi="Arial"/>
          <w:color w:val="000000"/>
          <w:sz w:val="20"/>
          <w:szCs w:val="20"/>
        </w:rPr>
        <w:t xml:space="preserve">Chile</w:t>
      </w:r>
    </w:p>
    <w:p>
      <w:pPr>
        <w:spacing w:after="80" w:before="80"/>
      </w:pPr>
      <w:r>
        <w:rPr>
          <w:rFonts w:ascii="Arial" w:cs="Arial" w:eastAsia="Arial" w:hAnsi="Arial"/>
          <w:color w:val="000000"/>
          <w:sz w:val="20"/>
          <w:szCs w:val="20"/>
        </w:rPr>
        <w:t xml:space="preserve">CMF (Financial Regulator)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**URL:** https://www.cmfchile.cl/ </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API: https://api.cmfchile.cl/ </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Docs: https://api.cmfchile.cl/documentacion/index.html</w:t>
            </w:r>
          </w:p>
        </w:tc>
      </w:tr>
    </w:tbl>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Extensive financial market data covering banks, insurance, securities</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REST API with authentication key; Web portal. SSL/HTTPS required.</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JSON, XML</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Real-time (market data); daily aggregations</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 API access (requires registration for API key); rate limits per account</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Spanish (primary); some English documentation</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Financial regulation compliance. Data protection under new Law 21.719 (effective December 2026).</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Medium (REST API, API key authentication)</w:t>
      </w:r>
    </w:p>
    <w:p>
      <w:pPr>
        <w:spacing w:after="80" w:before="80"/>
      </w:pPr>
      <w:r>
        <w:rPr>
          <w:rFonts w:ascii="Arial" w:cs="Arial" w:eastAsia="Arial" w:hAnsi="Arial"/>
          <w:color w:val="000000"/>
          <w:sz w:val="20"/>
          <w:szCs w:val="20"/>
        </w:rPr>
        <w:t xml:space="preserve">INAPI (IP Office)</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https://www.inapi.cl | English: https://www.inapi.cl/en/home</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Millions of patent and trademark records</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Web-based search and download. No programmatic access.</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Web interface, PDF documents</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Daily (new filings)</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 search; fees for registration</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Spanish (primary); English available</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Industrial Property Law. Data privacy under new Law 21.719.</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Low (web interface)</w:t>
      </w:r>
    </w:p>
    <w:p>
      <w:pPr>
        <w:spacing w:after="80" w:before="80"/>
      </w:pPr>
      <w:r>
        <w:rPr>
          <w:rFonts w:ascii="Arial" w:cs="Arial" w:eastAsia="Arial" w:hAnsi="Arial"/>
          <w:color w:val="000000"/>
          <w:sz w:val="20"/>
          <w:szCs w:val="20"/>
        </w:rPr>
        <w:t xml:space="preserve">Argentina</w:t>
      </w:r>
    </w:p>
    <w:p>
      <w:pPr>
        <w:spacing w:after="80" w:before="80"/>
      </w:pPr>
      <w:r>
        <w:rPr>
          <w:rFonts w:ascii="Arial" w:cs="Arial" w:eastAsia="Arial" w:hAnsi="Arial"/>
          <w:color w:val="000000"/>
          <w:sz w:val="20"/>
          <w:szCs w:val="20"/>
        </w:rPr>
        <w:t xml:space="preserve">CNV (Securities) and INPI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**URL:** CNV: https://www.cnv.gov.ar/ </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INPI: https://www.argentina.gob.ar/inpi </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Trademark search: https://portaltramites.inpi.gob.ar/marcasconsultas/busqueda</w:t>
            </w:r>
          </w:p>
        </w:tc>
      </w:tr>
    </w:tbl>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Hundreds of securities issuers; millions of trademark and patent records</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Web portal search (CNV, INPI). No official APIs. Third-party API via TMSearch.ai for trademarks.</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PDF, web interface</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Daily (filing submissions)</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 public access; TMSearch.ai has commercial tier</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Spanish</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Securities Law 26,831. Law 25,326 (Personal Data Protection). Industrial Property Law.</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Low (web interface); Medium (third-party API)</w:t>
      </w:r>
    </w:p>
    <w:p>
      <w:pPr>
        <w:spacing w:after="80" w:before="80"/>
      </w:pPr>
      <w:r>
        <w:rPr>
          <w:rFonts w:ascii="Arial" w:cs="Arial" w:eastAsia="Arial" w:hAnsi="Arial"/>
          <w:color w:val="000000"/>
          <w:sz w:val="20"/>
          <w:szCs w:val="20"/>
        </w:rPr>
        <w:t xml:space="preserve">Peru</w:t>
      </w:r>
    </w:p>
    <w:p>
      <w:pPr>
        <w:spacing w:after="80" w:before="80"/>
      </w:pPr>
      <w:r>
        <w:rPr>
          <w:rFonts w:ascii="Arial" w:cs="Arial" w:eastAsia="Arial" w:hAnsi="Arial"/>
          <w:color w:val="000000"/>
          <w:sz w:val="20"/>
          <w:szCs w:val="20"/>
        </w:rPr>
        <w:t xml:space="preserve">SMV (Securities) and Indecopi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**URL:** SMV: https://www.smv.gob.pe/ </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SIMV: https://www.smv.gob.pe/SIMV/ </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Indecopi: https://indecopi.gob.pe/</w:t>
            </w:r>
          </w:p>
        </w:tc>
      </w:tr>
    </w:tbl>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Financial institutions, securities issuers, millions of IP registrations</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Web portals (SIMV, Indecopi). Third-party API services (Aptitude.co). No official APIs.</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Web interface, downloadable reports, PDF documents</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Daily (market data); regular (filings and IP registrations)</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 web access; third-party APIs commercial pricing</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Spanish</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Securities Market Law. Law 29,733 (Personal Data Law). APDP enforcement.</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Low (web interface); Medium (third-party API)</w:t>
      </w:r>
    </w:p>
    <w:p>
      <w:pPr>
        <w:spacing w:after="80" w:before="80"/>
      </w:pPr>
      <w:r>
        <w:rPr>
          <w:rFonts w:ascii="Arial" w:cs="Arial" w:eastAsia="Arial" w:hAnsi="Arial"/>
          <w:color w:val="000000"/>
          <w:sz w:val="20"/>
          <w:szCs w:val="20"/>
        </w:rPr>
        <w:t xml:space="preserve">Chapter 4: Asia</w:t>
      </w:r>
    </w:p>
    <w:p>
      <w:pPr>
        <w:spacing w:after="80" w:before="80"/>
      </w:pPr>
      <w:r>
        <w:rPr>
          <w:rFonts w:ascii="Arial" w:cs="Arial" w:eastAsia="Arial" w:hAnsi="Arial"/>
          <w:color w:val="000000"/>
          <w:sz w:val="20"/>
          <w:szCs w:val="20"/>
        </w:rPr>
        <w:t xml:space="preserve">Asia offers the most diverse data environment, ranging from world-class free APIs (Japan EDINET, Korea DART) to heavily restricted systems (China). English-language jurisdictions (Singapore, Hong Kong, India, Philippines) are easiest to integrate. CJK (Chinese, Japanese, Korean) character encoding is a major technical consideration for Northeast Asian sources.</w:t>
      </w:r>
    </w:p>
    <w:p>
      <w:pPr>
        <w:spacing w:after="80" w:before="80"/>
      </w:pPr>
      <w:r>
        <w:rPr>
          <w:rFonts w:ascii="Arial" w:cs="Arial" w:eastAsia="Arial" w:hAnsi="Arial"/>
          <w:color w:val="000000"/>
          <w:sz w:val="20"/>
          <w:szCs w:val="20"/>
        </w:rPr>
        <w:t xml:space="preserve">Singapore</w:t>
      </w:r>
    </w:p>
    <w:p>
      <w:pPr>
        <w:spacing w:after="80" w:before="80"/>
      </w:pPr>
      <w:r>
        <w:rPr>
          <w:rFonts w:ascii="Arial" w:cs="Arial" w:eastAsia="Arial" w:hAnsi="Arial"/>
          <w:color w:val="000000"/>
          <w:sz w:val="20"/>
          <w:szCs w:val="20"/>
        </w:rPr>
        <w:t xml:space="preserve">ACRA (Corporate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**URL:** https://www.bizfile.gov.sg/ </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API: https://www.acra.gov.sg/about-bizfile/api-marketplace </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Data: https://data.gov.sg</w:t>
            </w:r>
          </w:p>
        </w:tc>
      </w:tr>
    </w:tbl>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285,000+ registered entities; datasets organized in 27 CSV files</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Web portal (BizFile); API Marketplace with subscription; data.gov.sg public datasets</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CSV (UTF-8), JSON via API, monthly updates by entity letter</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Monthly incremental; real-time for some transactions</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ACRA API Marketplace requires subscription (auto top-up at 150 calls); pricing requires inquiry</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English (primary); Chinese available</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PDPA 2012 applies. Breach notification within 3 calendar days. Penalties up to 10% annual turnover (if exceeding SGD 10M).</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Medium (API authentication, rate limiting)</w:t>
      </w:r>
    </w:p>
    <w:p>
      <w:pPr>
        <w:spacing w:after="80" w:before="80"/>
      </w:pPr>
      <w:r>
        <w:rPr>
          <w:rFonts w:ascii="Arial" w:cs="Arial" w:eastAsia="Arial" w:hAnsi="Arial"/>
          <w:color w:val="000000"/>
          <w:sz w:val="20"/>
          <w:szCs w:val="20"/>
        </w:rPr>
        <w:t xml:space="preserve">SGX (Securities Exchange)</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https://www.sgx.com/securities/company-announcements</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730+ listed companies; 50,000+ annual filings/announcements</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Web portal (free). No official API. Premium data via SGX Data Connectivity.</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HTML, PDF announcements, XBRL for financial data</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Real-time for announcements; daily for trading data</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 public web access; premium data services available</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English, Chinese</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PDPA applies. SGX listing rules compliance.</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Low (web access only; no API)</w:t>
      </w:r>
    </w:p>
    <w:p>
      <w:pPr>
        <w:spacing w:after="80" w:before="80"/>
      </w:pPr>
      <w:r>
        <w:rPr>
          <w:rFonts w:ascii="Arial" w:cs="Arial" w:eastAsia="Arial" w:hAnsi="Arial"/>
          <w:color w:val="000000"/>
          <w:sz w:val="20"/>
          <w:szCs w:val="20"/>
        </w:rPr>
        <w:t xml:space="preserve">IPOS (IP Office)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**URL:** https://www.ipos.gov.sg/ </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API: https://data.gov.sg/collections/281/view </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Digital Hub: https://digitalhub.ipos.gov.sg/</w:t>
            </w:r>
          </w:p>
        </w:tc>
      </w:tr>
    </w:tbl>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350,000+ patent applications; 200,000+ trademarks; 50,000+ designs (cumulative)</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Web search at Digital Hub; APIs via data.gov.sg for Patents, Designs, Trademarks</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JSON (API); CSV from data.gov.sg</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Updates within 1-2 business days of lodgement</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 via data.gov.sg; higher rate limits available</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English</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PDPA applies to personal data in applicant records.</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Low-Medium (REST API with JSON responses)</w:t>
      </w:r>
    </w:p>
    <w:p>
      <w:pPr>
        <w:spacing w:after="80" w:before="80"/>
      </w:pPr>
      <w:r>
        <w:rPr>
          <w:rFonts w:ascii="Arial" w:cs="Arial" w:eastAsia="Arial" w:hAnsi="Arial"/>
          <w:color w:val="000000"/>
          <w:sz w:val="20"/>
          <w:szCs w:val="20"/>
        </w:rPr>
        <w:t xml:space="preserve">India</w:t>
      </w:r>
    </w:p>
    <w:p>
      <w:pPr>
        <w:spacing w:after="80" w:before="80"/>
      </w:pPr>
      <w:r>
        <w:rPr>
          <w:rFonts w:ascii="Arial" w:cs="Arial" w:eastAsia="Arial" w:hAnsi="Arial"/>
          <w:color w:val="000000"/>
          <w:sz w:val="20"/>
          <w:szCs w:val="20"/>
        </w:rPr>
        <w:t xml:space="preserve">MCA21 (Ministry of Corporate Affairs)</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https://www.mca.gov.in/ | Bulk data: https://www.data.gov.in/catalog/company-master-data</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1.3 million+ registered companies; 1 million+ LLP registrations</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Web portal; Bulk data via data.gov.in; Third-party APIs (AuthBridge, Surepass) for CIN/DIN verification; MCA21 V3.0 CORS API planned</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JSON (API), CSV (bulk), XML planned</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Monthly bulk exports; real-time for specific lookups</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 web access; third-party APIs INR 5-100/query; bulk free from data.gov.in</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English, Hindi</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IT Act 2000 Section 43A (body corporate liability). SPDI Rules. Audit requirements (ISO 27001 or annual independent audit). Consent and privacy policy disclosure mandatory.</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Medium (CIN/DIN APIs available; bulk data structured)</w:t>
      </w:r>
    </w:p>
    <w:p>
      <w:pPr>
        <w:spacing w:after="80" w:before="80"/>
      </w:pPr>
      <w:r>
        <w:rPr>
          <w:rFonts w:ascii="Arial" w:cs="Arial" w:eastAsia="Arial" w:hAnsi="Arial"/>
          <w:color w:val="000000"/>
          <w:sz w:val="20"/>
          <w:szCs w:val="20"/>
        </w:rPr>
        <w:t xml:space="preserve">SEBI (Securities Filings)</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https://www.sebi.gov.in/filings.html</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6,000+ listed companies; 500,000+ annual filings</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Web portal search. No public API.</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HTML, PDF filings</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Real-time filing; indexed within 24 hours</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 public access</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English, regional language summaries</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IT Act 2000. Insider trading regulations. SPDI Rules.</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Low (web portal only)</w:t>
      </w:r>
    </w:p>
    <w:p>
      <w:pPr>
        <w:spacing w:after="80" w:before="80"/>
      </w:pPr>
      <w:r>
        <w:rPr>
          <w:rFonts w:ascii="Arial" w:cs="Arial" w:eastAsia="Arial" w:hAnsi="Arial"/>
          <w:color w:val="000000"/>
          <w:sz w:val="20"/>
          <w:szCs w:val="20"/>
        </w:rPr>
        <w:t xml:space="preserve">Indian Patent Office (CGPDTM)</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https://ipindia.gov.in/ | INPASS search portal</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500,000+ patent applications; 1,000,000+ cumulative registrations</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INPASS full-text search with Boolean operators. No public API.</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HTML search results, PDF documents</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Indexed within 5-7 business days</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 public access</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English (primary); Hindi available</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Patents Act 1970. Trade Marks Act 1999. IT Act 2000.</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Low (web search interface)</w:t>
      </w:r>
    </w:p>
    <w:p>
      <w:pPr>
        <w:spacing w:after="80" w:before="80"/>
      </w:pPr>
      <w:r>
        <w:rPr>
          <w:rFonts w:ascii="Arial" w:cs="Arial" w:eastAsia="Arial" w:hAnsi="Arial"/>
          <w:color w:val="000000"/>
          <w:sz w:val="20"/>
          <w:szCs w:val="20"/>
        </w:rPr>
        <w:t xml:space="preserve">Indian Kanoon (Legal Database)</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https://indiankanoon.org/ | API: https://api.indiankanoon.org/</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100,000+ legal documents</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Public REST API; web search portal</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JSON, XML (via Accept header)</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Ongoing; typically 2-3 weeks after judgment</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 API access with token-based authentication</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English</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IT Act 2000. Copyright in judicial documents.</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Low (REST API with simple authentication)</w:t>
      </w:r>
    </w:p>
    <w:p>
      <w:pPr>
        <w:spacing w:after="80" w:before="80"/>
      </w:pPr>
      <w:r>
        <w:rPr>
          <w:rFonts w:ascii="Arial" w:cs="Arial" w:eastAsia="Arial" w:hAnsi="Arial"/>
          <w:color w:val="000000"/>
          <w:sz w:val="20"/>
          <w:szCs w:val="20"/>
        </w:rPr>
        <w:t xml:space="preserve">Japan</w:t>
      </w:r>
    </w:p>
    <w:p>
      <w:pPr>
        <w:spacing w:after="80" w:before="80"/>
      </w:pPr>
      <w:r>
        <w:rPr>
          <w:rFonts w:ascii="Arial" w:cs="Arial" w:eastAsia="Arial" w:hAnsi="Arial"/>
          <w:color w:val="000000"/>
          <w:sz w:val="20"/>
          <w:szCs w:val="20"/>
        </w:rPr>
        <w:t xml:space="preserve">EDINET (Securities Filings)</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API: https://api.edinet-fsa.go.jp/api/v2/documents.json (v2, updated Jan 29, 2026)</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4,125+ listed companies; 11,000+ total entities required to file; 10 years historical data</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Free API with Subscription-Key authentication. No credit card required.</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ZIP files containing XBRL_TO_CSV (UTF-16 encoding, tab-delimited)</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Real-time; filings indexed same day; XBRL within 24 hours</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Completely free with API key registration</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Japanese (primary); some English documentation</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APPI (Act on Protection of Personal Information). Japan has GDPR adequacy status (since Jan 2019). Breach notification to PPC required.</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Low (free API, well-documented, mandatory 3-5 second intervals between requests)</w:t>
      </w:r>
    </w:p>
    <w:p>
      <w:pPr>
        <w:spacing w:after="80" w:before="80"/>
      </w:pPr>
      <w:r>
        <w:rPr>
          <w:rFonts w:ascii="Arial" w:cs="Arial" w:eastAsia="Arial" w:hAnsi="Arial"/>
          <w:i/>
          <w:iCs/>
          <w:color w:val="000000"/>
          <w:sz w:val="20"/>
          <w:szCs w:val="20"/>
        </w:rPr>
        <w:t xml:space="preserve">Rate limit: 3-5 second intervals mandatory between consecutive requests; connections dropped for rapid requests.</w:t>
      </w:r>
    </w:p>
    <w:p>
      <w:pPr>
        <w:spacing w:after="80" w:before="80"/>
      </w:pPr>
      <w:r>
        <w:rPr>
          <w:rFonts w:ascii="Arial" w:cs="Arial" w:eastAsia="Arial" w:hAnsi="Arial"/>
          <w:color w:val="000000"/>
          <w:sz w:val="20"/>
          <w:szCs w:val="20"/>
        </w:rPr>
        <w:t xml:space="preserve">J-PlatPat (Patent/Trademark Database)</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https://www.j-platpat.inpit.go.jp/?uri=/s0000/en</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500,000+ patents; 2,000,000+ trademarks; 500,000+ designs</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Web search portal (free). Patent API in trial phase (OPD-API terminated Aug 2024).</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HTML search results; XML for API (trial only)</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Published data within 1-2 weeks; weekly bulk updates</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 web portal; API trial status</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Japanese (primary); English abstracts for patents</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APPI applies. Patents Act 2000. Trademark Act 1959.</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Low (web portal); Medium (API trial phase)</w:t>
      </w:r>
    </w:p>
    <w:p>
      <w:pPr>
        <w:spacing w:after="80" w:before="80"/>
      </w:pPr>
      <w:r>
        <w:rPr>
          <w:rFonts w:ascii="Arial" w:cs="Arial" w:eastAsia="Arial" w:hAnsi="Arial"/>
          <w:color w:val="000000"/>
          <w:sz w:val="20"/>
          <w:szCs w:val="20"/>
        </w:rPr>
        <w:t xml:space="preserve">Courts.go.jp (Court Decisions)</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https://www.courts.go.jp/english/</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1,000,000+ judicial decisions across all court levels</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Web portal search; limited API access</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HTML, PDF documents</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Within 2-4 weeks of judgment</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 public access</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Japanese (primary); English for procedural information</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APPI. Judicial document copyright. Sensitive info may be redacted.</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Low (web portal only)</w:t>
      </w:r>
    </w:p>
    <w:p>
      <w:pPr>
        <w:spacing w:after="80" w:before="80"/>
      </w:pPr>
      <w:r>
        <w:rPr>
          <w:rFonts w:ascii="Arial" w:cs="Arial" w:eastAsia="Arial" w:hAnsi="Arial"/>
          <w:color w:val="000000"/>
          <w:sz w:val="20"/>
          <w:szCs w:val="20"/>
        </w:rPr>
        <w:t xml:space="preserve">South Korea</w:t>
      </w:r>
    </w:p>
    <w:p>
      <w:pPr>
        <w:spacing w:after="80" w:before="80"/>
      </w:pPr>
      <w:r>
        <w:rPr>
          <w:rFonts w:ascii="Arial" w:cs="Arial" w:eastAsia="Arial" w:hAnsi="Arial"/>
          <w:color w:val="000000"/>
          <w:sz w:val="20"/>
          <w:szCs w:val="20"/>
        </w:rPr>
        <w:t xml:space="preserve">DART (Securities Filing System)</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https://englishdart.fss.or.kr/ | Open API: https://engopendart.fss.or.kr/</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3,000+ listed companies; 500,000+ annual filings</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Open API with authentication key (anyone can register); web portal search</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JSON (API), XBRL, EXCEL, TXT, CSV</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Real-time filing; indexed within 1-2 business days</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 API access with authentication key</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Korean (primary); English portal available</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Personal Information Protection Act (PIPA). FSS cybersecurity requirements.</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Medium (API authentication key; multiple output formats)</w:t>
      </w:r>
    </w:p>
    <w:p>
      <w:pPr>
        <w:spacing w:after="80" w:before="80"/>
      </w:pPr>
      <w:r>
        <w:rPr>
          <w:rFonts w:ascii="Arial" w:cs="Arial" w:eastAsia="Arial" w:hAnsi="Arial"/>
          <w:color w:val="000000"/>
          <w:sz w:val="20"/>
          <w:szCs w:val="20"/>
        </w:rPr>
        <w:t xml:space="preserve">KIPRIS (IP Information Service)</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https://www.kipris.or.kr/ | KIPRIS Plus REST API</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1,500,000+ patents; 2,500,000+ trademarks; 500,000+ designs</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Web portal (free); KIPRIS Plus REST API with registration</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XML (API); HTML (web portal)</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Weekly updates; API typically 3-5 days behind publication</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 up to 1,000 cases/month; paid tiers for higher volume</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Korean (primary); English abstracts available</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Patent Act 2006. Trademark Act 2015. PIPA.</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Medium (REST API with XML output; registration required)</w:t>
      </w:r>
    </w:p>
    <w:p>
      <w:pPr>
        <w:spacing w:after="80" w:before="80"/>
      </w:pPr>
      <w:r>
        <w:rPr>
          <w:rFonts w:ascii="Arial" w:cs="Arial" w:eastAsia="Arial" w:hAnsi="Arial"/>
          <w:color w:val="000000"/>
          <w:sz w:val="20"/>
          <w:szCs w:val="20"/>
        </w:rPr>
        <w:t xml:space="preserve">China</w:t>
      </w:r>
    </w:p>
    <w:p>
      <w:pPr>
        <w:spacing w:after="80" w:before="80"/>
      </w:pPr>
      <w:r>
        <w:rPr>
          <w:rFonts w:ascii="Arial" w:cs="Arial" w:eastAsia="Arial" w:hAnsi="Arial"/>
          <w:color w:val="000000"/>
          <w:sz w:val="20"/>
          <w:szCs w:val="20"/>
        </w:rPr>
        <w:t xml:space="preserve">CNINFO (Securities/Corporate Filings)</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https://www.cninfo.com.cn/ | Data API: https://webapi.cninfo.com.cn/</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5,300+ A-share listed companies; 600+ HK-listed Chinese cos; 10M+ annual announcements</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Web portal; Data Service Platform (webapi.cninfo.com.cn); Announcement query APIs</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JSON (API), HTML, PDF, XBRL for financial data</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Real-time filing; indexed within 2-4 hours</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 public web; licensed data access through Shenzhen Securities Information (variable pricing)</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Simplified Chinese (primary); limited English</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PIPL (Personal Information Protection Law). Cybersecurity Law (data localization for financial institutions). CSRC Administrative Measures (May 2023). Data classification and cross-border transfer restrictions. Overseas listing filings reported to CSRC within 3 working days.</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Medium (APIs available but limited English documentation; web scraping common alternative)</w:t>
      </w:r>
    </w:p>
    <w:p>
      <w:pPr>
        <w:spacing w:after="80" w:before="80"/>
      </w:pPr>
      <w:r>
        <w:rPr>
          <w:rFonts w:ascii="Arial" w:cs="Arial" w:eastAsia="Arial" w:hAnsi="Arial"/>
          <w:color w:val="000000"/>
          <w:sz w:val="20"/>
          <w:szCs w:val="20"/>
        </w:rPr>
        <w:t xml:space="preserve">CNIPA (Patents)</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https://english.cnipa.gov.cn/ | Patent Publication: http://epub.cnipa.gov.cn/</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3,000,000+ granted patents; 10,000,000+ total applications filed cumulative</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Web-based search portals (registration required for exam interface). Patent Search and Analysis System (PSS).</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HTML, PDF patent documents</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Patent data published weekly; indexed within 2-3 days</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 public access; exam system requires company registration</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Simplified Chinese (primary); limited English</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Patents Act 2020 (amended). Trademark Law 2023. PIPL trade secret protection.</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Low-Medium (web portal; no documented public API)</w:t>
      </w:r>
    </w:p>
    <w:p>
      <w:pPr>
        <w:spacing w:after="80" w:before="80"/>
      </w:pPr>
      <w:r>
        <w:rPr>
          <w:rFonts w:ascii="Arial" w:cs="Arial" w:eastAsia="Arial" w:hAnsi="Arial"/>
          <w:color w:val="000000"/>
          <w:sz w:val="20"/>
          <w:szCs w:val="20"/>
        </w:rPr>
        <w:t xml:space="preserve">China Judgements Online</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https://wenshu.court.gov.cn/</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105,600,000+ court decisions (all court levels)</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Web search portal. No public API.</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HTML, PDF downloads</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Published within 1-3 months of judgment (varies by court level)</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 public access</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Simplified Chinese</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PIPL for personal data (minor names redacted). State secrets exempted.</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Low (web portal only; no API)</w:t>
      </w:r>
    </w:p>
    <w:p>
      <w:pPr>
        <w:spacing w:after="80" w:before="80"/>
      </w:pPr>
      <w:r>
        <w:rPr>
          <w:rFonts w:ascii="Arial" w:cs="Arial" w:eastAsia="Arial" w:hAnsi="Arial"/>
          <w:color w:val="000000"/>
          <w:sz w:val="20"/>
          <w:szCs w:val="20"/>
        </w:rPr>
        <w:t xml:space="preserve">Hong Kong</w:t>
      </w:r>
    </w:p>
    <w:p>
      <w:pPr>
        <w:spacing w:after="80" w:before="80"/>
      </w:pPr>
      <w:r>
        <w:rPr>
          <w:rFonts w:ascii="Arial" w:cs="Arial" w:eastAsia="Arial" w:hAnsi="Arial"/>
          <w:color w:val="000000"/>
          <w:sz w:val="20"/>
          <w:szCs w:val="20"/>
        </w:rPr>
        <w:t xml:space="preserve">HKEX (Listed Company Filings)</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https://www.hkexnews.hk/ | Filing search: https://www1.hkexnews.hk/search/titlesearch.xhtml</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2,500+ listed companies; 50,000+ annual disclosures</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HKEXnews web portal (free). No documented API.</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HTML announcements, PDF filings, XBRL for financial data</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Real-time announcement publication; same-day indexing</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 public access</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English, Traditional Chinese</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PDPO (Personal Data Privacy Ordinance). Six Data Protection Principles. PCPD enforcement.</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Low (web portal; no API)</w:t>
      </w:r>
    </w:p>
    <w:p>
      <w:pPr>
        <w:spacing w:after="80" w:before="80"/>
      </w:pPr>
      <w:r>
        <w:rPr>
          <w:rFonts w:ascii="Arial" w:cs="Arial" w:eastAsia="Arial" w:hAnsi="Arial"/>
          <w:color w:val="000000"/>
          <w:sz w:val="20"/>
          <w:szCs w:val="20"/>
        </w:rPr>
        <w:t xml:space="preserve">ICRIS (Companies Registry) and HKIPO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**URL:** ICRIS: https://www.icris.cr.gov.hk/csci/ </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e-Services: https://www.e-services.cr.gov.hk/ </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HKIPO: https://esearch.ipd.gov.hk</w:t>
            </w:r>
          </w:p>
        </w:tc>
      </w:tr>
    </w:tbl>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ICRIS: 1,900,000+ registered companies; 150,000+ annual new registrations. HKIPO: 500,000+ trademarks; 50,000+ patents; 100,000+ designs.</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Web portals with authentication. No public APIs documented.</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HTML records, PDF certificates. XML limited.</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Real-time registration. HKIPO search index weekly.</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ICRIS: free basic search, certified copies HKD 50-100. HKIPO: free search, services HKD 500-2000.</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English, Traditional Chinese</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PDPO applies. Director data privacy-protected. Patents Ordinance, Trademarks Ordinance.</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Low (web portals; no APIs)</w:t>
      </w:r>
    </w:p>
    <w:p>
      <w:pPr>
        <w:spacing w:after="80" w:before="80"/>
      </w:pPr>
      <w:r>
        <w:rPr>
          <w:rFonts w:ascii="Arial" w:cs="Arial" w:eastAsia="Arial" w:hAnsi="Arial"/>
          <w:color w:val="000000"/>
          <w:sz w:val="20"/>
          <w:szCs w:val="20"/>
        </w:rPr>
        <w:t xml:space="preserve">Indonesia</w:t>
      </w:r>
    </w:p>
    <w:p>
      <w:pPr>
        <w:spacing w:after="80" w:before="80"/>
      </w:pPr>
      <w:r>
        <w:rPr>
          <w:rFonts w:ascii="Arial" w:cs="Arial" w:eastAsia="Arial" w:hAnsi="Arial"/>
          <w:color w:val="000000"/>
          <w:sz w:val="20"/>
          <w:szCs w:val="20"/>
        </w:rPr>
        <w:t xml:space="preserve">IDX (Stock Exchange) and DGIP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**URL:** IDX: https://www.idx.co.id/ </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Data: https://data.idx.co.id/ </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DGIP: https://www.dgip.go.id/ </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LADI HKI: http://e-statushki.dgip.go.id/</w:t>
            </w:r>
          </w:p>
        </w:tc>
      </w:tr>
    </w:tbl>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IDX: 850+ listed companies. DGIP: 1.2M+ patents, 2M+ trademarks, 500K+ designs.</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IDX: data portal, third-party APIs (Sectors.app, OHLC.dev, Twelve Data). DGIP: web search, LADI HKI database, e-filing system. No documented public API for IP.</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IDX: JSON (APIs), CSV, Excel. DGIP: HTML, PDF.</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IDX: Real-time for market data. DGIP: 3-7 business days indexing.</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IDX: free basic, licensed services variable, third-party $50-500/mo. DGIP: free search, filing fees IDR 500K-5M+.</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Indonesian, English</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Capital Markets Law No. 8/1997. OJK regulations. Patent Law No. 13/2016. Trademark Law No. 20/2016.</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Medium (third-party APIs for IDX; web-only for IP)</w:t>
      </w:r>
    </w:p>
    <w:p>
      <w:pPr>
        <w:spacing w:after="80" w:before="80"/>
      </w:pPr>
      <w:r>
        <w:rPr>
          <w:rFonts w:ascii="Arial" w:cs="Arial" w:eastAsia="Arial" w:hAnsi="Arial"/>
          <w:color w:val="000000"/>
          <w:sz w:val="20"/>
          <w:szCs w:val="20"/>
        </w:rPr>
        <w:t xml:space="preserve">Philippines</w:t>
      </w:r>
    </w:p>
    <w:p>
      <w:pPr>
        <w:spacing w:after="80" w:before="80"/>
      </w:pPr>
      <w:r>
        <w:rPr>
          <w:rFonts w:ascii="Arial" w:cs="Arial" w:eastAsia="Arial" w:hAnsi="Arial"/>
          <w:color w:val="000000"/>
          <w:sz w:val="20"/>
          <w:szCs w:val="20"/>
        </w:rPr>
        <w:t xml:space="preserve">SEC Philippines and IPOPHL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**URL:** SEC: https://portal.sec.gov.ph/home/ (API Marketplace) </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SEC Express: https://secexpress.ph/ </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IPOPHL: https://www.ipophil.gov.ph/ </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e-Services: https://onlineservices.ipophil.gov.ph/</w:t>
            </w:r>
          </w:p>
        </w:tc>
      </w:tr>
    </w:tbl>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SEC: 500,000+ registered entities. IPOPHL: 200K+ patents, 1M+ trademarks (cumulative).</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SEC: API Marketplace (9 APIs for company data), SEC Express for documents. IPOPHL: e-Services portal, web search. No IPOPHL API.</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SEC: JSON (API), PDF. IPOPHL: HTML, PDF.</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SEC: real-time API, document requests 1-3 days. IPOPHL: search weekly, 2-3 weeks post-approval.</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SEC: free basic search, paid API tiers, documents PHP 100-500. IPOPHL: free search, filing PHP 3K-15K+.</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English (primary), Filipino</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Data Privacy Act 2012 (RA 10173). DPO mandatory. 72-hour breach notification. IP Code RA 8293.</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Medium (SEC API authentication; multiple endpoints)</w:t>
      </w:r>
    </w:p>
    <w:p>
      <w:pPr>
        <w:spacing w:after="80" w:before="80"/>
      </w:pPr>
      <w:r>
        <w:rPr>
          <w:rFonts w:ascii="Arial" w:cs="Arial" w:eastAsia="Arial" w:hAnsi="Arial"/>
          <w:color w:val="000000"/>
          <w:sz w:val="20"/>
          <w:szCs w:val="20"/>
        </w:rPr>
        <w:t xml:space="preserve">Chapter 5: Africa</w:t>
      </w:r>
    </w:p>
    <w:p>
      <w:pPr>
        <w:spacing w:after="80" w:before="80"/>
      </w:pPr>
      <w:r>
        <w:rPr>
          <w:rFonts w:ascii="Arial" w:cs="Arial" w:eastAsia="Arial" w:hAnsi="Arial"/>
          <w:color w:val="000000"/>
          <w:sz w:val="20"/>
          <w:szCs w:val="20"/>
        </w:rPr>
        <w:t xml:space="preserve">Africa is a priority region given Arkova's Kenya legal team engagement. Kenya has the most mature legal database (Kenya Law with 275,000+ decisions) and recently enacted the Data Protection Act 2019. South Africa offers strong legal database coverage via SAFLII. Nigeria's NGX provides a notable stock exchange API. Digital infrastructure is developing across the continent, with most registries offering web-only access.</w:t>
      </w:r>
    </w:p>
    <w:p>
      <w:pPr>
        <w:spacing w:after="80" w:before="80"/>
      </w:pPr>
      <w:r>
        <w:rPr>
          <w:rFonts w:ascii="Arial" w:cs="Arial" w:eastAsia="Arial" w:hAnsi="Arial"/>
          <w:color w:val="000000"/>
          <w:sz w:val="20"/>
          <w:szCs w:val="20"/>
        </w:rPr>
        <w:t xml:space="preserve">Kenya</w:t>
      </w:r>
    </w:p>
    <w:p>
      <w:pPr>
        <w:spacing w:after="80" w:before="80"/>
      </w:pPr>
      <w:r>
        <w:rPr>
          <w:rFonts w:ascii="Arial" w:cs="Arial" w:eastAsia="Arial" w:hAnsi="Arial"/>
          <w:color w:val="000000"/>
          <w:sz w:val="20"/>
          <w:szCs w:val="20"/>
        </w:rPr>
        <w:t xml:space="preserve">Kenya Gazette (Official Gazette)</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https://new.kenyalaw.org/gazettes/ | Gov Press: https://www.governmentpress.go.ke/</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41+ editions in 2026; Vol. CXXVIII (128); 120+ years of archive</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Web browser (free). No public API.</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HTML/PDF via web interface; searchable</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Weekly (typically Friday) + supplementary editions mid-week</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English, Swahili</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Kenya Data Protection Act 2019. Public official publication under government authority (public domain).</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Low (browser-based)</w:t>
      </w:r>
    </w:p>
    <w:p>
      <w:pPr>
        <w:spacing w:after="80" w:before="80"/>
      </w:pPr>
      <w:r>
        <w:rPr>
          <w:rFonts w:ascii="Arial" w:cs="Arial" w:eastAsia="Arial" w:hAnsi="Arial"/>
          <w:color w:val="000000"/>
          <w:sz w:val="20"/>
          <w:szCs w:val="20"/>
        </w:rPr>
        <w:t xml:space="preserve">eCitizen (Business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**URL:** https://brs.ecitizen.go.ke/ (v1) </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https://brsv2.ecitizen.go.ke/ (v2) </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https://www.ecitizen.go.ke</w:t>
            </w:r>
          </w:p>
        </w:tc>
      </w:tr>
    </w:tbl>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Custodian of all companies/business entities registered in Kenya</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Web portal login; individual company lookup. No public API. No bulk data export confirmed.</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Web-based interface; transaction data in platform</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Real-time registration processing</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Registration fees vary; no bulk pricing found</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English, Swahili</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Kenya Data Protection Act 2019 strictly applies. ODPC oversight. DPIA required for personal data processing. Penalties up to KES 5M or 1% turnover.</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Medium (requires authentication; no API)</w:t>
      </w:r>
    </w:p>
    <w:p>
      <w:pPr>
        <w:spacing w:after="80" w:before="80"/>
      </w:pPr>
      <w:r>
        <w:rPr>
          <w:rFonts w:ascii="Arial" w:cs="Arial" w:eastAsia="Arial" w:hAnsi="Arial"/>
          <w:color w:val="000000"/>
          <w:sz w:val="20"/>
          <w:szCs w:val="20"/>
        </w:rPr>
        <w:t xml:space="preserve">Kenya Law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**URL:** https://new.kenyalaw.org/ </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Judgments: https://new.kenyalaw.org/judgments/ </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Laws: http://kenyalaw.org/lex/</w:t>
            </w:r>
          </w:p>
        </w:tc>
      </w:tr>
    </w:tbl>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275,000+ judicial decisions; 500+ chapters of Laws of Kenya; Kenya Gazette from 1901</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Free web browser search. No programmatic API documented. Internal format is Akoma Ntoso XML.</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Akoma Ntoso XML (internal); HTML/web display for users</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Daily updates for case law</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English</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Official government legal database (National Council for Law Reporting). Public domain judicial decisions. DPA 2019 applies.</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Low (browser-based search)</w:t>
      </w:r>
    </w:p>
    <w:p>
      <w:pPr>
        <w:spacing w:after="80" w:before="80"/>
      </w:pPr>
      <w:r>
        <w:rPr>
          <w:rFonts w:ascii="Arial" w:cs="Arial" w:eastAsia="Arial" w:hAnsi="Arial"/>
          <w:color w:val="000000"/>
          <w:sz w:val="20"/>
          <w:szCs w:val="20"/>
        </w:rPr>
        <w:t xml:space="preserve">KIPI (IP Institute) and 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**URL:** KIPI: https://www.kipi.go.ke/ </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CIPIT DB: https://ipdatabase.cipit.org/ </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NSE: https://www.nse.co.ke/ </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NSE API: https://www.nse.co.ke/dataservices/api-specification-documents/</w:t>
            </w:r>
          </w:p>
        </w:tc>
      </w:tr>
    </w:tbl>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KIPI: trademarks, patents, designs (volume unpublished). NSE: continuous market data.</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KIPI: Web search via CIPIT database, eCitizen services. NSE: Licensed vendors, API with subscription.</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KIPI: database queries as web results. NSE: real-time feeds, JSON/XML.</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KIPI: registration-driven. NSE: intra-day live, end-of-day, historical.</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KIPI: free search. NSE: license agreements (contact marketdata@nse.co.ke).</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English</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DPA 2019. NSE market data subject to licensing terms. Listed company information is public record.</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KIPI: Low-Medium. NSE: Medium-High (live API integration).</w:t>
      </w:r>
    </w:p>
    <w:p>
      <w:pPr>
        <w:spacing w:after="80" w:before="80"/>
      </w:pPr>
      <w:r>
        <w:rPr>
          <w:rFonts w:ascii="Arial" w:cs="Arial" w:eastAsia="Arial" w:hAnsi="Arial"/>
          <w:color w:val="000000"/>
          <w:sz w:val="20"/>
          <w:szCs w:val="20"/>
        </w:rPr>
        <w:t xml:space="preserve">South Africa</w:t>
      </w:r>
    </w:p>
    <w:p>
      <w:pPr>
        <w:spacing w:after="80" w:before="80"/>
      </w:pPr>
      <w:r>
        <w:rPr>
          <w:rFonts w:ascii="Arial" w:cs="Arial" w:eastAsia="Arial" w:hAnsi="Arial"/>
          <w:color w:val="000000"/>
          <w:sz w:val="20"/>
          <w:szCs w:val="20"/>
        </w:rPr>
        <w:t xml:space="preserve">CIPC (Companies and IP Commission)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**URL:** https://www.cipc.co.za/ </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eServices: https://eservices.cipc.co.za/ </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IP: https://iponline.cipc.co.za/ </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BizPortal: https://www.bizportal.gov.za/</w:t>
            </w:r>
          </w:p>
        </w:tc>
      </w:tr>
    </w:tbl>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All registered companies in South Africa; IP registrations. No official bulk API.</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Web portal (eServices); BizPortal for registration; search by name or registration number. Third-party APIs (Standard Bank SearchWorks).</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Web interface; no bulk export documented</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Real-time for registrations</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Registration R175 via BizPortal; search free; bulk pricing unknown</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English (and other official SA languages)</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POPIA applies (max 10% turnover or ZAR 10M penalties). CIPC must protect personal data of directors/officers. Data accuracy strict under POPIA.</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Medium (portal-based; third-party APIs add cost)</w:t>
      </w:r>
    </w:p>
    <w:p>
      <w:pPr>
        <w:spacing w:after="80" w:before="80"/>
      </w:pPr>
      <w:r>
        <w:rPr>
          <w:rFonts w:ascii="Arial" w:cs="Arial" w:eastAsia="Arial" w:hAnsi="Arial"/>
          <w:color w:val="000000"/>
          <w:sz w:val="20"/>
          <w:szCs w:val="20"/>
        </w:rPr>
        <w:t xml:space="preserve">JSE (Stock Exchange) and SAFLII (Legal)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**URL:** JSE: https://www.jse.co.za/ </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Data portal: https://www.jse.co.za/jse-market-data-connect-portal </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SAFLII: https://www.saflii.org/</w:t>
            </w:r>
          </w:p>
        </w:tc>
      </w:tr>
    </w:tbl>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JSE: equities, derivatives, bonds. Tick data from Feb 2015. SAFLII: comprehensive Southern African case law.</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JSE: licensed vendors, CME Group integration, proprietary API. SAFLII: free web search (Free Access to Law movement).</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JSE: real-time Level I/II, tick data, minute bars. SAFLII: HTML/PDF.</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JSE: intra-day, end-of-day, historical. SAFLII: publication-driven.</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JSE: license agreements (pricing not public). SAFLII: free.</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English</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POPIA applies to JSE data. SAFLII minimal personal data. Free access aligns with SA transparency principles.</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JSE: Medium-High. SAFLII: Low (browser search).</w:t>
      </w:r>
    </w:p>
    <w:p>
      <w:pPr>
        <w:spacing w:after="80" w:before="80"/>
      </w:pPr>
      <w:r>
        <w:rPr>
          <w:rFonts w:ascii="Arial" w:cs="Arial" w:eastAsia="Arial" w:hAnsi="Arial"/>
          <w:color w:val="000000"/>
          <w:sz w:val="20"/>
          <w:szCs w:val="20"/>
        </w:rPr>
        <w:t xml:space="preserve">Nigeria</w:t>
      </w:r>
    </w:p>
    <w:p>
      <w:pPr>
        <w:spacing w:after="80" w:before="80"/>
      </w:pPr>
      <w:r>
        <w:rPr>
          <w:rFonts w:ascii="Arial" w:cs="Arial" w:eastAsia="Arial" w:hAnsi="Arial"/>
          <w:color w:val="000000"/>
          <w:sz w:val="20"/>
          <w:szCs w:val="20"/>
        </w:rPr>
        <w:t xml:space="preserve">CAC (Corporate Affairs Commission)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**URL:** https://cac.gov.ng/ </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Public search: https://search.cac.gov.ng/ </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iCRP: https://icrp.cac.gov.ng/</w:t>
            </w:r>
          </w:p>
        </w:tc>
      </w:tr>
    </w:tbl>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All registered companies and business names in Nigeria; estimated 10M+ potential entities</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Public search portal (free); iCRP portal for filings; third-party APIs (verified.africa, qoreid)</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Web search results; eAPI format via third-party integrators</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Real-time registration processing</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Search free; registration N25,000-50,000+; bulk data not publicly offered</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English</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NDPR 2019 applies. Controllers with 10,000+ data subjects face 2% annual revenue fines. DPO certification required.</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Low-Medium (web portal and third-party APIs)</w:t>
      </w:r>
    </w:p>
    <w:p>
      <w:pPr>
        <w:spacing w:after="80" w:before="80"/>
      </w:pPr>
      <w:r>
        <w:rPr>
          <w:rFonts w:ascii="Arial" w:cs="Arial" w:eastAsia="Arial" w:hAnsi="Arial"/>
          <w:color w:val="000000"/>
          <w:sz w:val="20"/>
          <w:szCs w:val="20"/>
        </w:rPr>
        <w:t xml:space="preserve">NGX (Stock Exchange) and Legal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**URL:** NGX: https://ngxgroup.com/ </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API: https://marketdataapiv3.ngxgroup.com/portal </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NigeriaLII: https://nigerialii.org/ </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LawPavilion: https://lawpavilionplus.com/</w:t>
            </w:r>
          </w:p>
        </w:tc>
      </w:tr>
    </w:tbl>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NGX: 393 listed securities (151 companies). NigeriaLII: 1,953 judgments. LawPavilion: 9,000+ e-books of Law Reports.</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NGX: API portal registration, Market Data API. NigeriaLII: free. LawPavilion: subscription.</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NGX: JSON/XML. NigeriaLII: HTML. LawPavilion: PDF/HTML e-library.</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NGX: real-time trading data. Legal: continuous new judgments.</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NGX: subscription-based. NigeriaLII: free. LawPavilion: subscription required.</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English</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NDPR 2019 applies. Court decisions are public records. LawPavilion copyright proprietary.</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NGX: Medium-High. NigeriaLII: Low. LawPavilion: Low (subscription).</w:t>
      </w:r>
    </w:p>
    <w:p>
      <w:pPr>
        <w:spacing w:after="80" w:before="80"/>
      </w:pPr>
      <w:r>
        <w:rPr>
          <w:rFonts w:ascii="Arial" w:cs="Arial" w:eastAsia="Arial" w:hAnsi="Arial"/>
          <w:color w:val="000000"/>
          <w:sz w:val="20"/>
          <w:szCs w:val="20"/>
        </w:rPr>
        <w:t xml:space="preserve">Ghana</w:t>
      </w:r>
    </w:p>
    <w:p>
      <w:pPr>
        <w:spacing w:after="80" w:before="80"/>
      </w:pPr>
      <w:r>
        <w:rPr>
          <w:rFonts w:ascii="Arial" w:cs="Arial" w:eastAsia="Arial" w:hAnsi="Arial"/>
          <w:color w:val="000000"/>
          <w:sz w:val="20"/>
          <w:szCs w:val="20"/>
        </w:rPr>
        <w:t xml:space="preserve">Registrar General and GSE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**URL:** RGD: https://rgd.gov.gh/ </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ORC: https://orc.gov.gh/ </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GSE: https://gse.com.gh/ </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Market Watch: https://gsemarketwatch.com/</w:t>
            </w:r>
          </w:p>
        </w:tc>
      </w:tr>
    </w:tbl>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RGD: all registered companies in Ghana. GSE: 42 equities (37 companies) + 2 corporate bonds.</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RGD: web portal search by company name. GSE: web portal, Market Watch for live data. No public APIs documented.</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Web search results; market data display</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RGD: real-time registration. GSE: intra-day live, daily close.</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RGD: registration fees vary; search free. GSE: no public API costs.</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English</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Ghana Data Protection Act. Company registrations are public records. GSE established 1990.</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Low-Medium (web-based; no APIs)</w:t>
      </w:r>
    </w:p>
    <w:p>
      <w:pPr>
        <w:spacing w:after="80" w:before="80"/>
      </w:pPr>
      <w:r>
        <w:rPr>
          <w:rFonts w:ascii="Arial" w:cs="Arial" w:eastAsia="Arial" w:hAnsi="Arial"/>
          <w:color w:val="000000"/>
          <w:sz w:val="20"/>
          <w:szCs w:val="20"/>
        </w:rPr>
        <w:t xml:space="preserve">Chapter 6: Europe (UK and EU)</w:t>
      </w:r>
    </w:p>
    <w:p>
      <w:pPr>
        <w:spacing w:after="80" w:before="80"/>
      </w:pPr>
      <w:r>
        <w:rPr>
          <w:rFonts w:ascii="Arial" w:cs="Arial" w:eastAsia="Arial" w:hAnsi="Arial"/>
          <w:color w:val="000000"/>
          <w:sz w:val="20"/>
          <w:szCs w:val="20"/>
        </w:rPr>
        <w:t xml:space="preserve">Europe offers the most mature and well-documented data infrastructure globally. UK Companies House provides a completely free REST API with 5.4M+ companies. The EU institutions (EUIPO, EPO, EUR-Lex) offer sophisticated APIs with extensive documentation. GDPR compliance is the primary legal consideration and applies to all personal data processing.</w:t>
      </w:r>
    </w:p>
    <w:p>
      <w:pPr>
        <w:spacing w:after="80" w:before="80"/>
      </w:pPr>
      <w:r>
        <w:rPr>
          <w:rFonts w:ascii="Arial" w:cs="Arial" w:eastAsia="Arial" w:hAnsi="Arial"/>
          <w:color w:val="000000"/>
          <w:sz w:val="20"/>
          <w:szCs w:val="20"/>
        </w:rPr>
        <w:t xml:space="preserve">United Kingdom</w:t>
      </w:r>
    </w:p>
    <w:p>
      <w:pPr>
        <w:spacing w:after="80" w:before="80"/>
      </w:pPr>
      <w:r>
        <w:rPr>
          <w:rFonts w:ascii="Arial" w:cs="Arial" w:eastAsia="Arial" w:hAnsi="Arial"/>
          <w:color w:val="000000"/>
          <w:sz w:val="20"/>
          <w:szCs w:val="20"/>
        </w:rPr>
        <w:t xml:space="preserve">Companies House (Corporate Registry)</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https://www.gov.uk/government/organisations/companies-house | API: https://developer.company-information.service.gov.uk/</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5,450,364 registered companies (Dec 2025); 801,864 annual incorporations (FYE 2025)</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REST API (free, rate-limited 600 req/5min); XML Gateway (legacy); Streaming API for real-time updates</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JSON (primary), RDF, XML, CSV, YAML</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Real-time for streaming API; processed data within 2 business days</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Completely free (no fees)</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English</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UK GDPR applies (post-Brexit). PSC data contains personal information. Public register but subject to transparency requirements.</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Low-Medium (standard REST/JSON, API key authentication, well-documented)</w:t>
      </w:r>
    </w:p>
    <w:p>
      <w:pPr>
        <w:spacing w:after="80" w:before="80"/>
      </w:pPr>
      <w:r>
        <w:rPr>
          <w:rFonts w:ascii="Arial" w:cs="Arial" w:eastAsia="Arial" w:hAnsi="Arial"/>
          <w:color w:val="000000"/>
          <w:sz w:val="20"/>
          <w:szCs w:val="20"/>
        </w:rPr>
        <w:t xml:space="preserve">UKIPO (IP Office)</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https://www.ipo.gov.uk/ | Search: https://trademarks.ipo.gov.uk/</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UK patents and trademarks (volume within EPO/EUIPO stats). Specific UK-only volumes not separately published.</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Web search interface (current). APIs planned for 2026 under One IPO Transformation Programme.</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Current: web interface only. Planned: JSON/XML APIs (2026)</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Daily web interface updates. Bulk data not yet available.</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Web search: free. Future API pricing: TBD</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English</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UK GDPR applies. Public register with limited personal data exposure.</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Medium (web scraping currently required; future API will simplify)</w:t>
      </w:r>
    </w:p>
    <w:p>
      <w:pPr>
        <w:spacing w:after="80" w:before="80"/>
      </w:pPr>
      <w:r>
        <w:rPr>
          <w:rFonts w:ascii="Arial" w:cs="Arial" w:eastAsia="Arial" w:hAnsi="Arial"/>
          <w:i/>
          <w:iCs/>
          <w:color w:val="000000"/>
          <w:sz w:val="20"/>
          <w:szCs w:val="20"/>
        </w:rPr>
        <w:t xml:space="preserve">For IP data, EPO OPS API and EUIPO are more mature alternatives with established APIs.</w:t>
      </w:r>
    </w:p>
    <w:p>
      <w:pPr>
        <w:spacing w:after="80" w:before="80"/>
      </w:pPr>
      <w:r>
        <w:rPr>
          <w:rFonts w:ascii="Arial" w:cs="Arial" w:eastAsia="Arial" w:hAnsi="Arial"/>
          <w:color w:val="000000"/>
          <w:sz w:val="20"/>
          <w:szCs w:val="20"/>
        </w:rPr>
        <w:t xml:space="preserve">BAILII (Legal Database)</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https://www.bailii.org/</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240,000+ cases indexed (since 1996); covers UK courts, Irish courts, European cases</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Web search (free). Bulk download NOT permitted (TOS prohibits scraping). No formal API. Oxford University exception granted for AI/NLP research.</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HTML (web), PDF (downloadable where available). No machine-readable bulk formats.</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Regular updates as judgments published</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 for web access</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English</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Public domain legal material. UK GDPR applies minimally. Crown copyright for legislation. Re-use must respect BAILII licensing.</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Medium (no API; scraping prohibited)</w:t>
      </w:r>
    </w:p>
    <w:p>
      <w:pPr>
        <w:spacing w:after="80" w:before="80"/>
      </w:pPr>
      <w:r>
        <w:rPr>
          <w:rFonts w:ascii="Arial" w:cs="Arial" w:eastAsia="Arial" w:hAnsi="Arial"/>
          <w:color w:val="000000"/>
          <w:sz w:val="20"/>
          <w:szCs w:val="20"/>
        </w:rPr>
        <w:t xml:space="preserve">FCA (Financial Conduct Authority) Register</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https://register.fca.org.uk/s/ | Data Extract: https://www.fca.org.uk/firms/financial-services-register/data-extract</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Thousands of regulated firms; individuals and appointed representatives</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Free online search; FS Register API (free, no SLA); Register Extract Service (RES) for paid bulk extracts</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API: JSON. RES: CSV, XML, DBF, pipe-delimited, tape format.</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Real-time web updates. RES: one-off or scheduled weekly.</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 online search and API. RES one-off: GBP 11,125+VAT. Weekly subscription: GBP 19,881+VAT.</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English</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UK GDPR applies. Contains personal data (names, limited DOB). Legitimate interest basis typically applies.</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Low-Medium (REST API, registration required; multiple formats available)</w:t>
      </w:r>
    </w:p>
    <w:p>
      <w:pPr>
        <w:spacing w:after="80" w:before="80"/>
      </w:pPr>
      <w:r>
        <w:rPr>
          <w:rFonts w:ascii="Arial" w:cs="Arial" w:eastAsia="Arial" w:hAnsi="Arial"/>
          <w:color w:val="000000"/>
          <w:sz w:val="20"/>
          <w:szCs w:val="20"/>
        </w:rPr>
        <w:t xml:space="preserve">European Union</w:t>
      </w:r>
    </w:p>
    <w:p>
      <w:pPr>
        <w:spacing w:after="80" w:before="80"/>
      </w:pPr>
      <w:r>
        <w:rPr>
          <w:rFonts w:ascii="Arial" w:cs="Arial" w:eastAsia="Arial" w:hAnsi="Arial"/>
          <w:color w:val="000000"/>
          <w:sz w:val="20"/>
          <w:szCs w:val="20"/>
        </w:rPr>
        <w:t xml:space="preserve">EUIPO (EU Trade Marks/Designs)</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https://www.euipo.europa.eu/en | API Portal: https://dev.euipo.europa.eu/</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196,886 EUTM applications (2025, +9.1%); 130,849 design applications (2025, +6%); 5M+ total filed since 1996</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REST API via API Portal; Sandbox for testing; Web search (free). APIs: Trademark Search, Design Search, TMClass, DSClass, Me API v1.1</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JSON (REST API). OpenAPI specifications provided.</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Real-time for search APIs; applications indexed within days of filing</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Web search: free. APIs: subscription-based (pricing varies by API/usage tier). Sandbox: free.</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24 official EU languages. API docs in English.</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EU GDPR applies. Applicant/proprietor personal data protected. Public register with limited PII visibility.</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Medium (OAuth2 authentication; RESTful; sandbox available)</w:t>
      </w:r>
    </w:p>
    <w:p>
      <w:pPr>
        <w:spacing w:after="80" w:before="80"/>
      </w:pPr>
      <w:r>
        <w:rPr>
          <w:rFonts w:ascii="Arial" w:cs="Arial" w:eastAsia="Arial" w:hAnsi="Arial"/>
          <w:color w:val="000000"/>
          <w:sz w:val="20"/>
          <w:szCs w:val="20"/>
        </w:rPr>
        <w:t xml:space="preserve">EPO (European Patent Office)</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https://www.epo.org/ | OPS API: https://developers.epo.org/</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199,264 filings (2024); multi-million patents from 100+ offices worldwide indexed</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OPS v3.2 REST API (OAuth2); Espacenet web search (free); Bulk download via third parties</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JSON (primary), XML, CSV</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Real-time indexing from contributing offices; weekly from major offices</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OPS API: free (fair use quotas). Registration: free at developers.epo.org.</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English (default); multilingual search support</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EU GDPR applies. Inventor names subject to GDPR. Public patent data with personal information. Right to privacy in certain cases.</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Medium-High (OAuth2, CQL query language, access token management). Client libraries: Python, Go, Ruby, R, JavaScript.</w:t>
      </w:r>
    </w:p>
    <w:p>
      <w:pPr>
        <w:spacing w:after="80" w:before="80"/>
      </w:pPr>
      <w:r>
        <w:rPr>
          <w:rFonts w:ascii="Arial" w:cs="Arial" w:eastAsia="Arial" w:hAnsi="Arial"/>
          <w:color w:val="000000"/>
          <w:sz w:val="20"/>
          <w:szCs w:val="20"/>
        </w:rPr>
        <w:t xml:space="preserve">EUR-Lex (EU Legislation and Case 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**URL:** https://eur-lex.europa.eu/ </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SPARQL: https://publications.europa.eu/webapi/rdf/sparql </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CELLAR: https://op.europa.eu/en/web/cellar/cellar-data</w:t>
            </w:r>
          </w:p>
        </w:tc>
      </w:tr>
    </w:tbl>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Thousands of consolidated acts/directives/regulations; 20,000+ CJEU decisions; hundreds of thousands of national case law references</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Web search (free); SPARQL queries via CELLAR; RESTful API; RSS/Atom feeds</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RDF (primary), XML, JSON, HTML. Semantic model: CDM (Common Data Model, FRBR-compliant OWL ontology).</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Real-time for official journal. SPARQL index regularly updated.</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 (all access methods)</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All 24 official EU languages</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Official EU legislation (public domain). No GDPR concerns for legislation. National case law subject to respective national laws.</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Medium (SPARQL for semantic searches; REST API standard HTTP)</w:t>
      </w:r>
    </w:p>
    <w:p>
      <w:pPr>
        <w:spacing w:after="80" w:before="80"/>
      </w:pPr>
      <w:r>
        <w:rPr>
          <w:rFonts w:ascii="Arial" w:cs="Arial" w:eastAsia="Arial" w:hAnsi="Arial"/>
          <w:color w:val="000000"/>
          <w:sz w:val="20"/>
          <w:szCs w:val="20"/>
        </w:rPr>
        <w:t xml:space="preserve">ECLI / CURIA (EU Court Decisions)</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CURIA: https://curia.europa.eu/ | ECLI Portal: https://e-justice.europa.eu/topics/legislation-and-case-law/european-case-law-identifier-ecli/</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20,000+ published CJEU decisions (1954-present); Advocate General Opinions included</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CURIA web search (free); ECLI-based linking; EUR-Lex integration; direct court website searches</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HTML, PDF downloadable judgments; ECLI structured format; RDF/XML via EUR-Lex</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Real-time publication; ECLI assigned at publication</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Free</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Decision language of proceedings; multiple official language versions for major cases</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Public domain legal documents. No GDPR concerns. Re-use permitted under conditions.</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Low (web search simple); Medium (programmatic via EUR-Lex SPARQL)</w:t>
      </w:r>
    </w:p>
    <w:p>
      <w:pPr>
        <w:spacing w:after="80" w:before="80"/>
      </w:pPr>
      <w:r>
        <w:rPr>
          <w:rFonts w:ascii="Arial" w:cs="Arial" w:eastAsia="Arial" w:hAnsi="Arial"/>
          <w:color w:val="000000"/>
          <w:sz w:val="20"/>
          <w:szCs w:val="20"/>
        </w:rPr>
        <w:t xml:space="preserve">Chapter 7: Middle East</w:t>
      </w:r>
    </w:p>
    <w:p>
      <w:pPr>
        <w:spacing w:after="80" w:before="80"/>
      </w:pPr>
      <w:r>
        <w:rPr>
          <w:rFonts w:ascii="Arial" w:cs="Arial" w:eastAsia="Arial" w:hAnsi="Arial"/>
          <w:color w:val="000000"/>
          <w:sz w:val="20"/>
          <w:szCs w:val="20"/>
        </w:rPr>
        <w:t xml:space="preserve">The Middle East offers emerging data infrastructure with notable free zone registries (DIFC, ADGM) that are more digitally mature than mainland registries. The UAE Personal Data Protection Law (Federal Law No. 45 of 2021) and Saudi PDPL (effective September 2023) create modern regulatory frameworks. IP registries remain largely manual with limited digital access.</w:t>
      </w:r>
    </w:p>
    <w:p>
      <w:pPr>
        <w:spacing w:after="80" w:before="80"/>
      </w:pPr>
      <w:r>
        <w:rPr>
          <w:rFonts w:ascii="Arial" w:cs="Arial" w:eastAsia="Arial" w:hAnsi="Arial"/>
          <w:color w:val="000000"/>
          <w:sz w:val="20"/>
          <w:szCs w:val="20"/>
        </w:rPr>
        <w:t xml:space="preserve">UAE (United Arab Emirates)</w:t>
      </w:r>
    </w:p>
    <w:p>
      <w:pPr>
        <w:spacing w:after="80" w:before="80"/>
      </w:pPr>
      <w:r>
        <w:rPr>
          <w:rFonts w:ascii="Arial" w:cs="Arial" w:eastAsia="Arial" w:hAnsi="Arial"/>
          <w:color w:val="000000"/>
          <w:sz w:val="20"/>
          <w:szCs w:val="20"/>
        </w:rPr>
        <w:t xml:space="preserve">DIFC (Dubai International Financial Centre)</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https://www.difc.com/business/public-register | API via Dubai Pulse: https://www.dubaipulse.gov.ae/data/difc-licenses/</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2,900+ active registered companies; ~27,000 professionals employed</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Web public register search (free); Dubai Pulse API (OAuth2 client credentials); DIFC Client Portal</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JSON (via API)</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Real-time for licensed activities; regular registration updates</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Public register: free. API: free (requires Dubai Pulse registration).</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English, Arabic</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UAE Federal Law No. 45/2021 (PDPL). DIFC has own stricter data protection regime (all controllers must register with Commissioner). Regulator: DFSA.</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Medium (OAuth2, token refresh, query filtering)</w:t>
      </w:r>
    </w:p>
    <w:p>
      <w:pPr>
        <w:spacing w:after="80" w:before="80"/>
      </w:pPr>
      <w:r>
        <w:rPr>
          <w:rFonts w:ascii="Arial" w:cs="Arial" w:eastAsia="Arial" w:hAnsi="Arial"/>
          <w:color w:val="000000"/>
          <w:sz w:val="20"/>
          <w:szCs w:val="20"/>
        </w:rPr>
        <w:t xml:space="preserve">ADGM (Abu Dhabi Global Market)</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https://www.adgm.com/public-registers | Registry: Foster Moore Catalyst software</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2,200+ active registered companies (2024, +31% YoY); 4,400+ new employees added</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Web public register search (free). Online registration portal. FSRA regulatory guidance on APIs (2024, developing).</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HTML (web). Machine-readable format not yet detailed.</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Real-time registrations. Indexing frequency not published.</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Public register: free. Company registration: fees vary by entity type. API: not yet priced.</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English, Arabic</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UAE PDPL applies. ADGM: no mandatory data controller registration (unlike DIFC). Free zone regulations apply.</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Low-Medium (web register straightforward; API guidance in development)</w:t>
      </w:r>
    </w:p>
    <w:p>
      <w:pPr>
        <w:spacing w:after="80" w:before="80"/>
      </w:pPr>
      <w:r>
        <w:rPr>
          <w:rFonts w:ascii="Arial" w:cs="Arial" w:eastAsia="Arial" w:hAnsi="Arial"/>
          <w:color w:val="000000"/>
          <w:sz w:val="20"/>
          <w:szCs w:val="20"/>
        </w:rPr>
        <w:t xml:space="preserve">Emirates IP (Ministry of Economy)</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https://www.moet.gov.ae/en/intellectual-property | Contact: indpro@economy.ae</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1,884 new IP registrations (Jan-Sep 2024, +34% vs 2023); 1,402 (Jan-Sep 2023)</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Ministry portal; physical office; email inquiries. No documented API.</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Document-based (traditional); web portal where available; physical records</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Regular as applications processed; typical gov timeline (weeks-months)</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Application/registration fees apply (variable by IP type)</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Arabic (primary), English</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UAE PDPL applies. MOU with US PTO (2024). New IP Ecosystem launched Feb 2024.</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Low (limited digital infrastructure; manual/email processes)</w:t>
      </w:r>
    </w:p>
    <w:p>
      <w:pPr>
        <w:spacing w:after="80" w:before="80"/>
      </w:pPr>
      <w:r>
        <w:rPr>
          <w:rFonts w:ascii="Arial" w:cs="Arial" w:eastAsia="Arial" w:hAnsi="Arial"/>
          <w:color w:val="000000"/>
          <w:sz w:val="20"/>
          <w:szCs w:val="20"/>
        </w:rPr>
        <w:t xml:space="preserve">Saudi Arabia</w:t>
      </w:r>
    </w:p>
    <w:p>
      <w:pPr>
        <w:spacing w:after="80" w:before="80"/>
      </w:pPr>
      <w:r>
        <w:rPr>
          <w:rFonts w:ascii="Arial" w:cs="Arial" w:eastAsia="Arial" w:hAnsi="Arial"/>
          <w:color w:val="000000"/>
          <w:sz w:val="20"/>
          <w:szCs w:val="20"/>
        </w:rPr>
        <w:t xml:space="preserve">Tadawul / Saudi Exchange (Listed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**URL:** https://www.saudiexchange.sa/ </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https://200listedsecurities.saudiexchange.sa/ </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Third-party APIs on RapidAPI, Twelve Data, ICE</w:t>
            </w:r>
          </w:p>
        </w:tc>
      </w:tr>
    </w:tbl>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200+ listed securities; continuous market data</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Web company information portal (free). Third-party market data APIs (RapidAPI, Twelve Data, ICE Consolidated Feed).</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JSON (via APIs)</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Real-time (trading hours); daily company updates</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Web portal: free. APIs: freemium (RapidAPI), subscription (Twelve Data), enterprise (ICE).</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Arabic (primary), English</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Saudi PDPL effective Sep 2023 (full compliance Sep 2024). Controllers must register on National Data Governance Platform if public entity or primary activity involves personal data. Supervisory: SDAIA.</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Medium (third-party REST APIs; API key or OAuth2 provider-dependent)</w:t>
      </w:r>
    </w:p>
    <w:p>
      <w:pPr>
        <w:spacing w:after="80" w:before="80"/>
      </w:pPr>
      <w:r>
        <w:rPr>
          <w:rFonts w:ascii="Arial" w:cs="Arial" w:eastAsia="Arial" w:hAnsi="Arial"/>
          <w:color w:val="000000"/>
          <w:sz w:val="20"/>
          <w:szCs w:val="20"/>
        </w:rPr>
        <w:t xml:space="preserve">SAIP (IP Authority)</w:t>
      </w:r>
    </w:p>
    <w:p>
      <w:pPr>
        <w:spacing w:after="80" w:before="80"/>
      </w:pPr>
      <w:r>
        <w:rPr>
          <w:rFonts w:ascii="Arial" w:cs="Arial" w:eastAsia="Arial" w:hAnsi="Arial"/>
          <w:b/>
          <w:bCs/>
          <w:color w:val="000000"/>
          <w:sz w:val="20"/>
          <w:szCs w:val="20"/>
        </w:rPr>
        <w:t xml:space="preserve">URL:</w:t>
      </w:r>
      <w:r>
        <w:rPr>
          <w:rFonts w:ascii="Arial" w:cs="Arial" w:eastAsia="Arial" w:hAnsi="Arial"/>
          <w:color w:val="000000"/>
          <w:sz w:val="20"/>
          <w:szCs w:val="20"/>
        </w:rPr>
        <w:t xml:space="preserve"> https://www.saip.gov.sa/en/ | Portal: https://my.gov.sa/en/agencies/17807</w:t>
      </w:r>
    </w:p>
    <w:p>
      <w:pPr>
        <w:spacing w:after="80" w:before="80"/>
      </w:pPr>
      <w:r>
        <w:rPr>
          <w:rFonts w:ascii="Arial" w:cs="Arial" w:eastAsia="Arial" w:hAnsi="Arial"/>
          <w:b/>
          <w:bCs/>
          <w:color w:val="000000"/>
          <w:sz w:val="20"/>
          <w:szCs w:val="20"/>
        </w:rPr>
        <w:t xml:space="preserve">Volume:</w:t>
      </w:r>
      <w:r>
        <w:rPr>
          <w:rFonts w:ascii="Arial" w:cs="Arial" w:eastAsia="Arial" w:hAnsi="Arial"/>
          <w:color w:val="000000"/>
          <w:sz w:val="20"/>
          <w:szCs w:val="20"/>
        </w:rPr>
        <w:t xml:space="preserve"> National registrations (volume unpublished); 21 regional centers across 5 regions</w:t>
      </w:r>
    </w:p>
    <w:p>
      <w:pPr>
        <w:spacing w:after="80" w:before="80"/>
      </w:pPr>
      <w:r>
        <w:rPr>
          <w:rFonts w:ascii="Arial" w:cs="Arial" w:eastAsia="Arial" w:hAnsi="Arial"/>
          <w:b/>
          <w:bCs/>
          <w:color w:val="000000"/>
          <w:sz w:val="20"/>
          <w:szCs w:val="20"/>
        </w:rPr>
        <w:t xml:space="preserve">Access Method:</w:t>
      </w:r>
      <w:r>
        <w:rPr>
          <w:rFonts w:ascii="Arial" w:cs="Arial" w:eastAsia="Arial" w:hAnsi="Arial"/>
          <w:color w:val="000000"/>
          <w:sz w:val="20"/>
          <w:szCs w:val="20"/>
        </w:rPr>
        <w:t xml:space="preserve"> Ministry portal; 21 regional centers; email/phone inquiry; in-person registration. No documented API.</w:t>
      </w:r>
    </w:p>
    <w:p>
      <w:pPr>
        <w:spacing w:after="80" w:before="80"/>
      </w:pPr>
      <w:r>
        <w:rPr>
          <w:rFonts w:ascii="Arial" w:cs="Arial" w:eastAsia="Arial" w:hAnsi="Arial"/>
          <w:b/>
          <w:bCs/>
          <w:color w:val="000000"/>
          <w:sz w:val="20"/>
          <w:szCs w:val="20"/>
        </w:rPr>
        <w:t xml:space="preserve">Data Format:</w:t>
      </w:r>
      <w:r>
        <w:rPr>
          <w:rFonts w:ascii="Arial" w:cs="Arial" w:eastAsia="Arial" w:hAnsi="Arial"/>
          <w:color w:val="000000"/>
          <w:sz w:val="20"/>
          <w:szCs w:val="20"/>
        </w:rPr>
        <w:t xml:space="preserve"> Traditional document-based; web portal where available; physical records</w:t>
      </w:r>
    </w:p>
    <w:p>
      <w:pPr>
        <w:spacing w:after="80" w:before="80"/>
      </w:pPr>
      <w:r>
        <w:rPr>
          <w:rFonts w:ascii="Arial" w:cs="Arial" w:eastAsia="Arial" w:hAnsi="Arial"/>
          <w:b/>
          <w:bCs/>
          <w:color w:val="000000"/>
          <w:sz w:val="20"/>
          <w:szCs w:val="20"/>
        </w:rPr>
        <w:t xml:space="preserve">Update Frequency:</w:t>
      </w:r>
      <w:r>
        <w:rPr>
          <w:rFonts w:ascii="Arial" w:cs="Arial" w:eastAsia="Arial" w:hAnsi="Arial"/>
          <w:color w:val="000000"/>
          <w:sz w:val="20"/>
          <w:szCs w:val="20"/>
        </w:rPr>
        <w:t xml:space="preserve"> Variable (government office processing times, typically weeks-months)</w:t>
      </w:r>
    </w:p>
    <w:p>
      <w:pPr>
        <w:spacing w:after="80" w:before="80"/>
      </w:pP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Application/registration fees apply (variable by IP type)</w:t>
      </w:r>
    </w:p>
    <w:p>
      <w:pPr>
        <w:spacing w:after="80" w:before="80"/>
      </w:pPr>
      <w:r>
        <w:rPr>
          <w:rFonts w:ascii="Arial" w:cs="Arial" w:eastAsia="Arial" w:hAnsi="Arial"/>
          <w:b/>
          <w:bCs/>
          <w:color w:val="000000"/>
          <w:sz w:val="20"/>
          <w:szCs w:val="20"/>
        </w:rPr>
        <w:t xml:space="preserve">Language:</w:t>
      </w:r>
      <w:r>
        <w:rPr>
          <w:rFonts w:ascii="Arial" w:cs="Arial" w:eastAsia="Arial" w:hAnsi="Arial"/>
          <w:color w:val="000000"/>
          <w:sz w:val="20"/>
          <w:szCs w:val="20"/>
        </w:rPr>
        <w:t xml:space="preserve"> Arabic (primary), English support</w:t>
      </w:r>
    </w:p>
    <w:p>
      <w:pPr>
        <w:spacing w:after="80" w:before="80"/>
      </w:pPr>
      <w:r>
        <w:rPr>
          <w:rFonts w:ascii="Arial" w:cs="Arial" w:eastAsia="Arial" w:hAnsi="Arial"/>
          <w:b/>
          <w:bCs/>
          <w:color w:val="000000"/>
          <w:sz w:val="20"/>
          <w:szCs w:val="20"/>
        </w:rPr>
        <w:t xml:space="preserve">Legal Analysis:</w:t>
      </w:r>
      <w:r>
        <w:rPr>
          <w:rFonts w:ascii="Arial" w:cs="Arial" w:eastAsia="Arial" w:hAnsi="Arial"/>
          <w:color w:val="000000"/>
          <w:sz w:val="20"/>
          <w:szCs w:val="20"/>
        </w:rPr>
        <w:t xml:space="preserve"> Saudi PDPL applies. SDAIA supervisory authority. Applicant personal data protected.</w:t>
      </w:r>
    </w:p>
    <w:p>
      <w:pPr>
        <w:spacing w:after="80" w:before="80"/>
      </w:pPr>
      <w:r>
        <w:rPr>
          <w:rFonts w:ascii="Arial" w:cs="Arial" w:eastAsia="Arial" w:hAnsi="Arial"/>
          <w:b/>
          <w:bCs/>
          <w:color w:val="000000"/>
          <w:sz w:val="20"/>
          <w:szCs w:val="20"/>
        </w:rPr>
        <w:t xml:space="preserve">Technical Complexity:</w:t>
      </w:r>
      <w:r>
        <w:rPr>
          <w:rFonts w:ascii="Arial" w:cs="Arial" w:eastAsia="Arial" w:hAnsi="Arial"/>
          <w:color w:val="000000"/>
          <w:sz w:val="20"/>
          <w:szCs w:val="20"/>
        </w:rPr>
        <w:t xml:space="preserve"> Low (limited digital infrastructure; manual processes)</w:t>
      </w:r>
    </w:p>
    <w:p>
      <w:pPr>
        <w:spacing w:after="80" w:before="80"/>
      </w:pPr>
      <w:r>
        <w:rPr>
          <w:rFonts w:ascii="Arial" w:cs="Arial" w:eastAsia="Arial" w:hAnsi="Arial"/>
          <w:color w:val="000000"/>
          <w:sz w:val="20"/>
          <w:szCs w:val="20"/>
        </w:rPr>
        <w:t xml:space="preserve">Technical Architecture Notes</w:t>
      </w:r>
    </w:p>
    <w:p>
      <w:pPr>
        <w:spacing w:after="80" w:before="80"/>
      </w:pPr>
      <w:r>
        <w:rPr>
          <w:rFonts w:ascii="Arial" w:cs="Arial" w:eastAsia="Arial" w:hAnsi="Arial"/>
          <w:color w:val="000000"/>
          <w:sz w:val="20"/>
          <w:szCs w:val="20"/>
        </w:rPr>
        <w:t xml:space="preserve">Multilingual Challenges</w:t>
      </w:r>
    </w:p>
    <w:p>
      <w:pPr>
        <w:spacing w:after="80" w:before="80"/>
      </w:pPr>
      <w:r>
        <w:rPr>
          <w:rFonts w:ascii="Arial" w:cs="Arial" w:eastAsia="Arial" w:hAnsi="Arial"/>
          <w:b/>
          <w:bCs/>
          <w:color w:val="000000"/>
          <w:sz w:val="20"/>
          <w:szCs w:val="20"/>
        </w:rPr>
        <w:t xml:space="preserve">CJK Character Encoding:</w:t>
      </w:r>
      <w:r>
        <w:rPr>
          <w:rFonts w:ascii="Arial" w:cs="Arial" w:eastAsia="Arial" w:hAnsi="Arial"/>
          <w:color w:val="000000"/>
          <w:sz w:val="20"/>
          <w:szCs w:val="20"/>
        </w:rPr>
        <w:t xml:space="preserve"> Japanese (EDINET uses UTF-16), Chinese (GB2312/UTF-8), Korean require specialized text processing pipelines. EDINET XBRL_TO_CSV uses tab-delimited UTF-16 encoding.</w:t>
      </w:r>
    </w:p>
    <w:p>
      <w:pPr>
        <w:spacing w:after="80" w:before="80"/>
      </w:pPr>
      <w:r>
        <w:rPr>
          <w:rFonts w:ascii="Arial" w:cs="Arial" w:eastAsia="Arial" w:hAnsi="Arial"/>
          <w:b/>
          <w:bCs/>
          <w:color w:val="000000"/>
          <w:sz w:val="20"/>
          <w:szCs w:val="20"/>
        </w:rPr>
        <w:t xml:space="preserve">Arabic Script:</w:t>
      </w:r>
      <w:r>
        <w:rPr>
          <w:rFonts w:ascii="Arial" w:cs="Arial" w:eastAsia="Arial" w:hAnsi="Arial"/>
          <w:color w:val="000000"/>
          <w:sz w:val="20"/>
          <w:szCs w:val="20"/>
        </w:rPr>
        <w:t xml:space="preserve"> Right-to-left rendering, Arabic numeral variants. UAE and Saudi sources use Arabic as primary language with varying English availability.</w:t>
      </w:r>
    </w:p>
    <w:p>
      <w:pPr>
        <w:spacing w:after="80" w:before="80"/>
      </w:pPr>
      <w:r>
        <w:rPr>
          <w:rFonts w:ascii="Arial" w:cs="Arial" w:eastAsia="Arial" w:hAnsi="Arial"/>
          <w:b/>
          <w:bCs/>
          <w:color w:val="000000"/>
          <w:sz w:val="20"/>
          <w:szCs w:val="20"/>
        </w:rPr>
        <w:t xml:space="preserve">Latin American Portuguese/Spanish:</w:t>
      </w:r>
      <w:r>
        <w:rPr>
          <w:rFonts w:ascii="Arial" w:cs="Arial" w:eastAsia="Arial" w:hAnsi="Arial"/>
          <w:color w:val="000000"/>
          <w:sz w:val="20"/>
          <w:szCs w:val="20"/>
        </w:rPr>
        <w:t xml:space="preserve"> Accent characters (diacritics) in entity names require UTF-8 normalization. Brazilian INPI uses Portuguese-only interfaces.</w:t>
      </w:r>
    </w:p>
    <w:p>
      <w:pPr>
        <w:spacing w:after="80" w:before="80"/>
      </w:pPr>
      <w:r>
        <w:rPr>
          <w:rFonts w:ascii="Arial" w:cs="Arial" w:eastAsia="Arial" w:hAnsi="Arial"/>
          <w:b/>
          <w:bCs/>
          <w:color w:val="000000"/>
          <w:sz w:val="20"/>
          <w:szCs w:val="20"/>
        </w:rPr>
        <w:t xml:space="preserve">European Multilingual:</w:t>
      </w:r>
      <w:r>
        <w:rPr>
          <w:rFonts w:ascii="Arial" w:cs="Arial" w:eastAsia="Arial" w:hAnsi="Arial"/>
          <w:color w:val="000000"/>
          <w:sz w:val="20"/>
          <w:szCs w:val="20"/>
        </w:rPr>
        <w:t xml:space="preserve"> EUR-Lex available in 24 languages. EUIPO supports all EU languages. Character encoding standardized to UTF-8.</w:t>
      </w:r>
    </w:p>
    <w:p>
      <w:pPr>
        <w:spacing w:after="80" w:before="80"/>
      </w:pPr>
      <w:r>
        <w:rPr>
          <w:rFonts w:ascii="Arial" w:cs="Arial" w:eastAsia="Arial" w:hAnsi="Arial"/>
          <w:color w:val="000000"/>
          <w:sz w:val="20"/>
          <w:szCs w:val="20"/>
        </w:rPr>
        <w:t xml:space="preserve">Scraping Infrastructure Needs</w:t>
      </w:r>
    </w:p>
    <w:p>
      <w:pPr>
        <w:spacing w:after="80" w:before="80"/>
      </w:pPr>
      <w:r>
        <w:rPr>
          <w:rFonts w:ascii="Arial" w:cs="Arial" w:eastAsia="Arial" w:hAnsi="Arial"/>
          <w:color w:val="000000"/>
          <w:sz w:val="20"/>
          <w:szCs w:val="20"/>
        </w:rPr>
        <w:t xml:space="preserve">For jurisdictions without APIs (majority of IP offices, court databases, and African registries), a scraping infrastructure is needed. Key considerations:</w:t>
      </w:r>
    </w:p>
    <w:p>
      <w:pPr>
        <w:pStyle w:val="ListParagraph"/>
        <w:numPr>
          <w:ilvl w:val="0"/>
          <w:numId w:val="2"/>
        </w:numPr>
        <w:spacing w:after="60" w:before="60"/>
      </w:pPr>
      <w:r>
        <w:rPr>
          <w:rFonts w:ascii="Arial" w:cs="Arial" w:eastAsia="Arial" w:hAnsi="Arial"/>
          <w:color w:val="000000"/>
          <w:sz w:val="20"/>
          <w:szCs w:val="20"/>
        </w:rPr>
        <w:t xml:space="preserve">Headless browser infrastructure (Playwright/Puppeteer) for JavaScript-rendered pages</w:t>
      </w:r>
    </w:p>
    <w:p>
      <w:pPr>
        <w:pStyle w:val="ListParagraph"/>
        <w:numPr>
          <w:ilvl w:val="0"/>
          <w:numId w:val="2"/>
        </w:numPr>
        <w:spacing w:after="60" w:before="60"/>
      </w:pPr>
      <w:r>
        <w:rPr>
          <w:rFonts w:ascii="Arial" w:cs="Arial" w:eastAsia="Arial" w:hAnsi="Arial"/>
          <w:color w:val="000000"/>
          <w:sz w:val="20"/>
          <w:szCs w:val="20"/>
        </w:rPr>
        <w:t xml:space="preserve">Rotating proxy infrastructure per jurisdiction to avoid IP blocks</w:t>
      </w:r>
    </w:p>
    <w:p>
      <w:pPr>
        <w:pStyle w:val="ListParagraph"/>
        <w:numPr>
          <w:ilvl w:val="0"/>
          <w:numId w:val="2"/>
        </w:numPr>
        <w:spacing w:after="60" w:before="60"/>
      </w:pPr>
      <w:r>
        <w:rPr>
          <w:rFonts w:ascii="Arial" w:cs="Arial" w:eastAsia="Arial" w:hAnsi="Arial"/>
          <w:color w:val="000000"/>
          <w:sz w:val="20"/>
          <w:szCs w:val="20"/>
        </w:rPr>
        <w:t xml:space="preserve">CAPTCHA handling for Indian Patent Office, some Chinese databases</w:t>
      </w:r>
    </w:p>
    <w:p>
      <w:pPr>
        <w:pStyle w:val="ListParagraph"/>
        <w:numPr>
          <w:ilvl w:val="0"/>
          <w:numId w:val="2"/>
        </w:numPr>
        <w:spacing w:after="60" w:before="60"/>
      </w:pPr>
      <w:r>
        <w:rPr>
          <w:rFonts w:ascii="Arial" w:cs="Arial" w:eastAsia="Arial" w:hAnsi="Arial"/>
          <w:color w:val="000000"/>
          <w:sz w:val="20"/>
          <w:szCs w:val="20"/>
        </w:rPr>
        <w:t xml:space="preserve">Rate limiting compliance: EDINET mandates 3-5s intervals; Companies House 600 req/5min</w:t>
      </w:r>
    </w:p>
    <w:p>
      <w:pPr>
        <w:pStyle w:val="ListParagraph"/>
        <w:numPr>
          <w:ilvl w:val="0"/>
          <w:numId w:val="2"/>
        </w:numPr>
        <w:spacing w:after="60" w:before="60"/>
      </w:pPr>
      <w:r>
        <w:rPr>
          <w:rFonts w:ascii="Arial" w:cs="Arial" w:eastAsia="Arial" w:hAnsi="Arial"/>
          <w:color w:val="000000"/>
          <w:sz w:val="20"/>
          <w:szCs w:val="20"/>
        </w:rPr>
        <w:t xml:space="preserve">Session management for authenticated portals (ACRA BizFile, INPI Brazil BuscaWeb, MCA21)</w:t>
      </w:r>
    </w:p>
    <w:p>
      <w:pPr>
        <w:pStyle w:val="ListParagraph"/>
        <w:numPr>
          <w:ilvl w:val="0"/>
          <w:numId w:val="2"/>
        </w:numPr>
        <w:spacing w:after="60" w:before="60"/>
      </w:pPr>
      <w:r>
        <w:rPr>
          <w:rFonts w:ascii="Arial" w:cs="Arial" w:eastAsia="Arial" w:hAnsi="Arial"/>
          <w:color w:val="000000"/>
          <w:sz w:val="20"/>
          <w:szCs w:val="20"/>
        </w:rPr>
        <w:t xml:space="preserve">PDF parsing pipeline for court decisions (OCR for scanned documents in older jurisdictions)</w:t>
      </w:r>
    </w:p>
    <w:p>
      <w:pPr>
        <w:spacing w:after="80" w:before="80"/>
      </w:pPr>
      <w:r>
        <w:rPr>
          <w:rFonts w:ascii="Arial" w:cs="Arial" w:eastAsia="Arial" w:hAnsi="Arial"/>
          <w:color w:val="000000"/>
          <w:sz w:val="20"/>
          <w:szCs w:val="20"/>
        </w:rPr>
        <w:t xml:space="preserve">Authentication Patterns</w:t>
      </w:r>
    </w:p>
    <w:p>
      <w:pPr>
        <w:pStyle w:val="ListParagraph"/>
        <w:numPr>
          <w:ilvl w:val="0"/>
          <w:numId w:val="2"/>
        </w:numPr>
        <w:spacing w:after="60" w:before="60"/>
      </w:pPr>
      <w:r>
        <w:rPr>
          <w:rFonts w:ascii="Arial" w:cs="Arial" w:eastAsia="Arial" w:hAnsi="Arial"/>
          <w:color w:val="000000"/>
          <w:sz w:val="20"/>
          <w:szCs w:val="20"/>
        </w:rPr>
        <w:t xml:space="preserve">OAuth 2.0: ASIC, IP Australia, EUIPO, EPO OPS, DIFC Dubai Pulse</w:t>
      </w:r>
    </w:p>
    <w:p>
      <w:pPr>
        <w:pStyle w:val="ListParagraph"/>
        <w:numPr>
          <w:ilvl w:val="0"/>
          <w:numId w:val="2"/>
        </w:numPr>
        <w:spacing w:after="60" w:before="60"/>
      </w:pPr>
      <w:r>
        <w:rPr>
          <w:rFonts w:ascii="Arial" w:cs="Arial" w:eastAsia="Arial" w:hAnsi="Arial"/>
          <w:color w:val="000000"/>
          <w:sz w:val="20"/>
          <w:szCs w:val="20"/>
        </w:rPr>
        <w:t xml:space="preserve">API Key: Companies House, EDINET, DART, FCA, CMF Chile, CanLII</w:t>
      </w:r>
    </w:p>
    <w:p>
      <w:pPr>
        <w:pStyle w:val="ListParagraph"/>
        <w:numPr>
          <w:ilvl w:val="0"/>
          <w:numId w:val="2"/>
        </w:numPr>
        <w:spacing w:after="60" w:before="60"/>
      </w:pPr>
      <w:r>
        <w:rPr>
          <w:rFonts w:ascii="Arial" w:cs="Arial" w:eastAsia="Arial" w:hAnsi="Arial"/>
          <w:color w:val="000000"/>
          <w:sz w:val="20"/>
          <w:szCs w:val="20"/>
        </w:rPr>
        <w:t xml:space="preserve">SOAP/HTTP: ABR (Australian Business Register)</w:t>
      </w:r>
    </w:p>
    <w:p>
      <w:pPr>
        <w:pStyle w:val="ListParagraph"/>
        <w:numPr>
          <w:ilvl w:val="0"/>
          <w:numId w:val="2"/>
        </w:numPr>
        <w:spacing w:after="60" w:before="60"/>
      </w:pPr>
      <w:r>
        <w:rPr>
          <w:rFonts w:ascii="Arial" w:cs="Arial" w:eastAsia="Arial" w:hAnsi="Arial"/>
          <w:color w:val="000000"/>
          <w:sz w:val="20"/>
          <w:szCs w:val="20"/>
        </w:rPr>
        <w:t xml:space="preserve">SPARQL: EUR-Lex CELLAR endpoint</w:t>
      </w:r>
    </w:p>
    <w:p>
      <w:pPr>
        <w:pStyle w:val="ListParagraph"/>
        <w:numPr>
          <w:ilvl w:val="0"/>
          <w:numId w:val="2"/>
        </w:numPr>
        <w:spacing w:after="60" w:before="60"/>
      </w:pPr>
      <w:r>
        <w:rPr>
          <w:rFonts w:ascii="Arial" w:cs="Arial" w:eastAsia="Arial" w:hAnsi="Arial"/>
          <w:color w:val="000000"/>
          <w:sz w:val="20"/>
          <w:szCs w:val="20"/>
        </w:rPr>
        <w:t xml:space="preserve">No auth (web scraping): Most court databases, IP offices, African registries</w:t>
      </w:r>
    </w:p>
    <w:p>
      <w:pPr>
        <w:spacing w:after="80" w:before="80"/>
      </w:pPr>
      <w:r>
        <w:rPr>
          <w:rFonts w:ascii="Arial" w:cs="Arial" w:eastAsia="Arial" w:hAnsi="Arial"/>
          <w:color w:val="000000"/>
          <w:sz w:val="20"/>
          <w:szCs w:val="20"/>
        </w:rPr>
        <w:t xml:space="preserve">Estimated Timeline and Cost by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**Region**</w:t>
            </w:r>
          </w:p>
        </w:tc>
        <w:tc>
          <w:tcPr>
            <w:tcW w:type="dxa" w:w="15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**Sources**</w:t>
            </w:r>
          </w:p>
        </w:tc>
        <w:tc>
          <w:tcPr>
            <w:tcW w:type="dxa" w:w="15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**Build Time**</w:t>
            </w:r>
          </w:p>
        </w:tc>
        <w:tc>
          <w:tcPr>
            <w:tcW w:type="dxa" w:w="15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**Data License**</w:t>
            </w:r>
          </w:p>
        </w:tc>
        <w:tc>
          <w:tcPr>
            <w:tcW w:type="dxa" w:w="15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**Infra Cost**</w:t>
            </w:r>
          </w:p>
        </w:tc>
        <w:tc>
          <w:tcPr>
            <w:tcW w:type="dxa" w:w="15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**Key Blocker**</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UK/EU</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8 sources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4-6 weeks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Free-GBP20K</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GDPR compliance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Australia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6 sources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3-4 weeks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Free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AustLII licensing</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Canada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 sources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4-6 weeks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Free-$500/mo</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Provincial fragmentation</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Japan/Korea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 sources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4-6 weeks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Free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CJK encoding/NLP</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Singapore/HK</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6 sources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3-4 weeks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Mixed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ACRA pricing</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India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 sources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4-6 weeks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INR 5-100/q</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MCA21 reliability</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China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 sources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8-12 weeks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Licensed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High</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PIPL/localization</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Brazil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 sources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4-6 weeks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Free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Portuguese NLP</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LatAm (other)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10 sources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8-12 weeks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Free-Low</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 APIs, Spanish</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Kenya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 sources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4-6 weeks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Free-Licensed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 APIs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South Africa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 sources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4-6 weeks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Free-Licensed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CIPC no bulk API</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Nigeria/Ghana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 sources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6-8 weeks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Mixed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Limited digital infra</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UAE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 sources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2-3 weeks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Free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Small registries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Saudi Arabia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 sources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2-3 weeks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Mixed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Manual processes</w:t>
            </w:r>
          </w:p>
        </w:tc>
      </w:tr>
    </w:tbl>
    <w:p>
      <w:pPr>
        <w:spacing w:after="80" w:before="80"/>
      </w:pPr>
      <w:r>
        <w:rPr>
          <w:rFonts w:ascii="Arial" w:cs="Arial" w:eastAsia="Arial" w:hAnsi="Arial"/>
          <w:color w:val="000000"/>
          <w:sz w:val="20"/>
          <w:szCs w:val="20"/>
        </w:rPr>
        <w:t xml:space="preserve">Legal Risk Summary by Region</w:t>
      </w:r>
    </w:p>
    <w:p>
      <w:pPr>
        <w:spacing w:after="80" w:before="80"/>
      </w:pPr>
      <w:r>
        <w:rPr>
          <w:rFonts w:ascii="Arial" w:cs="Arial" w:eastAsia="Arial" w:hAnsi="Arial"/>
          <w:color w:val="000000"/>
          <w:sz w:val="20"/>
          <w:szCs w:val="20"/>
        </w:rPr>
        <w:t xml:space="preserve">High-Risk Jurisdictions (Strict Enforcement)</w:t>
      </w:r>
    </w:p>
    <w:p>
      <w:pPr>
        <w:spacing w:after="80" w:before="80"/>
      </w:pPr>
      <w:r>
        <w:rPr>
          <w:rFonts w:ascii="Arial" w:cs="Arial" w:eastAsia="Arial" w:hAnsi="Arial"/>
          <w:b/>
          <w:bCs/>
          <w:color w:val="000000"/>
          <w:sz w:val="20"/>
          <w:szCs w:val="20"/>
        </w:rPr>
        <w:t xml:space="preserve">EU/UK (GDPR):</w:t>
      </w:r>
      <w:r>
        <w:rPr>
          <w:rFonts w:ascii="Arial" w:cs="Arial" w:eastAsia="Arial" w:hAnsi="Arial"/>
          <w:color w:val="000000"/>
          <w:sz w:val="20"/>
          <w:szCs w:val="20"/>
        </w:rPr>
        <w:t xml:space="preserve"> Fines up to 4% global annual turnover. Strictest enforcement globally. Requires DPIA, DPO appointment, lawful basis documentation. PSC data at Companies House contains personal information requiring careful handling.</w:t>
      </w:r>
    </w:p>
    <w:p>
      <w:pPr>
        <w:spacing w:after="80" w:before="80"/>
      </w:pPr>
      <w:r>
        <w:rPr>
          <w:rFonts w:ascii="Arial" w:cs="Arial" w:eastAsia="Arial" w:hAnsi="Arial"/>
          <w:b/>
          <w:bCs/>
          <w:color w:val="000000"/>
          <w:sz w:val="20"/>
          <w:szCs w:val="20"/>
        </w:rPr>
        <w:t xml:space="preserve">China (PIPL/Cybersecurity Law):</w:t>
      </w:r>
      <w:r>
        <w:rPr>
          <w:rFonts w:ascii="Arial" w:cs="Arial" w:eastAsia="Arial" w:hAnsi="Arial"/>
          <w:color w:val="000000"/>
          <w:sz w:val="20"/>
          <w:szCs w:val="20"/>
        </w:rPr>
        <w:t xml:space="preserve"> Data localization mandatory for financial institutions. Cross-border transfer restrictions. CSRC oversight for overseas listing data. Encryption requirements for sensitive financial data.</w:t>
      </w:r>
    </w:p>
    <w:p>
      <w:pPr>
        <w:spacing w:after="80" w:before="80"/>
      </w:pPr>
      <w:r>
        <w:rPr>
          <w:rFonts w:ascii="Arial" w:cs="Arial" w:eastAsia="Arial" w:hAnsi="Arial"/>
          <w:color w:val="000000"/>
          <w:sz w:val="20"/>
          <w:szCs w:val="20"/>
        </w:rPr>
        <w:t xml:space="preserve">Medium-Risk Jurisdictions</w:t>
      </w:r>
    </w:p>
    <w:p>
      <w:pPr>
        <w:spacing w:after="80" w:before="80"/>
      </w:pPr>
      <w:r>
        <w:rPr>
          <w:rFonts w:ascii="Arial" w:cs="Arial" w:eastAsia="Arial" w:hAnsi="Arial"/>
          <w:b/>
          <w:bCs/>
          <w:color w:val="000000"/>
          <w:sz w:val="20"/>
          <w:szCs w:val="20"/>
        </w:rPr>
        <w:t xml:space="preserve">Brazil (LGPD):</w:t>
      </w:r>
      <w:r>
        <w:rPr>
          <w:rFonts w:ascii="Arial" w:cs="Arial" w:eastAsia="Arial" w:hAnsi="Arial"/>
          <w:color w:val="000000"/>
          <w:sz w:val="20"/>
          <w:szCs w:val="20"/>
        </w:rPr>
        <w:t xml:space="preserve"> Fines up to 2% annual revenue. ANPD enforcement. Consent-based processing with exceptions. Data subject rights including anonymization and portability.</w:t>
      </w:r>
    </w:p>
    <w:p>
      <w:pPr>
        <w:spacing w:after="80" w:before="80"/>
      </w:pPr>
      <w:r>
        <w:rPr>
          <w:rFonts w:ascii="Arial" w:cs="Arial" w:eastAsia="Arial" w:hAnsi="Arial"/>
          <w:b/>
          <w:bCs/>
          <w:color w:val="000000"/>
          <w:sz w:val="20"/>
          <w:szCs w:val="20"/>
        </w:rPr>
        <w:t xml:space="preserve">South Africa (POPIA):</w:t>
      </w:r>
      <w:r>
        <w:rPr>
          <w:rFonts w:ascii="Arial" w:cs="Arial" w:eastAsia="Arial" w:hAnsi="Arial"/>
          <w:color w:val="000000"/>
          <w:sz w:val="20"/>
          <w:szCs w:val="20"/>
        </w:rPr>
        <w:t xml:space="preserve"> Max penalty 10% turnover or ZAR 10M. Information Officer appointment mandatory. Strict data accuracy requirements.</w:t>
      </w:r>
    </w:p>
    <w:p>
      <w:pPr>
        <w:spacing w:after="80" w:before="80"/>
      </w:pPr>
      <w:r>
        <w:rPr>
          <w:rFonts w:ascii="Arial" w:cs="Arial" w:eastAsia="Arial" w:hAnsi="Arial"/>
          <w:b/>
          <w:bCs/>
          <w:color w:val="000000"/>
          <w:sz w:val="20"/>
          <w:szCs w:val="20"/>
        </w:rPr>
        <w:t xml:space="preserve">Kenya (DPA 2019):</w:t>
      </w:r>
      <w:r>
        <w:rPr>
          <w:rFonts w:ascii="Arial" w:cs="Arial" w:eastAsia="Arial" w:hAnsi="Arial"/>
          <w:color w:val="000000"/>
          <w:sz w:val="20"/>
          <w:szCs w:val="20"/>
        </w:rPr>
        <w:t xml:space="preserve"> Penalties up to KES 5M or 1% turnover. DPIA required. ODPC registration. Particularly relevant given Arkova's Kenya legal engagement.</w:t>
      </w:r>
    </w:p>
    <w:p>
      <w:pPr>
        <w:spacing w:after="80" w:before="80"/>
      </w:pPr>
      <w:r>
        <w:rPr>
          <w:rFonts w:ascii="Arial" w:cs="Arial" w:eastAsia="Arial" w:hAnsi="Arial"/>
          <w:b/>
          <w:bCs/>
          <w:color w:val="000000"/>
          <w:sz w:val="20"/>
          <w:szCs w:val="20"/>
        </w:rPr>
        <w:t xml:space="preserve">Nigeria (NDPR):</w:t>
      </w:r>
      <w:r>
        <w:rPr>
          <w:rFonts w:ascii="Arial" w:cs="Arial" w:eastAsia="Arial" w:hAnsi="Arial"/>
          <w:color w:val="000000"/>
          <w:sz w:val="20"/>
          <w:szCs w:val="20"/>
        </w:rPr>
        <w:t xml:space="preserve"> 2% annual revenue fines for entities with 10,000+ data subjects. DPO certification required.</w:t>
      </w:r>
    </w:p>
    <w:p>
      <w:pPr>
        <w:spacing w:after="80" w:before="80"/>
      </w:pPr>
      <w:r>
        <w:rPr>
          <w:rFonts w:ascii="Arial" w:cs="Arial" w:eastAsia="Arial" w:hAnsi="Arial"/>
          <w:b/>
          <w:bCs/>
          <w:color w:val="000000"/>
          <w:sz w:val="20"/>
          <w:szCs w:val="20"/>
        </w:rPr>
        <w:t xml:space="preserve">Singapore (PDPA):</w:t>
      </w:r>
      <w:r>
        <w:rPr>
          <w:rFonts w:ascii="Arial" w:cs="Arial" w:eastAsia="Arial" w:hAnsi="Arial"/>
          <w:color w:val="000000"/>
          <w:sz w:val="20"/>
          <w:szCs w:val="20"/>
        </w:rPr>
        <w:t xml:space="preserve"> Up to 10% annual turnover penalties (if exceeding SGD 10M). 3-day breach notification.</w:t>
      </w:r>
    </w:p>
    <w:p>
      <w:pPr>
        <w:spacing w:after="80" w:before="80"/>
      </w:pPr>
      <w:r>
        <w:rPr>
          <w:rFonts w:ascii="Arial" w:cs="Arial" w:eastAsia="Arial" w:hAnsi="Arial"/>
          <w:b/>
          <w:bCs/>
          <w:color w:val="000000"/>
          <w:sz w:val="20"/>
          <w:szCs w:val="20"/>
        </w:rPr>
        <w:t xml:space="preserve">India (IT Act/SPDI):</w:t>
      </w:r>
      <w:r>
        <w:rPr>
          <w:rFonts w:ascii="Arial" w:cs="Arial" w:eastAsia="Arial" w:hAnsi="Arial"/>
          <w:color w:val="000000"/>
          <w:sz w:val="20"/>
          <w:szCs w:val="20"/>
        </w:rPr>
        <w:t xml:space="preserve"> ISO 27001 or annual audit required for significant systems. Grievance Officer mandatory. Consent and privacy policy disclosure required.</w:t>
      </w:r>
    </w:p>
    <w:p>
      <w:pPr>
        <w:spacing w:after="80" w:before="80"/>
      </w:pPr>
      <w:r>
        <w:rPr>
          <w:rFonts w:ascii="Arial" w:cs="Arial" w:eastAsia="Arial" w:hAnsi="Arial"/>
          <w:color w:val="000000"/>
          <w:sz w:val="20"/>
          <w:szCs w:val="20"/>
        </w:rPr>
        <w:t xml:space="preserve">Lower-Risk Jurisdictions</w:t>
      </w:r>
    </w:p>
    <w:p>
      <w:pPr>
        <w:spacing w:after="80" w:before="80"/>
      </w:pPr>
      <w:r>
        <w:rPr>
          <w:rFonts w:ascii="Arial" w:cs="Arial" w:eastAsia="Arial" w:hAnsi="Arial"/>
          <w:b/>
          <w:bCs/>
          <w:color w:val="000000"/>
          <w:sz w:val="20"/>
          <w:szCs w:val="20"/>
        </w:rPr>
        <w:t xml:space="preserve">Australia:</w:t>
      </w:r>
      <w:r>
        <w:rPr>
          <w:rFonts w:ascii="Arial" w:cs="Arial" w:eastAsia="Arial" w:hAnsi="Arial"/>
          <w:color w:val="000000"/>
          <w:sz w:val="20"/>
          <w:szCs w:val="20"/>
        </w:rPr>
        <w:t xml:space="preserve"> Privacy Act 1988 with 13 APPs. Moderate enforcement. ABR data freely available. ASIC residential address restrictions (Feb 2026) manageable.</w:t>
      </w:r>
    </w:p>
    <w:p>
      <w:pPr>
        <w:spacing w:after="80" w:before="80"/>
      </w:pPr>
      <w:r>
        <w:rPr>
          <w:rFonts w:ascii="Arial" w:cs="Arial" w:eastAsia="Arial" w:hAnsi="Arial"/>
          <w:b/>
          <w:bCs/>
          <w:color w:val="000000"/>
          <w:sz w:val="20"/>
          <w:szCs w:val="20"/>
        </w:rPr>
        <w:t xml:space="preserve">Canada:</w:t>
      </w:r>
      <w:r>
        <w:rPr>
          <w:rFonts w:ascii="Arial" w:cs="Arial" w:eastAsia="Arial" w:hAnsi="Arial"/>
          <w:color w:val="000000"/>
          <w:sz w:val="20"/>
          <w:szCs w:val="20"/>
        </w:rPr>
        <w:t xml:space="preserve"> PIPEDA federal, plus provincial laws. Bilingual requirements. Open Government initiative supports access.</w:t>
      </w:r>
    </w:p>
    <w:p>
      <w:pPr>
        <w:spacing w:after="80" w:before="80"/>
      </w:pPr>
      <w:r>
        <w:rPr>
          <w:rFonts w:ascii="Arial" w:cs="Arial" w:eastAsia="Arial" w:hAnsi="Arial"/>
          <w:b/>
          <w:bCs/>
          <w:color w:val="000000"/>
          <w:sz w:val="20"/>
          <w:szCs w:val="20"/>
        </w:rPr>
        <w:t xml:space="preserve">Japan/Korea:</w:t>
      </w:r>
      <w:r>
        <w:rPr>
          <w:rFonts w:ascii="Arial" w:cs="Arial" w:eastAsia="Arial" w:hAnsi="Arial"/>
          <w:color w:val="000000"/>
          <w:sz w:val="20"/>
          <w:szCs w:val="20"/>
        </w:rPr>
        <w:t xml:space="preserve"> APPI has GDPR adequacy. DART/EDINET free and well-documented. Fair use oriented.</w:t>
      </w:r>
    </w:p>
    <w:p>
      <w:pPr>
        <w:spacing w:after="80" w:before="80"/>
      </w:pPr>
      <w:r>
        <w:rPr>
          <w:rFonts w:ascii="Arial" w:cs="Arial" w:eastAsia="Arial" w:hAnsi="Arial"/>
          <w:b/>
          <w:bCs/>
          <w:color w:val="000000"/>
          <w:sz w:val="20"/>
          <w:szCs w:val="20"/>
        </w:rPr>
        <w:t xml:space="preserve">UAE/Saudi:</w:t>
      </w:r>
      <w:r>
        <w:rPr>
          <w:rFonts w:ascii="Arial" w:cs="Arial" w:eastAsia="Arial" w:hAnsi="Arial"/>
          <w:color w:val="000000"/>
          <w:sz w:val="20"/>
          <w:szCs w:val="20"/>
        </w:rPr>
        <w:t xml:space="preserve"> PDPL frameworks developing. DIFC has stricter regime than mainland UAE. Saudi PDPL compliance deadline passed (Sep 2024).</w:t>
      </w:r>
    </w:p>
    <w:p>
      <w:pPr>
        <w:spacing w:after="80" w:before="80"/>
      </w:pPr>
      <w:r>
        <w:rPr>
          <w:rFonts w:ascii="Arial" w:cs="Arial" w:eastAsia="Arial" w:hAnsi="Arial"/>
          <w:color w:val="000000"/>
          <w:sz w:val="20"/>
          <w:szCs w:val="20"/>
        </w:rPr>
        <w:t xml:space="preserve">Scraping Legality by Region</w:t>
      </w:r>
    </w:p>
    <w:p>
      <w:pPr>
        <w:spacing w:after="80" w:before="80"/>
      </w:pPr>
      <w:r>
        <w:rPr>
          <w:rFonts w:ascii="Arial" w:cs="Arial" w:eastAsia="Arial" w:hAnsi="Arial"/>
          <w:color w:val="000000"/>
          <w:sz w:val="20"/>
          <w:szCs w:val="20"/>
        </w:rPr>
        <w:t xml:space="preserve">Web scraping legality varies significantly by jurisdiction and must be assessed per-source:</w:t>
      </w:r>
    </w:p>
    <w:p>
      <w:pPr>
        <w:pStyle w:val="ListParagraph"/>
        <w:numPr>
          <w:ilvl w:val="0"/>
          <w:numId w:val="2"/>
        </w:numPr>
        <w:spacing w:after="60" w:before="60"/>
      </w:pPr>
      <w:r>
        <w:rPr>
          <w:rFonts w:ascii="Arial" w:cs="Arial" w:eastAsia="Arial" w:hAnsi="Arial"/>
          <w:color w:val="000000"/>
          <w:sz w:val="20"/>
          <w:szCs w:val="20"/>
        </w:rPr>
        <w:t xml:space="preserve">UK/EU: Generally permissible for public data under legitimate interest; GDPR limits on personal data. AustLII and BAILII explicitly prohibit scraping.</w:t>
      </w:r>
    </w:p>
    <w:p>
      <w:pPr>
        <w:pStyle w:val="ListParagraph"/>
        <w:numPr>
          <w:ilvl w:val="0"/>
          <w:numId w:val="2"/>
        </w:numPr>
        <w:spacing w:after="60" w:before="60"/>
      </w:pPr>
      <w:r>
        <w:rPr>
          <w:rFonts w:ascii="Arial" w:cs="Arial" w:eastAsia="Arial" w:hAnsi="Arial"/>
          <w:color w:val="000000"/>
          <w:sz w:val="20"/>
          <w:szCs w:val="20"/>
        </w:rPr>
        <w:t xml:space="preserve">US-influence jurisdictions (Singapore, India, Philippines): Courts generally permit scraping of public data; TOS violations are civil, not criminal.</w:t>
      </w:r>
    </w:p>
    <w:p>
      <w:pPr>
        <w:pStyle w:val="ListParagraph"/>
        <w:numPr>
          <w:ilvl w:val="0"/>
          <w:numId w:val="2"/>
        </w:numPr>
        <w:spacing w:after="60" w:before="60"/>
      </w:pPr>
      <w:r>
        <w:rPr>
          <w:rFonts w:ascii="Arial" w:cs="Arial" w:eastAsia="Arial" w:hAnsi="Arial"/>
          <w:color w:val="000000"/>
          <w:sz w:val="20"/>
          <w:szCs w:val="20"/>
        </w:rPr>
        <w:t xml:space="preserve">China: Anti-unfair competition law and PIPL create significant risk. Government databases may restrict automated access.</w:t>
      </w:r>
    </w:p>
    <w:p>
      <w:pPr>
        <w:pStyle w:val="ListParagraph"/>
        <w:numPr>
          <w:ilvl w:val="0"/>
          <w:numId w:val="2"/>
        </w:numPr>
        <w:spacing w:after="60" w:before="60"/>
      </w:pPr>
      <w:r>
        <w:rPr>
          <w:rFonts w:ascii="Arial" w:cs="Arial" w:eastAsia="Arial" w:hAnsi="Arial"/>
          <w:color w:val="000000"/>
          <w:sz w:val="20"/>
          <w:szCs w:val="20"/>
        </w:rPr>
        <w:t xml:space="preserve">Brazil/LatAm: LGPD and local competition laws apply. Official gazettes (DOU, DOF) are public domain.</w:t>
      </w:r>
    </w:p>
    <w:p>
      <w:pPr>
        <w:pStyle w:val="ListParagraph"/>
        <w:numPr>
          <w:ilvl w:val="0"/>
          <w:numId w:val="2"/>
        </w:numPr>
        <w:spacing w:after="60" w:before="60"/>
      </w:pPr>
      <w:r>
        <w:rPr>
          <w:rFonts w:ascii="Arial" w:cs="Arial" w:eastAsia="Arial" w:hAnsi="Arial"/>
          <w:color w:val="000000"/>
          <w:sz w:val="20"/>
          <w:szCs w:val="20"/>
        </w:rPr>
        <w:t xml:space="preserve">Africa: Limited case law on scraping. Government data generally treated as public domain. Kenya Law is explicitly public.</w:t>
      </w:r>
    </w:p>
    <w:p>
      <w:pPr>
        <w:pStyle w:val="ListParagraph"/>
        <w:numPr>
          <w:ilvl w:val="0"/>
          <w:numId w:val="2"/>
        </w:numPr>
        <w:spacing w:after="60" w:before="60"/>
      </w:pPr>
      <w:r>
        <w:rPr>
          <w:rFonts w:ascii="Arial" w:cs="Arial" w:eastAsia="Arial" w:hAnsi="Arial"/>
          <w:color w:val="000000"/>
          <w:sz w:val="20"/>
          <w:szCs w:val="20"/>
        </w:rPr>
        <w:t xml:space="preserve">Middle East: UAE/Saudi digital laws are new; scraping TOS may be enforced under computer fraud statutes.</w:t>
      </w:r>
    </w:p>
    <w:p>
      <w:r>
        <w:br w:type="page"/>
      </w:r>
    </w:p>
    <w:p>
      <w:pPr>
        <w:spacing w:after="200" w:before="2400"/>
        <w:jc w:val="center"/>
      </w:pPr>
      <w:r>
        <w:rPr>
          <w:rFonts w:ascii="Arial" w:cs="Arial" w:eastAsia="Arial" w:hAnsi="Arial"/>
          <w:b/>
          <w:bCs/>
          <w:color w:val="2B5797"/>
          <w:sz w:val="48"/>
          <w:szCs w:val="48"/>
        </w:rPr>
        <w:t xml:space="preserve">PART 5</w:t>
      </w:r>
    </w:p>
    <w:p>
      <w:pPr>
        <w:spacing w:after="100" w:before="200"/>
        <w:jc w:val="center"/>
      </w:pPr>
      <w:r>
        <w:rPr>
          <w:rFonts w:ascii="Arial" w:cs="Arial" w:eastAsia="Arial" w:hAnsi="Arial"/>
          <w:b/>
          <w:bCs/>
          <w:color w:val="333333"/>
          <w:sz w:val="36"/>
          <w:szCs w:val="36"/>
        </w:rPr>
        <w:t xml:space="preserve">Document Alignment Audit</w:t>
      </w:r>
    </w:p>
    <w:p>
      <w:pPr>
        <w:spacing w:after="600" w:before="100"/>
        <w:jc w:val="center"/>
      </w:pPr>
      <w:r>
        <w:rPr>
          <w:rFonts w:ascii="Arial" w:cs="Arial" w:eastAsia="Arial" w:hAnsi="Arial"/>
          <w:i/>
          <w:iCs/>
          <w:color w:val="666666"/>
          <w:sz w:val="24"/>
          <w:szCs w:val="24"/>
        </w:rPr>
        <w:t xml:space="preserve">Source: Arkova-Document-Alignment-Audit.docx</w:t>
      </w:r>
    </w:p>
    <w:p>
      <w:pPr>
        <w:pBdr>
          <w:bottom w:val="single" w:color="2B5797" w:sz="6" w:space="1"/>
        </w:pBdr>
        <w:spacing w:after="400" w:before="200"/>
        <w:jc w:val="center"/>
      </w:pPr>
      <w:r>
        <w:rPr>
          <w:sz w:val="10"/>
          <w:szCs w:val="10"/>
        </w:rPr>
        <w:t xml:space="preserve"> </w:t>
      </w:r>
    </w:p>
    <w:p>
      <w:pPr>
        <w:spacing w:after="80" w:before="80"/>
      </w:pPr>
      <w:r>
        <w:rPr>
          <w:rFonts w:ascii="Arial" w:cs="Arial" w:eastAsia="Arial" w:hAnsi="Arial"/>
          <w:b/>
          <w:bCs/>
          <w:color w:val="000000"/>
          <w:sz w:val="20"/>
          <w:szCs w:val="20"/>
        </w:rPr>
        <w:t xml:space="preserve">Arkova Document Alignment Audit</w:t>
      </w:r>
    </w:p>
    <w:p>
      <w:pPr>
        <w:spacing w:after="80" w:before="80"/>
      </w:pPr>
      <w:r>
        <w:rPr>
          <w:rFonts w:ascii="Arial" w:cs="Arial" w:eastAsia="Arial" w:hAnsi="Arial"/>
          <w:color w:val="000000"/>
          <w:sz w:val="20"/>
          <w:szCs w:val="20"/>
        </w:rPr>
        <w:t xml:space="preserve">Pre-Execution Verification Report</w:t>
      </w:r>
    </w:p>
    <w:p>
      <w:pPr>
        <w:spacing w:after="80" w:before="80"/>
      </w:pPr>
      <w:r>
        <w:rPr>
          <w:rFonts w:ascii="Arial" w:cs="Arial" w:eastAsia="Arial" w:hAnsi="Arial"/>
          <w:b/>
          <w:bCs/>
          <w:color w:val="000000"/>
          <w:sz w:val="20"/>
          <w:szCs w:val="20"/>
        </w:rPr>
        <w:t xml:space="preserve">Date:</w:t>
      </w:r>
      <w:r>
        <w:rPr>
          <w:rFonts w:ascii="Arial" w:cs="Arial" w:eastAsia="Arial" w:hAnsi="Arial"/>
          <w:color w:val="000000"/>
          <w:sz w:val="20"/>
          <w:szCs w:val="20"/>
        </w:rPr>
        <w:t xml:space="preserve"> March 21, 2026</w:t>
      </w:r>
    </w:p>
    <w:p>
      <w:pPr>
        <w:spacing w:after="80" w:before="80"/>
      </w:pPr>
      <w:r>
        <w:rPr>
          <w:rFonts w:ascii="Arial" w:cs="Arial" w:eastAsia="Arial" w:hAnsi="Arial"/>
          <w:b/>
          <w:bCs/>
          <w:color w:val="000000"/>
          <w:sz w:val="20"/>
          <w:szCs w:val="20"/>
        </w:rPr>
        <w:t xml:space="preserve">Auditor:</w:t>
      </w:r>
      <w:r>
        <w:rPr>
          <w:rFonts w:ascii="Arial" w:cs="Arial" w:eastAsia="Arial" w:hAnsi="Arial"/>
          <w:color w:val="000000"/>
          <w:sz w:val="20"/>
          <w:szCs w:val="20"/>
        </w:rPr>
        <w:t xml:space="preserve"> Claude (for Carson @ Arkova)</w:t>
      </w:r>
    </w:p>
    <w:p>
      <w:pPr>
        <w:spacing w:after="80" w:before="80"/>
      </w:pPr>
      <w:r>
        <w:rPr>
          <w:rFonts w:ascii="Arial" w:cs="Arial" w:eastAsia="Arial" w:hAnsi="Arial"/>
          <w:b/>
          <w:bCs/>
          <w:color w:val="000000"/>
          <w:sz w:val="20"/>
          <w:szCs w:val="20"/>
        </w:rPr>
        <w:t xml:space="preserve">Scope:</w:t>
      </w:r>
      <w:r>
        <w:rPr>
          <w:rFonts w:ascii="Arial" w:cs="Arial" w:eastAsia="Arial" w:hAnsi="Arial"/>
          <w:color w:val="000000"/>
          <w:sz w:val="20"/>
          <w:szCs w:val="20"/>
        </w:rPr>
        <w:t xml:space="preserve"> Cross-document consistency audit against 11 established project decisions</w:t>
      </w:r>
    </w:p>
    <w:p>
      <w:pPr>
        <w:spacing w:after="80" w:before="80"/>
      </w:pPr>
      <w:r>
        <w:rPr>
          <w:rFonts w:ascii="Arial" w:cs="Arial" w:eastAsia="Arial" w:hAnsi="Arial"/>
          <w:b/>
          <w:bCs/>
          <w:color w:val="000000"/>
          <w:sz w:val="20"/>
          <w:szCs w:val="20"/>
        </w:rPr>
        <w:t xml:space="preserve">Purpose:</w:t>
      </w:r>
      <w:r>
        <w:rPr>
          <w:rFonts w:ascii="Arial" w:cs="Arial" w:eastAsia="Arial" w:hAnsi="Arial"/>
          <w:color w:val="000000"/>
          <w:sz w:val="20"/>
          <w:szCs w:val="20"/>
        </w:rPr>
        <w:t xml:space="preserve"> Pre-execution verification before Carson begins implementation</w:t>
      </w:r>
    </w:p>
    <w:p>
      <w:pPr>
        <w:spacing w:after="80" w:before="80"/>
      </w:pPr>
      <w:r>
        <w:rPr>
          <w:rFonts w:ascii="Arial" w:cs="Arial" w:eastAsia="Arial" w:hAnsi="Arial"/>
          <w:color w:val="000000"/>
          <w:sz w:val="20"/>
          <w:szCs w:val="20"/>
        </w:rPr>
        <w:t xml:space="preserve">Critical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**Severity**</w:t>
            </w:r>
          </w:p>
        </w:tc>
        <w:tc>
          <w:tcPr>
            <w:tcW w:type="dxa" w:w="468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**Count**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CRITICAL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3</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WARNING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10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INFO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5</w:t>
            </w:r>
          </w:p>
        </w:tc>
      </w:tr>
    </w:tbl>
    <w:p>
      <w:pPr>
        <w:spacing w:after="80" w:before="80"/>
      </w:pPr>
      <w:r>
        <w:rPr>
          <w:rFonts w:ascii="Arial" w:cs="Arial" w:eastAsia="Arial" w:hAnsi="Arial"/>
          <w:color w:val="000000"/>
          <w:sz w:val="20"/>
          <w:szCs w:val="20"/>
        </w:rPr>
        <w:t xml:space="preserve">Document-by-Document Findings</w:t>
      </w:r>
    </w:p>
    <w:p>
      <w:pPr>
        <w:spacing w:after="80" w:before="80"/>
      </w:pPr>
      <w:r>
        <w:rPr>
          <w:rFonts w:ascii="Arial" w:cs="Arial" w:eastAsia="Arial" w:hAnsi="Arial"/>
          <w:color w:val="000000"/>
          <w:sz w:val="20"/>
          <w:szCs w:val="20"/>
        </w:rPr>
        <w:t xml:space="preserve">1. Arkova-Strategic-Roadmap-v2.docx (Source of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**ID**</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**Severity**</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**Issue**</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**Fix**</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CRITICAL-01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OpenTimestamps reference in Appendix C. OpenTimestamps was explicitly rejected. Arkova uses direct OP_RETURN anchoring.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Replace "via OpenTimestamps" with "via direct OP_RETURN"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WARNING-01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WARNING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Crypto jargon: "transaction logs" in Self-Hosted Facilitator description. Forbidden per CLAUDE.md.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Replace with "settlement records" or "payment records"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WARNING-02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WARNING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"Verification layer" language persists in multiple sections instead of "autonomous compliance infrastructure."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Find-and-replace positioning language to "autonomous compliance infrastructure"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INFO-01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INFO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Coinbase hosted as fallback in risk table. Acceptable as dev/testnet fallback, not production.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 change needed</w:t>
            </w:r>
          </w:p>
        </w:tc>
      </w:tr>
    </w:tbl>
    <w:p>
      <w:pPr>
        <w:spacing w:after="80" w:before="80"/>
      </w:pPr>
      <w:r>
        <w:rPr>
          <w:rFonts w:ascii="Arial" w:cs="Arial" w:eastAsia="Arial" w:hAnsi="Arial"/>
          <w:color w:val="000000"/>
          <w:sz w:val="20"/>
          <w:szCs w:val="20"/>
        </w:rPr>
        <w:t xml:space="preserve">2. Arkova-Roadmap-x402-Plan.docx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**ID**</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**Severity**</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**Issue**</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**Fix**</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WARNING-03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WARNING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"Wallet" used multiple times in user-facing contexts. Forbidden term per CLAUDE.md.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Replace with "Vault" or "payment account" in user-facing sections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WARNING-04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WARNING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 Nessie references anywhere. Predates naming decision.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Mark doc as superseded by v2 or update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WARNING-05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WARNING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 "autonomous compliance" framing. Positioned as technical implementation plan only.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Mark as superseded or update title/framing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INFO-02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INFO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Correctly handles facilitator decision (self-hosted for production, Coinbase for testnet).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 change needed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INFO-03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INFO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Correctly handles non-custodial model.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 change needed</w:t>
            </w:r>
          </w:p>
        </w:tc>
      </w:tr>
    </w:tbl>
    <w:p>
      <w:pPr>
        <w:spacing w:after="80" w:before="80"/>
      </w:pPr>
      <w:r>
        <w:rPr>
          <w:rFonts w:ascii="Arial" w:cs="Arial" w:eastAsia="Arial" w:hAnsi="Arial"/>
          <w:color w:val="000000"/>
          <w:sz w:val="20"/>
          <w:szCs w:val="20"/>
        </w:rPr>
        <w:t xml:space="preserve">3. Arkova-Verification-Bootstrap-Strategy.docx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**ID**</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**Severity**</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**Issue**</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**Fix**</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WARNING-06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WARNING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"Verification layer" used as primary positioning throughout instead of "autonomous compliance infrastructure."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Reframe positioning language if shared externally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INFO-04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INFO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 Nessie mention (expected for corpus/bootstrap strategy doc).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Consider adding cross-reference to v2 roadmap</w:t>
            </w:r>
          </w:p>
        </w:tc>
      </w:tr>
    </w:tbl>
    <w:p>
      <w:pPr>
        <w:spacing w:after="80" w:before="80"/>
      </w:pPr>
      <w:r>
        <w:rPr>
          <w:rFonts w:ascii="Arial" w:cs="Arial" w:eastAsia="Arial" w:hAnsi="Arial"/>
          <w:color w:val="000000"/>
          <w:sz w:val="20"/>
          <w:szCs w:val="20"/>
        </w:rPr>
        <w:t xml:space="preserve">4. Arkova-Verification-Bootstrap-Deep-Dive.docx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**ID**</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**Severity**</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**Issue**</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**Fix**</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CRITICAL-02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OpenTimestamps mentioned as competitor without noting Arkova explicitly rejected it for direct OP_RETURN. Risk: reader could infer Arkova should use OpenTimestamps.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Add clarifying note that Arkova uses direct OP_RETURN, not OpenTimestamps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WARNING-07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WARNING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"Verification network" as identity. Closer to evolved vision but not the full "autonomous compliance infrastructure" positioning.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Note that it predates v2 positioning update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INFO-05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INFO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Correct non-custodial and self-custody alignment throughout.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 change needed</w:t>
            </w:r>
          </w:p>
        </w:tc>
      </w:tr>
    </w:tbl>
    <w:p>
      <w:pPr>
        <w:spacing w:after="80" w:before="80"/>
      </w:pPr>
      <w:r>
        <w:rPr>
          <w:rFonts w:ascii="Arial" w:cs="Arial" w:eastAsia="Arial" w:hAnsi="Arial"/>
          <w:color w:val="000000"/>
          <w:sz w:val="20"/>
          <w:szCs w:val="20"/>
        </w:rPr>
        <w:t xml:space="preserve">5. Arkova-Verified-Intelligence-SLM-Analysis.docx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**ID**</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**Severity**</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**Issue**</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**Fix**</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CRITICAL-03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CRITICAL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SLM is never called "Nessie" anywhere in the document. This is the primary SLM strategy doc.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Global find-and-replace: "the SLM" to "Nessie"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WARNING-08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WARNING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Inflated FTE costs: $450K-$720K for 2-3 ML engineers + 1 data engineer. Agreed approach is synthetic data distillation with 1 ML engineer.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Revise to 1 ML engineer (~$150-180K) + synthetic data approach (~$175-240K total)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WARNING-09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WARNING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Missing "autonomous compliance infrastructure" framing. Treats SLM as standalone product.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Add framing connecting Nessie to autonomous compliance vision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WARNING-10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WARNING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No mention of synthetic data / distillation training approach using Claude/Gemini.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Add section on synthetic data generation methodology</w:t>
            </w:r>
          </w:p>
        </w:tc>
      </w:tr>
    </w:tbl>
    <w:p>
      <w:pPr>
        <w:spacing w:after="80" w:before="80"/>
      </w:pPr>
      <w:r>
        <w:rPr>
          <w:rFonts w:ascii="Arial" w:cs="Arial" w:eastAsia="Arial" w:hAnsi="Arial"/>
          <w:color w:val="000000"/>
          <w:sz w:val="20"/>
          <w:szCs w:val="20"/>
        </w:rPr>
        <w:t xml:space="preserve">6. Arkova-Global-Data-Source-Registry.docx</w:t>
      </w:r>
    </w:p>
    <w:p>
      <w:pPr>
        <w:spacing w:after="80" w:before="80"/>
      </w:pPr>
      <w:r>
        <w:rPr>
          <w:rFonts w:ascii="Arial" w:cs="Arial" w:eastAsia="Arial" w:hAnsi="Arial"/>
          <w:b/>
          <w:bCs/>
          <w:color w:val="000000"/>
          <w:sz w:val="20"/>
          <w:szCs w:val="20"/>
        </w:rPr>
        <w:t xml:space="preserve">CLEAN</w:t>
      </w:r>
      <w:r>
        <w:rPr>
          <w:rFonts w:ascii="Arial" w:cs="Arial" w:eastAsia="Arial" w:hAnsi="Arial"/>
          <w:color w:val="000000"/>
          <w:sz w:val="20"/>
          <w:szCs w:val="20"/>
        </w:rPr>
        <w:t xml:space="preserve"> --- No alignment issues found. Covers 30+ jurisdictions across 7 regions. No OpenTimestamps references, no crypto jargon in user-facing content, no Nessie references needed.</w:t>
      </w:r>
    </w:p>
    <w:p>
      <w:pPr>
        <w:spacing w:after="80" w:before="80"/>
      </w:pPr>
      <w:r>
        <w:rPr>
          <w:rFonts w:ascii="Arial" w:cs="Arial" w:eastAsia="Arial" w:hAnsi="Arial"/>
          <w:color w:val="000000"/>
          <w:sz w:val="20"/>
          <w:szCs w:val="20"/>
        </w:rPr>
        <w:t xml:space="preserve">Cross-Document Consistency Issues</w:t>
      </w:r>
    </w:p>
    <w:p>
      <w:pPr>
        <w:spacing w:after="80" w:before="80"/>
      </w:pPr>
      <w:r>
        <w:rPr>
          <w:rFonts w:ascii="Arial" w:cs="Arial" w:eastAsia="Arial" w:hAnsi="Arial"/>
          <w:color w:val="000000"/>
          <w:sz w:val="20"/>
          <w:szCs w:val="20"/>
        </w:rPr>
        <w:t xml:space="preserve">Positioning Language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**Document**</w:t>
            </w:r>
          </w:p>
        </w:tc>
        <w:tc>
          <w:tcPr>
            <w:tcW w:type="dxa" w:w="468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**Primary Positioning**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v2 Roadmap (source of truth)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Autonomous compliance infrastructure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v1 Roadmap</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Strategic Roadmap &amp; x402 Implementation Plan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Bootstrap Strategy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Verification layer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Bootstrap Deep Dive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Verification network</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SLM Analysis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Verified Intelligence / standalone SLM product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Global Data Registry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Neutral (data reference doc)</w:t>
            </w:r>
          </w:p>
        </w:tc>
      </w:tr>
    </w:tbl>
    <w:p>
      <w:pPr>
        <w:spacing w:after="80" w:before="80"/>
      </w:pPr>
      <w:r>
        <w:rPr>
          <w:rFonts w:ascii="Arial" w:cs="Arial" w:eastAsia="Arial" w:hAnsi="Arial"/>
          <w:color w:val="000000"/>
          <w:sz w:val="20"/>
          <w:szCs w:val="20"/>
        </w:rPr>
        <w:t xml:space="preserve">FTE Cost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**Document**</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**ML Team Size**</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**Annual Cost**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v2 Roadmap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Implied lean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$580K-$920K total (incl. infra)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SLM Analysis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2-3 ML + 1 data engineer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$450K-$720K FTE only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Agreed approach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 ML engineer (synthetic data)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~$175-240K</w:t>
            </w:r>
          </w:p>
        </w:tc>
      </w:tr>
    </w:tbl>
    <w:p>
      <w:pPr>
        <w:spacing w:after="80" w:before="80"/>
      </w:pPr>
      <w:r>
        <w:rPr>
          <w:rFonts w:ascii="Arial" w:cs="Arial" w:eastAsia="Arial" w:hAnsi="Arial"/>
          <w:color w:val="000000"/>
          <w:sz w:val="20"/>
          <w:szCs w:val="20"/>
        </w:rPr>
        <w:t xml:space="preserve">Execution Readiness Assessment</w:t>
      </w:r>
    </w:p>
    <w:p>
      <w:pPr>
        <w:spacing w:after="80" w:before="80"/>
      </w:pPr>
      <w:r>
        <w:rPr>
          <w:rFonts w:ascii="Arial" w:cs="Arial" w:eastAsia="Arial" w:hAnsi="Arial"/>
          <w:color w:val="000000"/>
          <w:sz w:val="20"/>
          <w:szCs w:val="20"/>
        </w:rPr>
        <w:t xml:space="preserve">Ready for Execution (Clean or Minor Issues)</w:t>
      </w:r>
    </w:p>
    <w:p>
      <w:pPr>
        <w:pStyle w:val="ListParagraph"/>
        <w:numPr>
          <w:ilvl w:val="0"/>
          <w:numId w:val="2"/>
        </w:numPr>
        <w:spacing w:after="60" w:before="60"/>
      </w:pPr>
      <w:r>
        <w:rPr>
          <w:rFonts w:ascii="Arial" w:cs="Arial" w:eastAsia="Arial" w:hAnsi="Arial"/>
          <w:b/>
          <w:bCs/>
          <w:color w:val="000000"/>
          <w:sz w:val="20"/>
          <w:szCs w:val="20"/>
        </w:rPr>
        <w:t xml:space="preserve">Global Data Source Registry</w:t>
      </w:r>
      <w:r>
        <w:rPr>
          <w:rFonts w:ascii="Arial" w:cs="Arial" w:eastAsia="Arial" w:hAnsi="Arial"/>
          <w:color w:val="000000"/>
          <w:sz w:val="20"/>
          <w:szCs w:val="20"/>
        </w:rPr>
        <w:t xml:space="preserve"> --- CLEAN. Ready to execute for data ingestion planning.</w:t>
      </w:r>
    </w:p>
    <w:p>
      <w:pPr>
        <w:pStyle w:val="ListParagraph"/>
        <w:numPr>
          <w:ilvl w:val="0"/>
          <w:numId w:val="2"/>
        </w:numPr>
        <w:spacing w:after="60" w:before="60"/>
      </w:pPr>
      <w:r>
        <w:rPr>
          <w:rFonts w:ascii="Arial" w:cs="Arial" w:eastAsia="Arial" w:hAnsi="Arial"/>
          <w:b/>
          <w:bCs/>
          <w:color w:val="000000"/>
          <w:sz w:val="20"/>
          <w:szCs w:val="20"/>
        </w:rPr>
        <w:t xml:space="preserve">x402 Plan (v1)</w:t>
      </w:r>
      <w:r>
        <w:rPr>
          <w:rFonts w:ascii="Arial" w:cs="Arial" w:eastAsia="Arial" w:hAnsi="Arial"/>
          <w:color w:val="000000"/>
          <w:sz w:val="20"/>
          <w:szCs w:val="20"/>
        </w:rPr>
        <w:t xml:space="preserve"> --- Safe to execute x402 technical implementation. "Wallet" and Nessie gaps are warnings, not blockers.</w:t>
      </w:r>
    </w:p>
    <w:p>
      <w:pPr>
        <w:pStyle w:val="ListParagraph"/>
        <w:numPr>
          <w:ilvl w:val="0"/>
          <w:numId w:val="2"/>
        </w:numPr>
        <w:spacing w:after="60" w:before="60"/>
      </w:pPr>
      <w:r>
        <w:rPr>
          <w:rFonts w:ascii="Arial" w:cs="Arial" w:eastAsia="Arial" w:hAnsi="Arial"/>
          <w:b/>
          <w:bCs/>
          <w:color w:val="000000"/>
          <w:sz w:val="20"/>
          <w:szCs w:val="20"/>
        </w:rPr>
        <w:t xml:space="preserve">Bootstrap Strategy</w:t>
      </w:r>
      <w:r>
        <w:rPr>
          <w:rFonts w:ascii="Arial" w:cs="Arial" w:eastAsia="Arial" w:hAnsi="Arial"/>
          <w:color w:val="000000"/>
          <w:sz w:val="20"/>
          <w:szCs w:val="20"/>
        </w:rPr>
        <w:t xml:space="preserve"> --- Strategy recommendations sound. Safe to execute bootstrap priorities.</w:t>
      </w:r>
    </w:p>
    <w:p>
      <w:pPr>
        <w:spacing w:after="80" w:before="80"/>
      </w:pPr>
      <w:r>
        <w:rPr>
          <w:rFonts w:ascii="Arial" w:cs="Arial" w:eastAsia="Arial" w:hAnsi="Arial"/>
          <w:color w:val="000000"/>
          <w:sz w:val="20"/>
          <w:szCs w:val="20"/>
        </w:rPr>
        <w:t xml:space="preserve">Needs Revision Before External Sharing</w:t>
      </w:r>
    </w:p>
    <w:p>
      <w:pPr>
        <w:pStyle w:val="ListParagraph"/>
        <w:numPr>
          <w:ilvl w:val="0"/>
          <w:numId w:val="2"/>
        </w:numPr>
        <w:spacing w:after="60" w:before="60"/>
      </w:pPr>
      <w:r>
        <w:rPr>
          <w:rFonts w:ascii="Arial" w:cs="Arial" w:eastAsia="Arial" w:hAnsi="Arial"/>
          <w:b/>
          <w:bCs/>
          <w:color w:val="000000"/>
          <w:sz w:val="20"/>
          <w:szCs w:val="20"/>
        </w:rPr>
        <w:t xml:space="preserve">v2 Roadmap</w:t>
      </w:r>
      <w:r>
        <w:rPr>
          <w:rFonts w:ascii="Arial" w:cs="Arial" w:eastAsia="Arial" w:hAnsi="Arial"/>
          <w:color w:val="000000"/>
          <w:sz w:val="20"/>
          <w:szCs w:val="20"/>
        </w:rPr>
        <w:t xml:space="preserve"> --- Fix OpenTimestamps reference in Appendix C, then ready.</w:t>
      </w:r>
    </w:p>
    <w:p>
      <w:pPr>
        <w:pStyle w:val="ListParagraph"/>
        <w:numPr>
          <w:ilvl w:val="0"/>
          <w:numId w:val="2"/>
        </w:numPr>
        <w:spacing w:after="60" w:before="60"/>
      </w:pPr>
      <w:r>
        <w:rPr>
          <w:rFonts w:ascii="Arial" w:cs="Arial" w:eastAsia="Arial" w:hAnsi="Arial"/>
          <w:b/>
          <w:bCs/>
          <w:color w:val="000000"/>
          <w:sz w:val="20"/>
          <w:szCs w:val="20"/>
        </w:rPr>
        <w:t xml:space="preserve">Bootstrap Deep Dive</w:t>
      </w:r>
      <w:r>
        <w:rPr>
          <w:rFonts w:ascii="Arial" w:cs="Arial" w:eastAsia="Arial" w:hAnsi="Arial"/>
          <w:color w:val="000000"/>
          <w:sz w:val="20"/>
          <w:szCs w:val="20"/>
        </w:rPr>
        <w:t xml:space="preserve"> --- Add clarifying context about direct OP_RETURN in competitive section.</w:t>
      </w:r>
    </w:p>
    <w:p>
      <w:pPr>
        <w:pStyle w:val="ListParagraph"/>
        <w:numPr>
          <w:ilvl w:val="0"/>
          <w:numId w:val="2"/>
        </w:numPr>
        <w:spacing w:after="60" w:before="60"/>
      </w:pPr>
      <w:r>
        <w:rPr>
          <w:rFonts w:ascii="Arial" w:cs="Arial" w:eastAsia="Arial" w:hAnsi="Arial"/>
          <w:b/>
          <w:bCs/>
          <w:color w:val="000000"/>
          <w:sz w:val="20"/>
          <w:szCs w:val="20"/>
        </w:rPr>
        <w:t xml:space="preserve">SLM Analysis</w:t>
      </w:r>
      <w:r>
        <w:rPr>
          <w:rFonts w:ascii="Arial" w:cs="Arial" w:eastAsia="Arial" w:hAnsi="Arial"/>
          <w:color w:val="000000"/>
          <w:sz w:val="20"/>
          <w:szCs w:val="20"/>
        </w:rPr>
        <w:t xml:space="preserve"> --- Needs Nessie naming, cost correction to synthetic data approach, and methodology addition. Do not execute against cost/team estimates without revision.</w:t>
      </w:r>
    </w:p>
    <w:p>
      <w:pPr>
        <w:spacing w:after="80" w:before="80"/>
      </w:pPr>
      <w:r>
        <w:rPr>
          <w:rFonts w:ascii="Arial" w:cs="Arial" w:eastAsia="Arial" w:hAnsi="Arial"/>
          <w:color w:val="000000"/>
          <w:sz w:val="20"/>
          <w:szCs w:val="20"/>
        </w:rPr>
        <w:t xml:space="preserve">Recommended Fix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**Priority**</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**Time Est.**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Fix OpenTimestamps reference in v2 Roadmap Appendix 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 min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Add "Nessie" naming throughout SLM Analysis doc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15 min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Add clarifying note about direct OP_RETURN in Deep Dive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5 min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Revise SLM Analysis team/cost for synthetic data approach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30 min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Add synthetic data/distillation methodology to SLM Analysis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30 min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Replace "wallet" with approved terminology in v1 Roadmap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10 min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b/>
                <w:bCs/>
                <w:color w:val="000000"/>
                <w:sz w:val="20"/>
                <w:szCs w:val="20"/>
              </w:rPr>
              <w:t xml:space="preserve">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Update positioning language across all docs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before="40"/>
            </w:pPr>
            <w:r>
              <w:rPr>
                <w:rFonts w:ascii="Arial" w:cs="Arial" w:eastAsia="Arial" w:hAnsi="Arial"/>
                <w:color w:val="000000"/>
                <w:sz w:val="20"/>
                <w:szCs w:val="20"/>
              </w:rPr>
              <w:t xml:space="preserve">20 min</w:t>
            </w:r>
          </w:p>
        </w:tc>
      </w:tr>
    </w:tbl>
    <w:p>
      <w:pPr>
        <w:spacing w:after="80" w:before="80"/>
      </w:pPr>
      <w:r>
        <w:rPr>
          <w:rFonts w:ascii="Arial" w:cs="Arial" w:eastAsia="Arial" w:hAnsi="Arial"/>
          <w:i/>
          <w:iCs/>
          <w:color w:val="000000"/>
          <w:sz w:val="20"/>
          <w:szCs w:val="20"/>
        </w:rPr>
        <w:t xml:space="preserve">Audit completed March 21, 2026. All documents read in full. Findings cross-referenced against CLAUDE.md project configuration and the 11 alignment criteria provided by Carson.</w:t>
      </w:r>
    </w:p>
    <w:p>
      <w:r>
        <w:br w:type="page"/>
      </w:r>
    </w:p>
    <w:p>
      <w:pPr>
        <w:spacing w:after="400" w:before="600"/>
        <w:jc w:val="center"/>
      </w:pPr>
      <w:r>
        <w:rPr>
          <w:rFonts w:ascii="Arial" w:cs="Arial" w:eastAsia="Arial" w:hAnsi="Arial"/>
          <w:b/>
          <w:bCs/>
          <w:color w:val="2B5797"/>
          <w:sz w:val="48"/>
          <w:szCs w:val="48"/>
        </w:rPr>
        <w:t xml:space="preserve">REFERENCES &amp; SOURCES</w:t>
      </w:r>
    </w:p>
    <w:p>
      <w:pPr>
        <w:pBdr>
          <w:bottom w:val="single" w:color="2B5797" w:sz="6" w:space="1"/>
        </w:pBdr>
        <w:spacing w:after="400" w:before="200"/>
        <w:jc w:val="center"/>
      </w:pPr>
      <w:r>
        <w:rPr>
          <w:sz w:val="10"/>
          <w:szCs w:val="10"/>
        </w:rPr>
        <w:t xml:space="preserve"> </w:t>
      </w:r>
    </w:p>
    <w:p>
      <w:pPr>
        <w:pStyle w:val="Heading2"/>
        <w:spacing w:after="160" w:before="300"/>
      </w:pPr>
      <w:r>
        <w:rPr>
          <w:rFonts w:ascii="Arial" w:cs="Arial" w:eastAsia="Arial" w:hAnsi="Arial"/>
          <w:b/>
          <w:bCs/>
          <w:sz w:val="28"/>
          <w:szCs w:val="28"/>
        </w:rPr>
        <w:t xml:space="preserve">x402 Protocol</w:t>
      </w:r>
    </w:p>
    <w:p>
      <w:pPr>
        <w:pStyle w:val="ListParagraph"/>
        <w:numPr>
          <w:ilvl w:val="0"/>
          <w:numId w:val="2"/>
        </w:numPr>
        <w:spacing w:after="40" w:before="40"/>
      </w:pPr>
      <w:r>
        <w:rPr>
          <w:rFonts w:ascii="Arial" w:cs="Arial" w:eastAsia="Arial" w:hAnsi="Arial"/>
          <w:b/>
          <w:bCs/>
          <w:sz w:val="20"/>
          <w:szCs w:val="20"/>
        </w:rPr>
        <w:t xml:space="preserve">x402 Official Site: </w:t>
      </w:r>
      <w:hyperlink w:history="1" r:id="rIdlpg04pjyi8cu4de1bpunp">
        <w:r>
          <w:rPr>
            <w:rStyle w:val="Hyperlink"/>
            <w:rFonts w:ascii="Arial" w:cs="Arial" w:eastAsia="Arial" w:hAnsi="Arial"/>
            <w:sz w:val="20"/>
            <w:szCs w:val="20"/>
          </w:rPr>
          <w:t xml:space="preserve">https://www.x402.org/</w:t>
        </w:r>
      </w:hyperlink>
    </w:p>
    <w:p>
      <w:pPr>
        <w:pStyle w:val="ListParagraph"/>
        <w:numPr>
          <w:ilvl w:val="0"/>
          <w:numId w:val="2"/>
        </w:numPr>
        <w:spacing w:after="40" w:before="40"/>
      </w:pPr>
      <w:r>
        <w:rPr>
          <w:rFonts w:ascii="Arial" w:cs="Arial" w:eastAsia="Arial" w:hAnsi="Arial"/>
          <w:b/>
          <w:bCs/>
          <w:sz w:val="20"/>
          <w:szCs w:val="20"/>
        </w:rPr>
        <w:t xml:space="preserve">x402 GitHub: </w:t>
      </w:r>
      <w:hyperlink w:history="1" r:id="rIdv7azwbqp_rv-uzglc21v7">
        <w:r>
          <w:rPr>
            <w:rStyle w:val="Hyperlink"/>
            <w:rFonts w:ascii="Arial" w:cs="Arial" w:eastAsia="Arial" w:hAnsi="Arial"/>
            <w:sz w:val="20"/>
            <w:szCs w:val="20"/>
          </w:rPr>
          <w:t xml:space="preserve">https://github.com/coinbase/x402</w:t>
        </w:r>
      </w:hyperlink>
    </w:p>
    <w:p>
      <w:pPr>
        <w:pStyle w:val="ListParagraph"/>
        <w:numPr>
          <w:ilvl w:val="0"/>
          <w:numId w:val="2"/>
        </w:numPr>
        <w:spacing w:after="40" w:before="40"/>
      </w:pPr>
      <w:r>
        <w:rPr>
          <w:rFonts w:ascii="Arial" w:cs="Arial" w:eastAsia="Arial" w:hAnsi="Arial"/>
          <w:b/>
          <w:bCs/>
          <w:sz w:val="20"/>
          <w:szCs w:val="20"/>
        </w:rPr>
        <w:t xml:space="preserve">x402 V2 Launch: </w:t>
      </w:r>
      <w:hyperlink w:history="1" r:id="rIdoc-heitcstju94vnhdzcy">
        <w:r>
          <w:rPr>
            <w:rStyle w:val="Hyperlink"/>
            <w:rFonts w:ascii="Arial" w:cs="Arial" w:eastAsia="Arial" w:hAnsi="Arial"/>
            <w:sz w:val="20"/>
            <w:szCs w:val="20"/>
          </w:rPr>
          <w:t xml:space="preserve">https://www.x402.org/writing/x402-v2-launch</w:t>
        </w:r>
      </w:hyperlink>
    </w:p>
    <w:p>
      <w:pPr>
        <w:pStyle w:val="ListParagraph"/>
        <w:numPr>
          <w:ilvl w:val="0"/>
          <w:numId w:val="2"/>
        </w:numPr>
        <w:spacing w:after="40" w:before="40"/>
      </w:pPr>
      <w:r>
        <w:rPr>
          <w:rFonts w:ascii="Arial" w:cs="Arial" w:eastAsia="Arial" w:hAnsi="Arial"/>
          <w:b/>
          <w:bCs/>
          <w:sz w:val="20"/>
          <w:szCs w:val="20"/>
        </w:rPr>
        <w:t xml:space="preserve">x402 Foundation (Cloudflare): </w:t>
      </w:r>
      <w:hyperlink w:history="1" r:id="rIdjrpcueuhkillgf5gceqnj">
        <w:r>
          <w:rPr>
            <w:rStyle w:val="Hyperlink"/>
            <w:rFonts w:ascii="Arial" w:cs="Arial" w:eastAsia="Arial" w:hAnsi="Arial"/>
            <w:sz w:val="20"/>
            <w:szCs w:val="20"/>
          </w:rPr>
          <w:t xml:space="preserve">https://blog.cloudflare.com/x402/</w:t>
        </w:r>
      </w:hyperlink>
    </w:p>
    <w:p>
      <w:pPr>
        <w:pStyle w:val="ListParagraph"/>
        <w:numPr>
          <w:ilvl w:val="0"/>
          <w:numId w:val="2"/>
        </w:numPr>
        <w:spacing w:after="40" w:before="40"/>
      </w:pPr>
      <w:r>
        <w:rPr>
          <w:rFonts w:ascii="Arial" w:cs="Arial" w:eastAsia="Arial" w:hAnsi="Arial"/>
          <w:b/>
          <w:bCs/>
          <w:sz w:val="20"/>
          <w:szCs w:val="20"/>
        </w:rPr>
        <w:t xml:space="preserve">x402 Express Quickstart: </w:t>
      </w:r>
      <w:hyperlink w:history="1" r:id="rIdmmsmkc1w3gbeody0jkjun">
        <w:r>
          <w:rPr>
            <w:rStyle w:val="Hyperlink"/>
            <w:rFonts w:ascii="Arial" w:cs="Arial" w:eastAsia="Arial" w:hAnsi="Arial"/>
            <w:sz w:val="20"/>
            <w:szCs w:val="20"/>
          </w:rPr>
          <w:t xml:space="preserve">https://docs.cdp.coinbase.com/x402/quickstart-for-sellers</w:t>
        </w:r>
      </w:hyperlink>
    </w:p>
    <w:p>
      <w:pPr>
        <w:pStyle w:val="ListParagraph"/>
        <w:numPr>
          <w:ilvl w:val="0"/>
          <w:numId w:val="2"/>
        </w:numPr>
        <w:spacing w:after="40" w:before="40"/>
      </w:pPr>
      <w:r>
        <w:rPr>
          <w:rFonts w:ascii="Arial" w:cs="Arial" w:eastAsia="Arial" w:hAnsi="Arial"/>
          <w:b/>
          <w:bCs/>
          <w:sz w:val="20"/>
          <w:szCs w:val="20"/>
        </w:rPr>
        <w:t xml:space="preserve">x402 Whitepaper: </w:t>
      </w:r>
      <w:hyperlink w:history="1" r:id="rIdix9mdn6jr9uihypb-6z5i">
        <w:r>
          <w:rPr>
            <w:rStyle w:val="Hyperlink"/>
            <w:rFonts w:ascii="Arial" w:cs="Arial" w:eastAsia="Arial" w:hAnsi="Arial"/>
            <w:sz w:val="20"/>
            <w:szCs w:val="20"/>
          </w:rPr>
          <w:t xml:space="preserve">https://www.x402.org/x402-whitepaper.pdf</w:t>
        </w:r>
      </w:hyperlink>
    </w:p>
    <w:p>
      <w:pPr>
        <w:pStyle w:val="Heading2"/>
        <w:spacing w:after="160" w:before="300"/>
      </w:pPr>
      <w:r>
        <w:rPr>
          <w:rFonts w:ascii="Arial" w:cs="Arial" w:eastAsia="Arial" w:hAnsi="Arial"/>
          <w:b/>
          <w:bCs/>
          <w:sz w:val="28"/>
          <w:szCs w:val="28"/>
        </w:rPr>
        <w:t xml:space="preserve">Arkova Internal</w:t>
      </w:r>
    </w:p>
    <w:p>
      <w:pPr>
        <w:pStyle w:val="ListParagraph"/>
        <w:numPr>
          <w:ilvl w:val="0"/>
          <w:numId w:val="2"/>
        </w:numPr>
        <w:spacing w:after="40" w:before="40"/>
      </w:pPr>
      <w:r>
        <w:rPr>
          <w:rFonts w:ascii="Arial" w:cs="Arial" w:eastAsia="Arial" w:hAnsi="Arial"/>
          <w:b/>
          <w:bCs/>
          <w:sz w:val="20"/>
          <w:szCs w:val="20"/>
        </w:rPr>
        <w:t xml:space="preserve">ArkovaCarson Repository: </w:t>
      </w:r>
      <w:hyperlink w:history="1" r:id="rId4fb10nlbyhi4bjbg_5vpx">
        <w:r>
          <w:rPr>
            <w:rStyle w:val="Hyperlink"/>
            <w:rFonts w:ascii="Arial" w:cs="Arial" w:eastAsia="Arial" w:hAnsi="Arial"/>
            <w:sz w:val="20"/>
            <w:szCs w:val="20"/>
          </w:rPr>
          <w:t xml:space="preserve">https://github.com/carson-see/ArkovaCarson</w:t>
        </w:r>
      </w:hyperlink>
    </w:p>
    <w:p>
      <w:pPr>
        <w:pStyle w:val="ListParagraph"/>
        <w:numPr>
          <w:ilvl w:val="0"/>
          <w:numId w:val="2"/>
        </w:numPr>
        <w:spacing w:after="40" w:before="40"/>
      </w:pPr>
      <w:r>
        <w:rPr>
          <w:rFonts w:ascii="Arial" w:cs="Arial" w:eastAsia="Arial" w:hAnsi="Arial"/>
          <w:sz w:val="20"/>
          <w:szCs w:val="20"/>
        </w:rPr>
        <w:t xml:space="preserve">CLAUDE.md, HANDOFF.md, docs/BACKLOG.md, docs/confluence/</w:t>
      </w:r>
    </w:p>
    <w:p>
      <w:pPr>
        <w:pStyle w:val="Heading2"/>
        <w:spacing w:after="160" w:before="300"/>
      </w:pPr>
      <w:r>
        <w:rPr>
          <w:rFonts w:ascii="Arial" w:cs="Arial" w:eastAsia="Arial" w:hAnsi="Arial"/>
          <w:b/>
          <w:bCs/>
          <w:sz w:val="28"/>
          <w:szCs w:val="28"/>
        </w:rPr>
        <w:t xml:space="preserve">Nessie / SLM</w:t>
      </w:r>
    </w:p>
    <w:p>
      <w:pPr>
        <w:pStyle w:val="ListParagraph"/>
        <w:numPr>
          <w:ilvl w:val="0"/>
          <w:numId w:val="2"/>
        </w:numPr>
        <w:spacing w:after="40" w:before="40"/>
      </w:pPr>
      <w:r>
        <w:rPr>
          <w:rFonts w:ascii="Arial" w:cs="Arial" w:eastAsia="Arial" w:hAnsi="Arial"/>
          <w:b/>
          <w:bCs/>
          <w:sz w:val="20"/>
          <w:szCs w:val="20"/>
        </w:rPr>
        <w:t xml:space="preserve">Meta Llama 3.1 Model Card: </w:t>
      </w:r>
      <w:hyperlink w:history="1" r:id="rIdhktfhphdehz8g1ry6axmo">
        <w:r>
          <w:rPr>
            <w:rStyle w:val="Hyperlink"/>
            <w:rFonts w:ascii="Arial" w:cs="Arial" w:eastAsia="Arial" w:hAnsi="Arial"/>
            <w:sz w:val="20"/>
            <w:szCs w:val="20"/>
          </w:rPr>
          <w:t xml:space="preserve">https://github.com/meta-llama/llama-models</w:t>
        </w:r>
      </w:hyperlink>
    </w:p>
    <w:p>
      <w:pPr>
        <w:pStyle w:val="ListParagraph"/>
        <w:numPr>
          <w:ilvl w:val="0"/>
          <w:numId w:val="2"/>
        </w:numPr>
        <w:spacing w:after="40" w:before="40"/>
      </w:pPr>
      <w:r>
        <w:rPr>
          <w:rFonts w:ascii="Arial" w:cs="Arial" w:eastAsia="Arial" w:hAnsi="Arial"/>
          <w:b/>
          <w:bCs/>
          <w:sz w:val="20"/>
          <w:szCs w:val="20"/>
        </w:rPr>
        <w:t xml:space="preserve">Together AI Pricing: </w:t>
      </w:r>
      <w:hyperlink w:history="1" r:id="rId4d1t8bpjdkbxqg9u_cz6m">
        <w:r>
          <w:rPr>
            <w:rStyle w:val="Hyperlink"/>
            <w:rFonts w:ascii="Arial" w:cs="Arial" w:eastAsia="Arial" w:hAnsi="Arial"/>
            <w:sz w:val="20"/>
            <w:szCs w:val="20"/>
          </w:rPr>
          <w:t xml:space="preserve">https://www.together.ai/pricing</w:t>
        </w:r>
      </w:hyperlink>
    </w:p>
    <w:p>
      <w:pPr>
        <w:pStyle w:val="ListParagraph"/>
        <w:numPr>
          <w:ilvl w:val="0"/>
          <w:numId w:val="2"/>
        </w:numPr>
        <w:spacing w:after="40" w:before="40"/>
      </w:pPr>
      <w:r>
        <w:rPr>
          <w:rFonts w:ascii="Arial" w:cs="Arial" w:eastAsia="Arial" w:hAnsi="Arial"/>
          <w:b/>
          <w:bCs/>
          <w:sz w:val="20"/>
          <w:szCs w:val="20"/>
        </w:rPr>
        <w:t xml:space="preserve">Modal Pricing: </w:t>
      </w:r>
      <w:hyperlink w:history="1" r:id="rIdqiijb65tzhphrrprzt9rl">
        <w:r>
          <w:rPr>
            <w:rStyle w:val="Hyperlink"/>
            <w:rFonts w:ascii="Arial" w:cs="Arial" w:eastAsia="Arial" w:hAnsi="Arial"/>
            <w:sz w:val="20"/>
            <w:szCs w:val="20"/>
          </w:rPr>
          <w:t xml:space="preserve">https://modal.com/pricing</w:t>
        </w:r>
      </w:hyperlink>
    </w:p>
    <w:p>
      <w:pPr>
        <w:pStyle w:val="ListParagraph"/>
        <w:numPr>
          <w:ilvl w:val="0"/>
          <w:numId w:val="2"/>
        </w:numPr>
        <w:spacing w:after="40" w:before="40"/>
      </w:pPr>
      <w:r>
        <w:rPr>
          <w:rFonts w:ascii="Arial" w:cs="Arial" w:eastAsia="Arial" w:hAnsi="Arial"/>
          <w:b/>
          <w:bCs/>
          <w:sz w:val="20"/>
          <w:szCs w:val="20"/>
        </w:rPr>
        <w:t xml:space="preserve">WebLLM: </w:t>
      </w:r>
      <w:hyperlink w:history="1" r:id="rId0c_agdnwiayycclvjqajf">
        <w:r>
          <w:rPr>
            <w:rStyle w:val="Hyperlink"/>
            <w:rFonts w:ascii="Arial" w:cs="Arial" w:eastAsia="Arial" w:hAnsi="Arial"/>
            <w:sz w:val="20"/>
            <w:szCs w:val="20"/>
          </w:rPr>
          <w:t xml:space="preserve">https://github.com/mlc-ai/web-llm</w:t>
        </w:r>
      </w:hyperlink>
    </w:p>
    <w:p>
      <w:pPr>
        <w:pStyle w:val="ListParagraph"/>
        <w:numPr>
          <w:ilvl w:val="0"/>
          <w:numId w:val="2"/>
        </w:numPr>
        <w:spacing w:after="40" w:before="40"/>
      </w:pPr>
      <w:r>
        <w:rPr>
          <w:rFonts w:ascii="Arial" w:cs="Arial" w:eastAsia="Arial" w:hAnsi="Arial"/>
          <w:b/>
          <w:bCs/>
          <w:sz w:val="20"/>
          <w:szCs w:val="20"/>
        </w:rPr>
        <w:t xml:space="preserve">vLLM: </w:t>
      </w:r>
      <w:hyperlink w:history="1" r:id="rIdpnq8rerxbo-uqwt1j1-v1">
        <w:r>
          <w:rPr>
            <w:rStyle w:val="Hyperlink"/>
            <w:rFonts w:ascii="Arial" w:cs="Arial" w:eastAsia="Arial" w:hAnsi="Arial"/>
            <w:sz w:val="20"/>
            <w:szCs w:val="20"/>
          </w:rPr>
          <w:t xml:space="preserve">https://github.com/vllm-project/vllm</w:t>
        </w:r>
      </w:hyperlink>
    </w:p>
    <w:p>
      <w:pPr>
        <w:pStyle w:val="ListParagraph"/>
        <w:numPr>
          <w:ilvl w:val="0"/>
          <w:numId w:val="2"/>
        </w:numPr>
        <w:spacing w:after="40" w:before="40"/>
      </w:pPr>
      <w:r>
        <w:rPr>
          <w:rFonts w:ascii="Arial" w:cs="Arial" w:eastAsia="Arial" w:hAnsi="Arial"/>
          <w:b/>
          <w:bCs/>
          <w:sz w:val="20"/>
          <w:szCs w:val="20"/>
        </w:rPr>
        <w:t xml:space="preserve">LoRA Paper: </w:t>
      </w:r>
      <w:hyperlink w:history="1" r:id="rIdnv9r1sjpj7avk7ina957s">
        <w:r>
          <w:rPr>
            <w:rStyle w:val="Hyperlink"/>
            <w:rFonts w:ascii="Arial" w:cs="Arial" w:eastAsia="Arial" w:hAnsi="Arial"/>
            <w:sz w:val="20"/>
            <w:szCs w:val="20"/>
          </w:rPr>
          <w:t xml:space="preserve">https://arxiv.org/abs/2106.09685</w:t>
        </w:r>
      </w:hyperlink>
    </w:p>
    <w:p>
      <w:pPr>
        <w:pStyle w:val="ListParagraph"/>
        <w:numPr>
          <w:ilvl w:val="0"/>
          <w:numId w:val="2"/>
        </w:numPr>
        <w:spacing w:after="40" w:before="40"/>
      </w:pPr>
      <w:r>
        <w:rPr>
          <w:rFonts w:ascii="Arial" w:cs="Arial" w:eastAsia="Arial" w:hAnsi="Arial"/>
          <w:b/>
          <w:bCs/>
          <w:sz w:val="20"/>
          <w:szCs w:val="20"/>
        </w:rPr>
        <w:t xml:space="preserve">Bloomberg GPT: </w:t>
      </w:r>
      <w:hyperlink w:history="1" r:id="rIdjdhcskcxg1pb_hzula2cj">
        <w:r>
          <w:rPr>
            <w:rStyle w:val="Hyperlink"/>
            <w:rFonts w:ascii="Arial" w:cs="Arial" w:eastAsia="Arial" w:hAnsi="Arial"/>
            <w:sz w:val="20"/>
            <w:szCs w:val="20"/>
          </w:rPr>
          <w:t xml:space="preserve">https://arxiv.org/abs/2303.17564</w:t>
        </w:r>
      </w:hyperlink>
    </w:p>
    <w:p>
      <w:pPr>
        <w:pStyle w:val="Heading2"/>
        <w:spacing w:after="160" w:before="300"/>
      </w:pPr>
      <w:r>
        <w:rPr>
          <w:rFonts w:ascii="Arial" w:cs="Arial" w:eastAsia="Arial" w:hAnsi="Arial"/>
          <w:b/>
          <w:bCs/>
          <w:sz w:val="28"/>
          <w:szCs w:val="28"/>
        </w:rPr>
        <w:t xml:space="preserve">Competitive Landscape</w:t>
      </w:r>
    </w:p>
    <w:p>
      <w:pPr>
        <w:pStyle w:val="ListParagraph"/>
        <w:numPr>
          <w:ilvl w:val="0"/>
          <w:numId w:val="2"/>
        </w:numPr>
        <w:spacing w:after="40" w:before="40"/>
      </w:pPr>
      <w:r>
        <w:rPr>
          <w:rFonts w:ascii="Arial" w:cs="Arial" w:eastAsia="Arial" w:hAnsi="Arial"/>
          <w:b/>
          <w:bCs/>
          <w:sz w:val="20"/>
          <w:szCs w:val="20"/>
        </w:rPr>
        <w:t xml:space="preserve">Harvey AI: </w:t>
      </w:r>
      <w:hyperlink w:history="1" r:id="rId32x58_hlw0yfomabukzje">
        <w:r>
          <w:rPr>
            <w:rStyle w:val="Hyperlink"/>
            <w:rFonts w:ascii="Arial" w:cs="Arial" w:eastAsia="Arial" w:hAnsi="Arial"/>
            <w:sz w:val="20"/>
            <w:szCs w:val="20"/>
          </w:rPr>
          <w:t xml:space="preserve">https://www.harvey.ai/</w:t>
        </w:r>
      </w:hyperlink>
    </w:p>
    <w:p>
      <w:pPr>
        <w:pStyle w:val="ListParagraph"/>
        <w:numPr>
          <w:ilvl w:val="0"/>
          <w:numId w:val="2"/>
        </w:numPr>
        <w:spacing w:after="40" w:before="40"/>
      </w:pPr>
      <w:r>
        <w:rPr>
          <w:rFonts w:ascii="Arial" w:cs="Arial" w:eastAsia="Arial" w:hAnsi="Arial"/>
          <w:b/>
          <w:bCs/>
          <w:sz w:val="20"/>
          <w:szCs w:val="20"/>
        </w:rPr>
        <w:t xml:space="preserve">AlphaSense: </w:t>
      </w:r>
      <w:hyperlink w:history="1" r:id="rIdp7r38h2izlv3oimfbzeeq">
        <w:r>
          <w:rPr>
            <w:rStyle w:val="Hyperlink"/>
            <w:rFonts w:ascii="Arial" w:cs="Arial" w:eastAsia="Arial" w:hAnsi="Arial"/>
            <w:sz w:val="20"/>
            <w:szCs w:val="20"/>
          </w:rPr>
          <w:t xml:space="preserve">https://www.alpha-sense.com/</w:t>
        </w:r>
      </w:hyperlink>
    </w:p>
    <w:p>
      <w:pPr>
        <w:pStyle w:val="ListParagraph"/>
        <w:numPr>
          <w:ilvl w:val="0"/>
          <w:numId w:val="2"/>
        </w:numPr>
        <w:spacing w:after="40" w:before="40"/>
      </w:pPr>
      <w:r>
        <w:rPr>
          <w:rFonts w:ascii="Arial" w:cs="Arial" w:eastAsia="Arial" w:hAnsi="Arial"/>
          <w:b/>
          <w:bCs/>
          <w:sz w:val="20"/>
          <w:szCs w:val="20"/>
        </w:rPr>
        <w:t xml:space="preserve">Semantic Scholar: </w:t>
      </w:r>
      <w:hyperlink w:history="1" r:id="rIdlmb6vmq4226rrly6zgjbx">
        <w:r>
          <w:rPr>
            <w:rStyle w:val="Hyperlink"/>
            <w:rFonts w:ascii="Arial" w:cs="Arial" w:eastAsia="Arial" w:hAnsi="Arial"/>
            <w:sz w:val="20"/>
            <w:szCs w:val="20"/>
          </w:rPr>
          <w:t xml:space="preserve">https://www.semanticscholar.org/</w:t>
        </w:r>
      </w:hyperlink>
    </w:p>
    <w:p>
      <w:pPr>
        <w:pStyle w:val="ListParagraph"/>
        <w:numPr>
          <w:ilvl w:val="0"/>
          <w:numId w:val="2"/>
        </w:numPr>
        <w:spacing w:after="40" w:before="40"/>
      </w:pPr>
      <w:r>
        <w:rPr>
          <w:rFonts w:ascii="Arial" w:cs="Arial" w:eastAsia="Arial" w:hAnsi="Arial"/>
          <w:b/>
          <w:bCs/>
          <w:sz w:val="20"/>
          <w:szCs w:val="20"/>
        </w:rPr>
        <w:t xml:space="preserve">Elicit: </w:t>
      </w:r>
      <w:hyperlink w:history="1" r:id="rIdqmr15bp1em7dy8lgvdnr4">
        <w:r>
          <w:rPr>
            <w:rStyle w:val="Hyperlink"/>
            <w:rFonts w:ascii="Arial" w:cs="Arial" w:eastAsia="Arial" w:hAnsi="Arial"/>
            <w:sz w:val="20"/>
            <w:szCs w:val="20"/>
          </w:rPr>
          <w:t xml:space="preserve">https://elicit.com/</w:t>
        </w:r>
      </w:hyperlink>
    </w:p>
    <w:p>
      <w:pPr>
        <w:pStyle w:val="ListParagraph"/>
        <w:numPr>
          <w:ilvl w:val="0"/>
          <w:numId w:val="2"/>
        </w:numPr>
        <w:spacing w:after="40" w:before="40"/>
      </w:pPr>
      <w:r>
        <w:rPr>
          <w:rFonts w:ascii="Arial" w:cs="Arial" w:eastAsia="Arial" w:hAnsi="Arial"/>
          <w:b/>
          <w:bCs/>
          <w:sz w:val="20"/>
          <w:szCs w:val="20"/>
        </w:rPr>
        <w:t xml:space="preserve">CaseText: </w:t>
      </w:r>
      <w:hyperlink w:history="1" r:id="rId1ifu3sbnpppfpbbzecmm5">
        <w:r>
          <w:rPr>
            <w:rStyle w:val="Hyperlink"/>
            <w:rFonts w:ascii="Arial" w:cs="Arial" w:eastAsia="Arial" w:hAnsi="Arial"/>
            <w:sz w:val="20"/>
            <w:szCs w:val="20"/>
          </w:rPr>
          <w:t xml:space="preserve">https://casetext.com/</w:t>
        </w:r>
      </w:hyperlink>
    </w:p>
    <w:p>
      <w:pPr>
        <w:pStyle w:val="ListParagraph"/>
        <w:numPr>
          <w:ilvl w:val="0"/>
          <w:numId w:val="2"/>
        </w:numPr>
        <w:spacing w:after="40" w:before="40"/>
      </w:pPr>
      <w:r>
        <w:rPr>
          <w:rFonts w:ascii="Arial" w:cs="Arial" w:eastAsia="Arial" w:hAnsi="Arial"/>
          <w:b/>
          <w:bCs/>
          <w:sz w:val="20"/>
          <w:szCs w:val="20"/>
        </w:rPr>
        <w:t xml:space="preserve">PatSnap: </w:t>
      </w:r>
      <w:hyperlink w:history="1" r:id="rIdqwpzymajykceeyt07f3dz">
        <w:r>
          <w:rPr>
            <w:rStyle w:val="Hyperlink"/>
            <w:rFonts w:ascii="Arial" w:cs="Arial" w:eastAsia="Arial" w:hAnsi="Arial"/>
            <w:sz w:val="20"/>
            <w:szCs w:val="20"/>
          </w:rPr>
          <w:t xml:space="preserve">https://www.patsnap.com/</w:t>
        </w:r>
      </w:hyperlink>
    </w:p>
    <w:p>
      <w:pPr>
        <w:pStyle w:val="ListParagraph"/>
        <w:numPr>
          <w:ilvl w:val="0"/>
          <w:numId w:val="2"/>
        </w:numPr>
        <w:spacing w:after="40" w:before="40"/>
      </w:pPr>
      <w:r>
        <w:rPr>
          <w:rFonts w:ascii="Arial" w:cs="Arial" w:eastAsia="Arial" w:hAnsi="Arial"/>
          <w:b/>
          <w:bCs/>
          <w:sz w:val="20"/>
          <w:szCs w:val="20"/>
        </w:rPr>
        <w:t xml:space="preserve">Sigstore: </w:t>
      </w:r>
      <w:hyperlink w:history="1" r:id="rIdm1m8pe65tw8lpmkhphzbp">
        <w:r>
          <w:rPr>
            <w:rStyle w:val="Hyperlink"/>
            <w:rFonts w:ascii="Arial" w:cs="Arial" w:eastAsia="Arial" w:hAnsi="Arial"/>
            <w:sz w:val="20"/>
            <w:szCs w:val="20"/>
          </w:rPr>
          <w:t xml:space="preserve">https://www.sigstore.dev/</w:t>
        </w:r>
      </w:hyperlink>
    </w:p>
    <w:p>
      <w:pPr>
        <w:pStyle w:val="ListParagraph"/>
        <w:numPr>
          <w:ilvl w:val="0"/>
          <w:numId w:val="2"/>
        </w:numPr>
        <w:spacing w:after="40" w:before="40"/>
      </w:pPr>
      <w:r>
        <w:rPr>
          <w:rFonts w:ascii="Arial" w:cs="Arial" w:eastAsia="Arial" w:hAnsi="Arial"/>
          <w:b/>
          <w:bCs/>
          <w:sz w:val="20"/>
          <w:szCs w:val="20"/>
        </w:rPr>
        <w:t xml:space="preserve">C2PA: </w:t>
      </w:r>
      <w:hyperlink w:history="1" r:id="rIdgqty7m1hkpdogwns7u-7d">
        <w:r>
          <w:rPr>
            <w:rStyle w:val="Hyperlink"/>
            <w:rFonts w:ascii="Arial" w:cs="Arial" w:eastAsia="Arial" w:hAnsi="Arial"/>
            <w:sz w:val="20"/>
            <w:szCs w:val="20"/>
          </w:rPr>
          <w:t xml:space="preserve">https://c2pa.org/</w:t>
        </w:r>
      </w:hyperlink>
    </w:p>
    <w:p>
      <w:pPr>
        <w:pStyle w:val="Heading2"/>
        <w:spacing w:after="160" w:before="300"/>
      </w:pPr>
      <w:r>
        <w:rPr>
          <w:rFonts w:ascii="Arial" w:cs="Arial" w:eastAsia="Arial" w:hAnsi="Arial"/>
          <w:b/>
          <w:bCs/>
          <w:sz w:val="28"/>
          <w:szCs w:val="28"/>
        </w:rPr>
        <w:t xml:space="preserve">Global Data Sources</w:t>
      </w:r>
    </w:p>
    <w:p>
      <w:pPr>
        <w:pStyle w:val="ListParagraph"/>
        <w:numPr>
          <w:ilvl w:val="0"/>
          <w:numId w:val="2"/>
        </w:numPr>
        <w:spacing w:after="40" w:before="40"/>
      </w:pPr>
      <w:r>
        <w:rPr>
          <w:rFonts w:ascii="Arial" w:cs="Arial" w:eastAsia="Arial" w:hAnsi="Arial"/>
          <w:b/>
          <w:bCs/>
          <w:sz w:val="20"/>
          <w:szCs w:val="20"/>
        </w:rPr>
        <w:t xml:space="preserve">SEC EDGAR: </w:t>
      </w:r>
      <w:hyperlink w:history="1" r:id="rIdqghchjdpwuoqhqanbi3ae">
        <w:r>
          <w:rPr>
            <w:rStyle w:val="Hyperlink"/>
            <w:rFonts w:ascii="Arial" w:cs="Arial" w:eastAsia="Arial" w:hAnsi="Arial"/>
            <w:sz w:val="20"/>
            <w:szCs w:val="20"/>
          </w:rPr>
          <w:t xml:space="preserve">https://www.sec.gov/edgar/searchedgar/companysearch</w:t>
        </w:r>
      </w:hyperlink>
    </w:p>
    <w:p>
      <w:pPr>
        <w:pStyle w:val="ListParagraph"/>
        <w:numPr>
          <w:ilvl w:val="0"/>
          <w:numId w:val="2"/>
        </w:numPr>
        <w:spacing w:after="40" w:before="40"/>
      </w:pPr>
      <w:r>
        <w:rPr>
          <w:rFonts w:ascii="Arial" w:cs="Arial" w:eastAsia="Arial" w:hAnsi="Arial"/>
          <w:b/>
          <w:bCs/>
          <w:sz w:val="20"/>
          <w:szCs w:val="20"/>
        </w:rPr>
        <w:t xml:space="preserve">EDGAR API: </w:t>
      </w:r>
      <w:hyperlink w:history="1" r:id="rIdf-ywlleliy2qatv59bpti">
        <w:r>
          <w:rPr>
            <w:rStyle w:val="Hyperlink"/>
            <w:rFonts w:ascii="Arial" w:cs="Arial" w:eastAsia="Arial" w:hAnsi="Arial"/>
            <w:sz w:val="20"/>
            <w:szCs w:val="20"/>
          </w:rPr>
          <w:t xml:space="preserve">https://efts.sec.gov/LATEST/search-index</w:t>
        </w:r>
      </w:hyperlink>
    </w:p>
    <w:p>
      <w:pPr>
        <w:pStyle w:val="ListParagraph"/>
        <w:numPr>
          <w:ilvl w:val="0"/>
          <w:numId w:val="2"/>
        </w:numPr>
        <w:spacing w:after="40" w:before="40"/>
      </w:pPr>
      <w:r>
        <w:rPr>
          <w:rFonts w:ascii="Arial" w:cs="Arial" w:eastAsia="Arial" w:hAnsi="Arial"/>
          <w:b/>
          <w:bCs/>
          <w:sz w:val="20"/>
          <w:szCs w:val="20"/>
        </w:rPr>
        <w:t xml:space="preserve">USPTO: </w:t>
      </w:r>
      <w:hyperlink w:history="1" r:id="rIdxn6sspy2dti1dp7d0amjs">
        <w:r>
          <w:rPr>
            <w:rStyle w:val="Hyperlink"/>
            <w:rFonts w:ascii="Arial" w:cs="Arial" w:eastAsia="Arial" w:hAnsi="Arial"/>
            <w:sz w:val="20"/>
            <w:szCs w:val="20"/>
          </w:rPr>
          <w:t xml:space="preserve">https://patft.uspto.gov/</w:t>
        </w:r>
      </w:hyperlink>
    </w:p>
    <w:p>
      <w:pPr>
        <w:pStyle w:val="ListParagraph"/>
        <w:numPr>
          <w:ilvl w:val="0"/>
          <w:numId w:val="2"/>
        </w:numPr>
        <w:spacing w:after="40" w:before="40"/>
      </w:pPr>
      <w:r>
        <w:rPr>
          <w:rFonts w:ascii="Arial" w:cs="Arial" w:eastAsia="Arial" w:hAnsi="Arial"/>
          <w:b/>
          <w:bCs/>
          <w:sz w:val="20"/>
          <w:szCs w:val="20"/>
        </w:rPr>
        <w:t xml:space="preserve">Federal Register API: </w:t>
      </w:r>
      <w:hyperlink w:history="1" r:id="rIdjl12rfb5s0gnohxwjln9y">
        <w:r>
          <w:rPr>
            <w:rStyle w:val="Hyperlink"/>
            <w:rFonts w:ascii="Arial" w:cs="Arial" w:eastAsia="Arial" w:hAnsi="Arial"/>
            <w:sz w:val="20"/>
            <w:szCs w:val="20"/>
          </w:rPr>
          <w:t xml:space="preserve">https://www.federalregister.gov/developers/api/v1</w:t>
        </w:r>
      </w:hyperlink>
    </w:p>
    <w:p>
      <w:pPr>
        <w:pStyle w:val="ListParagraph"/>
        <w:numPr>
          <w:ilvl w:val="0"/>
          <w:numId w:val="2"/>
        </w:numPr>
        <w:spacing w:after="40" w:before="40"/>
      </w:pPr>
      <w:r>
        <w:rPr>
          <w:rFonts w:ascii="Arial" w:cs="Arial" w:eastAsia="Arial" w:hAnsi="Arial"/>
          <w:b/>
          <w:bCs/>
          <w:sz w:val="20"/>
          <w:szCs w:val="20"/>
        </w:rPr>
        <w:t xml:space="preserve">OpenAlex: </w:t>
      </w:r>
      <w:hyperlink w:history="1" r:id="rIdvkdu2azg81pumt03tulgf">
        <w:r>
          <w:rPr>
            <w:rStyle w:val="Hyperlink"/>
            <w:rFonts w:ascii="Arial" w:cs="Arial" w:eastAsia="Arial" w:hAnsi="Arial"/>
            <w:sz w:val="20"/>
            <w:szCs w:val="20"/>
          </w:rPr>
          <w:t xml:space="preserve">https://docs.openalex.org/</w:t>
        </w:r>
      </w:hyperlink>
    </w:p>
    <w:p>
      <w:pPr>
        <w:pStyle w:val="ListParagraph"/>
        <w:numPr>
          <w:ilvl w:val="0"/>
          <w:numId w:val="2"/>
        </w:numPr>
        <w:spacing w:after="40" w:before="40"/>
      </w:pPr>
      <w:r>
        <w:rPr>
          <w:rFonts w:ascii="Arial" w:cs="Arial" w:eastAsia="Arial" w:hAnsi="Arial"/>
          <w:b/>
          <w:bCs/>
          <w:sz w:val="20"/>
          <w:szCs w:val="20"/>
        </w:rPr>
        <w:t xml:space="preserve">UK Companies House: </w:t>
      </w:r>
      <w:hyperlink w:history="1" r:id="rIdqp3cpmrfqzzyda960dr7q">
        <w:r>
          <w:rPr>
            <w:rStyle w:val="Hyperlink"/>
            <w:rFonts w:ascii="Arial" w:cs="Arial" w:eastAsia="Arial" w:hAnsi="Arial"/>
            <w:sz w:val="20"/>
            <w:szCs w:val="20"/>
          </w:rPr>
          <w:t xml:space="preserve">https://developer.company-information.service.gov.uk/</w:t>
        </w:r>
      </w:hyperlink>
    </w:p>
    <w:p>
      <w:pPr>
        <w:pStyle w:val="ListParagraph"/>
        <w:numPr>
          <w:ilvl w:val="0"/>
          <w:numId w:val="2"/>
        </w:numPr>
        <w:spacing w:after="40" w:before="40"/>
      </w:pPr>
      <w:r>
        <w:rPr>
          <w:rFonts w:ascii="Arial" w:cs="Arial" w:eastAsia="Arial" w:hAnsi="Arial"/>
          <w:b/>
          <w:bCs/>
          <w:sz w:val="20"/>
          <w:szCs w:val="20"/>
        </w:rPr>
        <w:t xml:space="preserve">AustLII: </w:t>
      </w:r>
      <w:hyperlink w:history="1" r:id="rIdgx2c2onfj7kyzalkzlwvk">
        <w:r>
          <w:rPr>
            <w:rStyle w:val="Hyperlink"/>
            <w:rFonts w:ascii="Arial" w:cs="Arial" w:eastAsia="Arial" w:hAnsi="Arial"/>
            <w:sz w:val="20"/>
            <w:szCs w:val="20"/>
          </w:rPr>
          <w:t xml:space="preserve">https://www.austlii.edu.au/</w:t>
        </w:r>
      </w:hyperlink>
    </w:p>
    <w:p>
      <w:pPr>
        <w:pStyle w:val="ListParagraph"/>
        <w:numPr>
          <w:ilvl w:val="0"/>
          <w:numId w:val="2"/>
        </w:numPr>
        <w:spacing w:after="40" w:before="40"/>
      </w:pPr>
      <w:r>
        <w:rPr>
          <w:rFonts w:ascii="Arial" w:cs="Arial" w:eastAsia="Arial" w:hAnsi="Arial"/>
          <w:b/>
          <w:bCs/>
          <w:sz w:val="20"/>
          <w:szCs w:val="20"/>
        </w:rPr>
        <w:t xml:space="preserve">SEDAR+: </w:t>
      </w:r>
      <w:hyperlink w:history="1" r:id="rIdzsynwpahawxn6olqhfdxm">
        <w:r>
          <w:rPr>
            <w:rStyle w:val="Hyperlink"/>
            <w:rFonts w:ascii="Arial" w:cs="Arial" w:eastAsia="Arial" w:hAnsi="Arial"/>
            <w:sz w:val="20"/>
            <w:szCs w:val="20"/>
          </w:rPr>
          <w:t xml:space="preserve">https://www.sedarplus.ca/</w:t>
        </w:r>
      </w:hyperlink>
    </w:p>
    <w:p>
      <w:pPr>
        <w:pStyle w:val="ListParagraph"/>
        <w:numPr>
          <w:ilvl w:val="0"/>
          <w:numId w:val="2"/>
        </w:numPr>
        <w:spacing w:after="40" w:before="40"/>
      </w:pPr>
      <w:r>
        <w:rPr>
          <w:rFonts w:ascii="Arial" w:cs="Arial" w:eastAsia="Arial" w:hAnsi="Arial"/>
          <w:b/>
          <w:bCs/>
          <w:sz w:val="20"/>
          <w:szCs w:val="20"/>
        </w:rPr>
        <w:t xml:space="preserve">CanLII: </w:t>
      </w:r>
      <w:hyperlink w:history="1" r:id="rIdfhfjeyfm-glhpe9_3bbw6">
        <w:r>
          <w:rPr>
            <w:rStyle w:val="Hyperlink"/>
            <w:rFonts w:ascii="Arial" w:cs="Arial" w:eastAsia="Arial" w:hAnsi="Arial"/>
            <w:sz w:val="20"/>
            <w:szCs w:val="20"/>
          </w:rPr>
          <w:t xml:space="preserve">https://www.canlii.org/</w:t>
        </w:r>
      </w:hyperlink>
    </w:p>
    <w:p>
      <w:pPr>
        <w:pStyle w:val="ListParagraph"/>
        <w:numPr>
          <w:ilvl w:val="0"/>
          <w:numId w:val="2"/>
        </w:numPr>
        <w:spacing w:after="40" w:before="40"/>
      </w:pPr>
      <w:r>
        <w:rPr>
          <w:rFonts w:ascii="Arial" w:cs="Arial" w:eastAsia="Arial" w:hAnsi="Arial"/>
          <w:b/>
          <w:bCs/>
          <w:sz w:val="20"/>
          <w:szCs w:val="20"/>
        </w:rPr>
        <w:t xml:space="preserve">EDINET: </w:t>
      </w:r>
      <w:hyperlink w:history="1" r:id="rId2z4fsx8yqnygfv7gqyjlr">
        <w:r>
          <w:rPr>
            <w:rStyle w:val="Hyperlink"/>
            <w:rFonts w:ascii="Arial" w:cs="Arial" w:eastAsia="Arial" w:hAnsi="Arial"/>
            <w:sz w:val="20"/>
            <w:szCs w:val="20"/>
          </w:rPr>
          <w:t xml:space="preserve">https://disclosure2.edinet-fsa.go.jp/</w:t>
        </w:r>
      </w:hyperlink>
    </w:p>
    <w:p>
      <w:pPr>
        <w:pStyle w:val="ListParagraph"/>
        <w:numPr>
          <w:ilvl w:val="0"/>
          <w:numId w:val="2"/>
        </w:numPr>
        <w:spacing w:after="40" w:before="40"/>
      </w:pPr>
      <w:r>
        <w:rPr>
          <w:rFonts w:ascii="Arial" w:cs="Arial" w:eastAsia="Arial" w:hAnsi="Arial"/>
          <w:b/>
          <w:bCs/>
          <w:sz w:val="20"/>
          <w:szCs w:val="20"/>
        </w:rPr>
        <w:t xml:space="preserve">DART: </w:t>
      </w:r>
      <w:hyperlink w:history="1" r:id="rId_1ccxipl5ydstwdkbqpqk">
        <w:r>
          <w:rPr>
            <w:rStyle w:val="Hyperlink"/>
            <w:rFonts w:ascii="Arial" w:cs="Arial" w:eastAsia="Arial" w:hAnsi="Arial"/>
            <w:sz w:val="20"/>
            <w:szCs w:val="20"/>
          </w:rPr>
          <w:t xml:space="preserve">https://dart.fss.or.kr/</w:t>
        </w:r>
      </w:hyperlink>
    </w:p>
    <w:p>
      <w:pPr>
        <w:pStyle w:val="ListParagraph"/>
        <w:numPr>
          <w:ilvl w:val="0"/>
          <w:numId w:val="2"/>
        </w:numPr>
        <w:spacing w:after="40" w:before="40"/>
      </w:pPr>
      <w:r>
        <w:rPr>
          <w:rFonts w:ascii="Arial" w:cs="Arial" w:eastAsia="Arial" w:hAnsi="Arial"/>
          <w:b/>
          <w:bCs/>
          <w:sz w:val="20"/>
          <w:szCs w:val="20"/>
        </w:rPr>
        <w:t xml:space="preserve">Kenya Law: </w:t>
      </w:r>
      <w:hyperlink w:history="1" r:id="rIdpxsyqpvbrmrohza5xtsvx">
        <w:r>
          <w:rPr>
            <w:rStyle w:val="Hyperlink"/>
            <w:rFonts w:ascii="Arial" w:cs="Arial" w:eastAsia="Arial" w:hAnsi="Arial"/>
            <w:sz w:val="20"/>
            <w:szCs w:val="20"/>
          </w:rPr>
          <w:t xml:space="preserve">http://kenyalaw.org/</w:t>
        </w:r>
      </w:hyperlink>
    </w:p>
    <w:p>
      <w:pPr>
        <w:pStyle w:val="ListParagraph"/>
        <w:numPr>
          <w:ilvl w:val="0"/>
          <w:numId w:val="2"/>
        </w:numPr>
        <w:spacing w:after="40" w:before="40"/>
      </w:pPr>
      <w:r>
        <w:rPr>
          <w:rFonts w:ascii="Arial" w:cs="Arial" w:eastAsia="Arial" w:hAnsi="Arial"/>
          <w:b/>
          <w:bCs/>
          <w:sz w:val="20"/>
          <w:szCs w:val="20"/>
        </w:rPr>
        <w:t xml:space="preserve">SAFLII: </w:t>
      </w:r>
      <w:hyperlink w:history="1" r:id="rIdutdc6gv5fdnyk0cjewsd7">
        <w:r>
          <w:rPr>
            <w:rStyle w:val="Hyperlink"/>
            <w:rFonts w:ascii="Arial" w:cs="Arial" w:eastAsia="Arial" w:hAnsi="Arial"/>
            <w:sz w:val="20"/>
            <w:szCs w:val="20"/>
          </w:rPr>
          <w:t xml:space="preserve">https://www.saflii.org/</w:t>
        </w:r>
      </w:hyperlink>
    </w:p>
    <w:p>
      <w:pPr>
        <w:pStyle w:val="ListParagraph"/>
        <w:numPr>
          <w:ilvl w:val="0"/>
          <w:numId w:val="2"/>
        </w:numPr>
        <w:spacing w:after="40" w:before="40"/>
      </w:pPr>
      <w:r>
        <w:rPr>
          <w:rFonts w:ascii="Arial" w:cs="Arial" w:eastAsia="Arial" w:hAnsi="Arial"/>
          <w:b/>
          <w:bCs/>
          <w:sz w:val="20"/>
          <w:szCs w:val="20"/>
        </w:rPr>
        <w:t xml:space="preserve">EUR-Lex: </w:t>
      </w:r>
      <w:hyperlink w:history="1" r:id="rId-yuxkkagv8gcuw3uzyzoo">
        <w:r>
          <w:rPr>
            <w:rStyle w:val="Hyperlink"/>
            <w:rFonts w:ascii="Arial" w:cs="Arial" w:eastAsia="Arial" w:hAnsi="Arial"/>
            <w:sz w:val="20"/>
            <w:szCs w:val="20"/>
          </w:rPr>
          <w:t xml:space="preserve">https://eur-lex.europa.eu/</w:t>
        </w:r>
      </w:hyperlink>
    </w:p>
    <w:p>
      <w:pPr>
        <w:pStyle w:val="ListParagraph"/>
        <w:numPr>
          <w:ilvl w:val="0"/>
          <w:numId w:val="2"/>
        </w:numPr>
        <w:spacing w:after="40" w:before="40"/>
      </w:pPr>
      <w:r>
        <w:rPr>
          <w:rFonts w:ascii="Arial" w:cs="Arial" w:eastAsia="Arial" w:hAnsi="Arial"/>
          <w:b/>
          <w:bCs/>
          <w:sz w:val="20"/>
          <w:szCs w:val="20"/>
        </w:rPr>
        <w:t xml:space="preserve">EPO: </w:t>
      </w:r>
      <w:hyperlink w:history="1" r:id="rId-8zgmidilbndupy8igmeq">
        <w:r>
          <w:rPr>
            <w:rStyle w:val="Hyperlink"/>
            <w:rFonts w:ascii="Arial" w:cs="Arial" w:eastAsia="Arial" w:hAnsi="Arial"/>
            <w:sz w:val="20"/>
            <w:szCs w:val="20"/>
          </w:rPr>
          <w:t xml:space="preserve">https://www.epo.org/</w:t>
        </w:r>
      </w:hyperlink>
    </w:p>
    <w:p>
      <w:pPr>
        <w:pStyle w:val="Heading2"/>
        <w:spacing w:after="160" w:before="300"/>
      </w:pPr>
      <w:r>
        <w:rPr>
          <w:rFonts w:ascii="Arial" w:cs="Arial" w:eastAsia="Arial" w:hAnsi="Arial"/>
          <w:b/>
          <w:bCs/>
          <w:sz w:val="28"/>
          <w:szCs w:val="28"/>
        </w:rPr>
        <w:t xml:space="preserve">Legal</w:t>
      </w:r>
    </w:p>
    <w:p>
      <w:pPr>
        <w:pStyle w:val="ListParagraph"/>
        <w:numPr>
          <w:ilvl w:val="0"/>
          <w:numId w:val="2"/>
        </w:numPr>
        <w:spacing w:after="40" w:before="40"/>
      </w:pPr>
      <w:r>
        <w:rPr>
          <w:rFonts w:ascii="Arial" w:cs="Arial" w:eastAsia="Arial" w:hAnsi="Arial"/>
          <w:sz w:val="20"/>
          <w:szCs w:val="20"/>
        </w:rPr>
        <w:t xml:space="preserve">hiQ Labs v. LinkedIn (9th Circuit, 2022)</w:t>
      </w:r>
    </w:p>
    <w:p>
      <w:pPr>
        <w:pStyle w:val="ListParagraph"/>
        <w:numPr>
          <w:ilvl w:val="0"/>
          <w:numId w:val="2"/>
        </w:numPr>
        <w:spacing w:after="40" w:before="40"/>
      </w:pPr>
      <w:r>
        <w:rPr>
          <w:rFonts w:ascii="Arial" w:cs="Arial" w:eastAsia="Arial" w:hAnsi="Arial"/>
          <w:sz w:val="20"/>
          <w:szCs w:val="20"/>
        </w:rPr>
        <w:t xml:space="preserve">GDPR, CCPA, POPIA, PDPA, LGPD, DPA 2019 (Kenya)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ARKOVA — Master Strategy &amp; Implementation Plan (Complete)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797"/>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lpg04pjyi8cu4de1bpunp" Type="http://schemas.openxmlformats.org/officeDocument/2006/relationships/hyperlink" Target="https://www.x402.org/" TargetMode="External"/><Relationship Id="rIdv7azwbqp_rv-uzglc21v7" Type="http://schemas.openxmlformats.org/officeDocument/2006/relationships/hyperlink" Target="https://github.com/coinbase/x402" TargetMode="External"/><Relationship Id="rIdoc-heitcstju94vnhdzcy" Type="http://schemas.openxmlformats.org/officeDocument/2006/relationships/hyperlink" Target="https://www.x402.org/writing/x402-v2-launch" TargetMode="External"/><Relationship Id="rIdjrpcueuhkillgf5gceqnj" Type="http://schemas.openxmlformats.org/officeDocument/2006/relationships/hyperlink" Target="https://blog.cloudflare.com/x402/" TargetMode="External"/><Relationship Id="rIdmmsmkc1w3gbeody0jkjun" Type="http://schemas.openxmlformats.org/officeDocument/2006/relationships/hyperlink" Target="https://docs.cdp.coinbase.com/x402/quickstart-for-sellers" TargetMode="External"/><Relationship Id="rIdix9mdn6jr9uihypb-6z5i" Type="http://schemas.openxmlformats.org/officeDocument/2006/relationships/hyperlink" Target="https://www.x402.org/x402-whitepaper.pdf" TargetMode="External"/><Relationship Id="rId4fb10nlbyhi4bjbg_5vpx" Type="http://schemas.openxmlformats.org/officeDocument/2006/relationships/hyperlink" Target="https://github.com/carson-see/ArkovaCarson" TargetMode="External"/><Relationship Id="rIdhktfhphdehz8g1ry6axmo" Type="http://schemas.openxmlformats.org/officeDocument/2006/relationships/hyperlink" Target="https://github.com/meta-llama/llama-models" TargetMode="External"/><Relationship Id="rId4d1t8bpjdkbxqg9u_cz6m" Type="http://schemas.openxmlformats.org/officeDocument/2006/relationships/hyperlink" Target="https://www.together.ai/pricing" TargetMode="External"/><Relationship Id="rIdqiijb65tzhphrrprzt9rl" Type="http://schemas.openxmlformats.org/officeDocument/2006/relationships/hyperlink" Target="https://modal.com/pricing" TargetMode="External"/><Relationship Id="rId0c_agdnwiayycclvjqajf" Type="http://schemas.openxmlformats.org/officeDocument/2006/relationships/hyperlink" Target="https://github.com/mlc-ai/web-llm" TargetMode="External"/><Relationship Id="rIdpnq8rerxbo-uqwt1j1-v1" Type="http://schemas.openxmlformats.org/officeDocument/2006/relationships/hyperlink" Target="https://github.com/vllm-project/vllm" TargetMode="External"/><Relationship Id="rIdnv9r1sjpj7avk7ina957s" Type="http://schemas.openxmlformats.org/officeDocument/2006/relationships/hyperlink" Target="https://arxiv.org/abs/2106.09685" TargetMode="External"/><Relationship Id="rIdjdhcskcxg1pb_hzula2cj" Type="http://schemas.openxmlformats.org/officeDocument/2006/relationships/hyperlink" Target="https://arxiv.org/abs/2303.17564" TargetMode="External"/><Relationship Id="rId32x58_hlw0yfomabukzje" Type="http://schemas.openxmlformats.org/officeDocument/2006/relationships/hyperlink" Target="https://www.harvey.ai/" TargetMode="External"/><Relationship Id="rIdp7r38h2izlv3oimfbzeeq" Type="http://schemas.openxmlformats.org/officeDocument/2006/relationships/hyperlink" Target="https://www.alpha-sense.com/" TargetMode="External"/><Relationship Id="rIdlmb6vmq4226rrly6zgjbx" Type="http://schemas.openxmlformats.org/officeDocument/2006/relationships/hyperlink" Target="https://www.semanticscholar.org/" TargetMode="External"/><Relationship Id="rIdqmr15bp1em7dy8lgvdnr4" Type="http://schemas.openxmlformats.org/officeDocument/2006/relationships/hyperlink" Target="https://elicit.com/" TargetMode="External"/><Relationship Id="rId1ifu3sbnpppfpbbzecmm5" Type="http://schemas.openxmlformats.org/officeDocument/2006/relationships/hyperlink" Target="https://casetext.com/" TargetMode="External"/><Relationship Id="rIdqwpzymajykceeyt07f3dz" Type="http://schemas.openxmlformats.org/officeDocument/2006/relationships/hyperlink" Target="https://www.patsnap.com/" TargetMode="External"/><Relationship Id="rIdm1m8pe65tw8lpmkhphzbp" Type="http://schemas.openxmlformats.org/officeDocument/2006/relationships/hyperlink" Target="https://www.sigstore.dev/" TargetMode="External"/><Relationship Id="rIdgqty7m1hkpdogwns7u-7d" Type="http://schemas.openxmlformats.org/officeDocument/2006/relationships/hyperlink" Target="https://c2pa.org/" TargetMode="External"/><Relationship Id="rIdqghchjdpwuoqhqanbi3ae" Type="http://schemas.openxmlformats.org/officeDocument/2006/relationships/hyperlink" Target="https://www.sec.gov/edgar/searchedgar/companysearch" TargetMode="External"/><Relationship Id="rIdf-ywlleliy2qatv59bpti" Type="http://schemas.openxmlformats.org/officeDocument/2006/relationships/hyperlink" Target="https://efts.sec.gov/LATEST/search-index" TargetMode="External"/><Relationship Id="rIdxn6sspy2dti1dp7d0amjs" Type="http://schemas.openxmlformats.org/officeDocument/2006/relationships/hyperlink" Target="https://patft.uspto.gov/" TargetMode="External"/><Relationship Id="rIdjl12rfb5s0gnohxwjln9y" Type="http://schemas.openxmlformats.org/officeDocument/2006/relationships/hyperlink" Target="https://www.federalregister.gov/developers/api/v1" TargetMode="External"/><Relationship Id="rIdvkdu2azg81pumt03tulgf" Type="http://schemas.openxmlformats.org/officeDocument/2006/relationships/hyperlink" Target="https://docs.openalex.org/" TargetMode="External"/><Relationship Id="rIdqp3cpmrfqzzyda960dr7q" Type="http://schemas.openxmlformats.org/officeDocument/2006/relationships/hyperlink" Target="https://developer.company-information.service.gov.uk/" TargetMode="External"/><Relationship Id="rIdgx2c2onfj7kyzalkzlwvk" Type="http://schemas.openxmlformats.org/officeDocument/2006/relationships/hyperlink" Target="https://www.austlii.edu.au/" TargetMode="External"/><Relationship Id="rIdzsynwpahawxn6olqhfdxm" Type="http://schemas.openxmlformats.org/officeDocument/2006/relationships/hyperlink" Target="https://www.sedarplus.ca/" TargetMode="External"/><Relationship Id="rIdfhfjeyfm-glhpe9_3bbw6" Type="http://schemas.openxmlformats.org/officeDocument/2006/relationships/hyperlink" Target="https://www.canlii.org/" TargetMode="External"/><Relationship Id="rId2z4fsx8yqnygfv7gqyjlr" Type="http://schemas.openxmlformats.org/officeDocument/2006/relationships/hyperlink" Target="https://disclosure2.edinet-fsa.go.jp/" TargetMode="External"/><Relationship Id="rId_1ccxipl5ydstwdkbqpqk" Type="http://schemas.openxmlformats.org/officeDocument/2006/relationships/hyperlink" Target="https://dart.fss.or.kr/" TargetMode="External"/><Relationship Id="rIdpxsyqpvbrmrohza5xtsvx" Type="http://schemas.openxmlformats.org/officeDocument/2006/relationships/hyperlink" Target="http://kenyalaw.org/" TargetMode="External"/><Relationship Id="rIdutdc6gv5fdnyk0cjewsd7" Type="http://schemas.openxmlformats.org/officeDocument/2006/relationships/hyperlink" Target="https://www.saflii.org/" TargetMode="External"/><Relationship Id="rId-yuxkkagv8gcuw3uzyzoo" Type="http://schemas.openxmlformats.org/officeDocument/2006/relationships/hyperlink" Target="https://eur-lex.europa.eu/" TargetMode="External"/><Relationship Id="rId-8zgmidilbndupy8igmeq" Type="http://schemas.openxmlformats.org/officeDocument/2006/relationships/hyperlink" Target="https://www.epo.org/" TargetMode="External"/><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2026-03-21T21:53:29.520Z</dcterms:created>
  <dcterms:modified xsi:type="dcterms:W3CDTF">2026-03-21T21:53:29.520Z</dcterms:modified>
</cp:coreProperties>
</file>

<file path=docProps/custom.xml><?xml version="1.0" encoding="utf-8"?>
<Properties xmlns="http://schemas.openxmlformats.org/officeDocument/2006/custom-properties" xmlns:vt="http://schemas.openxmlformats.org/officeDocument/2006/docPropsVTypes"/>
</file>