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ARKOVA</w:t>
      </w:r>
    </w:p>
    <w:p>
      <w:pPr>
        <w:spacing w:after="120"/>
        <w:jc w:val="center"/>
      </w:pPr>
      <w:r>
        <w:rPr>
          <w:rFonts w:ascii="Arial" w:cs="Arial" w:eastAsia="Arial" w:hAnsi="Arial"/>
          <w:color w:val="2E5E8E"/>
          <w:sz w:val="40"/>
          <w:szCs w:val="40"/>
        </w:rPr>
        <w:t xml:space="preserve">Verification Bootstrap Deep Dive</w:t>
      </w:r>
    </w:p>
    <w:p>
      <w:pPr>
        <w:spacing w:after="120"/>
        <w:jc w:val="center"/>
      </w:pPr>
      <w:r>
        <w:rPr>
          <w:rFonts w:ascii="Arial" w:cs="Arial" w:eastAsia="Arial" w:hAnsi="Arial"/>
          <w:color w:val="3A7BBF"/>
          <w:sz w:val="32"/>
          <w:szCs w:val="32"/>
        </w:rPr>
        <w:t xml:space="preserve">7 Approaches to Solving the Cold-Start Problem</w:t>
      </w:r>
    </w:p>
    <w:p>
      <w:pPr>
        <w:pBdr>
          <w:top w:val="single" w:color="1B3A5C" w:sz="6" w:space="12"/>
        </w:pBdr>
        <w:spacing w:after="120" w:before="600"/>
        <w:jc w:val="center"/>
      </w:pPr>
      <w:r>
        <w:rPr>
          <w:rFonts w:ascii="Arial" w:cs="Arial" w:eastAsia="Arial" w:hAnsi="Arial"/>
          <w:color w:val="666666"/>
          <w:sz w:val="24"/>
          <w:szCs w:val="24"/>
        </w:rPr>
        <w:t xml:space="preserve">Strategic Analysis | March 2026</w:t>
      </w:r>
    </w:p>
    <w:p>
      <w:pPr>
        <w:spacing w:after="120"/>
        <w:jc w:val="center"/>
      </w:pPr>
      <w:r>
        <w:rPr>
          <w:rFonts w:ascii="Arial" w:cs="Arial" w:eastAsia="Arial" w:hAnsi="Arial"/>
          <w:color w:val="666666"/>
          <w:sz w:val="22"/>
          <w:szCs w:val="22"/>
        </w:rPr>
        <w:t xml:space="preserve">Prepared for Carson | Arkova, Inc.</w:t>
      </w:r>
    </w:p>
    <w:p>
      <w:pPr>
        <w:spacing w:after="12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Arkova’s verification API (Phase 1.5) creates a powerful two-sided marketplace: anchored documents on the supply side, and agent-driven verification calls ($0.002/call via x402) on the demand side. The cold-start problem is existential—verification is worthless without a corpus, and anchoring is uncompelling without verification demand. This report analyzes seven distinct approaches to bootstrapping the corpus, with concrete data on volumes, costs, legal considerations, timelines, and revenue potential.</w:t>
      </w:r>
    </w:p>
    <w:p>
      <w:pPr>
        <w:spacing w:after="200"/>
      </w:pPr>
    </w:p>
    <w:p>
      <w:pPr>
        <w:spacing w:after="120"/>
      </w:pPr>
      <w:r/>
      <w:r>
        <w:rPr>
          <w:rFonts w:ascii="Arial" w:cs="Arial" w:eastAsia="Arial" w:hAnsi="Arial"/>
          <w:sz w:val="22"/>
          <w:szCs w:val="22"/>
        </w:rPr>
        <w:t xml:space="preserve">We recommend a phased three-wave strategy. Wave 1 (months 1–3) launches Public Records Anchoring and Agent-Initiated Anchoring simultaneously—public records provide immediate volume (1M+ documents in 90 days at ~$200/month anchoring cost via Merkle batching), while agent anchoring seeds the demand-side flywheel. Wave 2 (months 3–6) adds Open Data Partnerships and Developer/OSS Supply Chain, creating high-credibility vertical corpuses. Wave 3 (months 6–12) pursues E-Signature Integration and News/Media Verification, which require partnership development but offer the highest per-document verification revenue. Web Archiving runs as a background capability throughout.</w:t>
      </w:r>
    </w:p>
    <w:p>
      <w:pPr>
        <w:spacing w:after="200"/>
      </w:pPr>
    </w:p>
    <w:p>
      <w:pPr>
        <w:spacing w:after="120"/>
      </w:pPr>
      <w:r/>
      <w:r>
        <w:rPr>
          <w:rFonts w:ascii="Arial" w:cs="Arial" w:eastAsia="Arial" w:hAnsi="Arial"/>
          <w:sz w:val="22"/>
          <w:szCs w:val="22"/>
        </w:rPr>
        <w:t xml:space="preserve">With Merkle-tree batching, anchoring costs approximately $0.002–$0.003 per document at scale. A corpus of 10M documents (achievable in 12 months across all waves) requires roughly $20K–$30K in direct anchoring costs. At a 1% monthly verification rate on the corpus, that yields 100K verification calls/month generating $200/month in direct API revenue—scaling to $2,000–$20,000/month as verification adoption grows to 1–10% of corpus. The real value is in the network effect: each anchored document makes the platform more valuable to every verifier, and vice versa.</w:t>
      </w:r>
    </w:p>
    <w:p>
      <w:pPr>
        <w:spacing w:after="200"/>
      </w:pPr>
    </w:p>
    <w:p>
      <w:pPr>
        <w:pStyle w:val="Heading2"/>
      </w:pPr>
      <w:r>
        <w:t xml:space="preserve">Priority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200"/>
        <w:gridCol w:w="306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Approach</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Corpus Velocity</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Strategic Value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Records Anchoring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1M+ docs/90 days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Immediate volume, free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Agent-Initiated Anchoring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Scales with adoption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Demand-side flywheel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 Data Partnerships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500M+ metadata records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credibility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Dev/OSS Supply Chain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Scales with devs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Developer community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 Archiving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Broad utility, legal nuance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E-Signature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Scales with partners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Highest per-doc value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News/Media Verification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Scales with partners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Strategic positioning</w:t>
            </w:r>
          </w:p>
        </w:tc>
      </w:tr>
    </w:tbl>
    <w:p>
      <w:r>
        <w:br w:type="page"/>
      </w:r>
    </w:p>
    <w:p>
      <w:pPr>
        <w:pStyle w:val="Heading1"/>
      </w:pPr>
      <w:r>
        <w:t xml:space="preserve">1. Public Records Anchoring</w:t>
      </w:r>
    </w:p>
    <w:p>
      <w:pPr>
        <w:spacing w:after="120"/>
      </w:pPr>
      <w:r>
        <w:t xml:space="preserve">Public records represent the lowest-friction path to a massive initial corpus. These are freely available, legally unencumbered government documents that are already in the public domain. The value proposition is straightforward: anchor the cryptographic fingerprint of every SEC filing, patent grant, court record, and government contract to Bitcoin, creating a verifiable proof-of-existence layer that anyone can query.</w:t>
      </w:r>
    </w:p>
    <w:p>
      <w:pPr>
        <w:pStyle w:val="Heading2"/>
      </w:pPr>
      <w:r>
        <w:t xml:space="preserve">1.1 How It Works with Arkova’s Architecture</w:t>
      </w:r>
    </w:p>
    <w:p>
      <w:pPr>
        <w:spacing w:after="120"/>
      </w:pPr>
      <w:r>
        <w:t xml:space="preserve">The technical flow is: (1) Bulk-download or API-poll documents from government sources. (2) Client-side fingerprint each document using Arkova’s hashing algorithm. (3) Aggregate fingerprints into a Merkle tree. (4) Anchor the Merkle root to Bitcoin at regular intervals (e.g., every 10 minutes, aligning with Bitcoin block times). (5) Store the Merkle proof alongside the document fingerprint in Arkova’s verification index. (6) When an agent calls the verification API with a document hash, Arkova returns the Merkle proof and Bitcoin transaction ID.</w:t>
      </w:r>
    </w:p>
    <w:p>
      <w:pPr>
        <w:spacing w:after="120"/>
      </w:pPr>
      <w:r>
        <w:t xml:space="preserve">This is operationally simple because all processing happens on Arkova’s infrastructure—no third-party integrations or partnership approvals needed. A single developer can stand up the initial pipeline in 2–3 weeks.</w:t>
      </w:r>
    </w:p>
    <w:p>
      <w:pPr>
        <w:pStyle w:val="Heading2"/>
      </w:pPr>
      <w:r>
        <w:t xml:space="preserve">1.2 Data Sources: Volume, APIs, and Access</w:t>
      </w:r>
    </w:p>
    <w:p>
      <w:pPr>
        <w:pStyle w:val="Heading3"/>
      </w:pPr>
      <w:r>
        <w:t xml:space="preserve">SEC EDGAR</w:t>
      </w:r>
    </w:p>
    <w:p>
      <w:pPr>
        <w:spacing w:after="120"/>
      </w:pPr>
      <w:r>
        <w:t xml:space="preserve">The Securities and Exchange Commission’s EDGAR system contains all public company filings. Volume is approximately 1.17 million filings per year, including 10-K annual reports, 10-Q quarterly reports, 8-K current reports, proxy statements, and more. The full-text search API has a hard rate limit of 10 requests per second with a User-Agent header containing a valid email—no API key required. Formats include JSON, XML, and XBRL. Bulk downloads are available with no rate limits. Filing hours are 6 AM–10 PM ET weekdays. This is the single highest-value source: every publicly traded company’s filings, freely accessible, public domain, updated daily.</w:t>
      </w:r>
    </w:p>
    <w:p>
      <w:pPr>
        <w:pStyle w:val="Heading3"/>
      </w:pPr>
      <w:r>
        <w:t xml:space="preserve">USPTO Patent Filings</w:t>
      </w:r>
    </w:p>
    <w:p>
      <w:pPr>
        <w:spacing w:after="120"/>
      </w:pPr>
      <w:r>
        <w:t xml:space="preserve">The United States Patent and Trademark Office publishes approximately 368,000 patent grants per year. The PatentsView API (migrating to data.uspto.gov as of March 2026) allows 45 requests per minute with no API key required. Bulk CSV downloads have no rate limits. Patents publish weekly on Tuesdays; assignment data updates daily. Patent documents are public domain and freely redistributable.</w:t>
      </w:r>
    </w:p>
    <w:p>
      <w:pPr>
        <w:pStyle w:val="Heading3"/>
      </w:pPr>
      <w:r>
        <w:t xml:space="preserve">PACER / RECAP</w:t>
      </w:r>
    </w:p>
    <w:p>
      <w:pPr>
        <w:spacing w:after="120"/>
      </w:pPr>
      <w:r>
        <w:t xml:space="preserve">The Public Access to Court Electronic Records system contains federal court records. Approximately 414,000 civil cases are filed annually. Direct PACER access costs $0.10/page ($3 max per document), but the RECAP project (CourtListener) provides millions of crowdsourced documents via free APIs. RECAP is the practical bulk source. Seventy-five percent of PACER users pay $0 per quarter due to the fee waiver threshold. For corpus building, RECAP’s free API is the primary path.</w:t>
      </w:r>
    </w:p>
    <w:p>
      <w:pPr>
        <w:pStyle w:val="Heading3"/>
      </w:pPr>
      <w:r>
        <w:t xml:space="preserve">SAM.gov and USASpending.gov</w:t>
      </w:r>
    </w:p>
    <w:p>
      <w:pPr>
        <w:spacing w:after="120"/>
      </w:pPr>
      <w:r>
        <w:t xml:space="preserve">The System for Award Management and USASpending.gov together cover federal contracts (500K+/year) and grants (1M+/year). SAM.gov’s Contract Awards API is free with a 1,000-request/day rate limit, requiring a free System Account registration. USASpending has no authentication requirement for public data, with nightly updates and bulk download support up to 1M records per request. Both provide JSON and CSV formats.</w:t>
      </w:r>
    </w:p>
    <w:p>
      <w:pPr>
        <w:pStyle w:val="Heading3"/>
      </w:pPr>
      <w:r>
        <w:t xml:space="preserve">Federal Register</w:t>
      </w:r>
    </w:p>
    <w:p>
      <w:pPr>
        <w:spacing w:after="120"/>
      </w:pPr>
      <w:r>
        <w:t xml:space="preserve">The Federal Register publishes 50,000+ documents per year including proposed rules, final rules, notices, and presidential documents. The API requires no authentication, returns JSON/CSV, and updates daily. Pagination is limited to 2,000 results per query (use date filters for full coverage). All content is public domain.</w:t>
      </w:r>
    </w:p>
    <w:p>
      <w:pPr>
        <w:pStyle w:val="Heading3"/>
      </w:pPr>
      <w:r>
        <w:t xml:space="preserve">State Secretary of State Filings</w:t>
      </w:r>
    </w:p>
    <w:p>
      <w:pPr>
        <w:spacing w:after="120"/>
      </w:pPr>
      <w:r>
        <w:t xml:space="preserve">There is no unified federal API for state business registrations. Over 10 million entities are registered across states. Access requires third-party aggregators such as Middesk, Cobalt Intelligence, or iDenfy, with data freshness ranging from real-time to 48-hour lag depending on the state. This is a second-phase opportunity given the fragmentation.</w:t>
      </w:r>
    </w:p>
    <w:p>
      <w:pPr>
        <w:pStyle w:val="Heading2"/>
      </w:pPr>
      <w:r>
        <w:t xml:space="preserve">1.3 Legal Analysis</w:t>
      </w:r>
    </w:p>
    <w:p>
      <w:pPr>
        <w:spacing w:after="120"/>
      </w:pPr>
      <w:r>
        <w:t xml:space="preserve">This is the cleanest legal scenario of all seven approaches. Government documents published through EDGAR, USPTO, PACER, SAM.gov, the Federal Register, and USASpending are public domain under U.S. law. There are no copyright restrictions, no Terms of Service limitations on redistribution, and no licensing fees. The only constraint is adhering to rate limits (which are technical, not legal). Arkova is not redistributing the documents themselves—only fingerprinting them—which adds an additional layer of legal safety. Even if copyright applied (it does not), fingerprinting does not constitute reproduction.</w:t>
      </w:r>
    </w:p>
    <w:p>
      <w:pPr>
        <w:pStyle w:val="Heading2"/>
      </w:pPr>
      <w:r>
        <w:t xml:space="preserve">1.4 Technical Implementation Plan</w:t>
      </w:r>
    </w:p>
    <w:p>
      <w:pPr>
        <w:pStyle w:val="ListParagraph"/>
        <w:numPr>
          <w:ilvl w:val="0"/>
          <w:numId w:val="2"/>
        </w:numPr>
        <w:spacing w:after="60"/>
      </w:pPr>
      <w:r>
        <w:rPr>
          <w:rFonts w:ascii="Arial" w:cs="Arial" w:eastAsia="Arial" w:hAnsi="Arial"/>
          <w:b/>
          <w:bCs/>
          <w:sz w:val="22"/>
          <w:szCs w:val="22"/>
        </w:rPr>
        <w:t xml:space="preserve">Week 1–2: </w:t>
      </w:r>
      <w:r>
        <w:rPr>
          <w:rFonts w:ascii="Arial" w:cs="Arial" w:eastAsia="Arial" w:hAnsi="Arial"/>
          <w:sz w:val="22"/>
          <w:szCs w:val="22"/>
        </w:rPr>
        <w:t xml:space="preserve">Build ETL pipelines for SEC EDGAR (bulk download + daily API polling), USPTO (bulk CSV + weekly updates), and Federal Register (daily API polling). Use Node.js workers with Arkova’s client-side fingerprinting library.</w:t>
      </w:r>
    </w:p>
    <w:p>
      <w:pPr>
        <w:pStyle w:val="ListParagraph"/>
        <w:numPr>
          <w:ilvl w:val="0"/>
          <w:numId w:val="2"/>
        </w:numPr>
        <w:spacing w:after="60"/>
      </w:pPr>
      <w:r>
        <w:rPr>
          <w:rFonts w:ascii="Arial" w:cs="Arial" w:eastAsia="Arial" w:hAnsi="Arial"/>
          <w:b/>
          <w:bCs/>
          <w:sz w:val="22"/>
          <w:szCs w:val="22"/>
        </w:rPr>
        <w:t xml:space="preserve">Week 2–3: </w:t>
      </w:r>
      <w:r>
        <w:rPr>
          <w:rFonts w:ascii="Arial" w:cs="Arial" w:eastAsia="Arial" w:hAnsi="Arial"/>
          <w:sz w:val="22"/>
          <w:szCs w:val="22"/>
        </w:rPr>
        <w:t xml:space="preserve">Implement Merkle tree aggregation service. Batch fingerprints into trees of 10,000–100,000 leaves. Anchor Merkle roots to Bitcoin every 10 minutes. Store Merkle proofs in a PostgreSQL database indexed by document hash.</w:t>
      </w:r>
    </w:p>
    <w:p>
      <w:pPr>
        <w:pStyle w:val="ListParagraph"/>
        <w:numPr>
          <w:ilvl w:val="0"/>
          <w:numId w:val="2"/>
        </w:numPr>
        <w:spacing w:after="60"/>
      </w:pPr>
      <w:r>
        <w:rPr>
          <w:rFonts w:ascii="Arial" w:cs="Arial" w:eastAsia="Arial" w:hAnsi="Arial"/>
          <w:b/>
          <w:bCs/>
          <w:sz w:val="22"/>
          <w:szCs w:val="22"/>
        </w:rPr>
        <w:t xml:space="preserve">Week 3–4: </w:t>
      </w:r>
      <w:r>
        <w:rPr>
          <w:rFonts w:ascii="Arial" w:cs="Arial" w:eastAsia="Arial" w:hAnsi="Arial"/>
          <w:sz w:val="22"/>
          <w:szCs w:val="22"/>
        </w:rPr>
        <w:t xml:space="preserve">Add RECAP (court records), SAM.gov, and USASpending pipelines. Build monitoring dashboard for pipeline health, document counts, and anchoring costs.</w:t>
      </w:r>
    </w:p>
    <w:p>
      <w:pPr>
        <w:pStyle w:val="ListParagraph"/>
        <w:numPr>
          <w:ilvl w:val="0"/>
          <w:numId w:val="2"/>
        </w:numPr>
        <w:spacing w:after="60"/>
      </w:pPr>
      <w:r>
        <w:rPr>
          <w:rFonts w:ascii="Arial" w:cs="Arial" w:eastAsia="Arial" w:hAnsi="Arial"/>
          <w:b/>
          <w:bCs/>
          <w:sz w:val="22"/>
          <w:szCs w:val="22"/>
        </w:rPr>
        <w:t xml:space="preserve">Week 4+: </w:t>
      </w:r>
      <w:r>
        <w:rPr>
          <w:rFonts w:ascii="Arial" w:cs="Arial" w:eastAsia="Arial" w:hAnsi="Arial"/>
          <w:sz w:val="22"/>
          <w:szCs w:val="22"/>
        </w:rPr>
        <w:t xml:space="preserve">Ongoing: daily incremental updates, backfill historical archives (EDGAR has data back to 1993).</w:t>
      </w:r>
    </w:p>
    <w:p>
      <w:pPr>
        <w:spacing w:after="120"/>
      </w:pPr>
      <w:r>
        <w:t xml:space="preserve">Infrastructure: Single server for ETL workers ($50–100/month), PostgreSQL instance for proof storage ($20–50/month), Bitcoin node or anchoring service integration.</w:t>
      </w:r>
    </w:p>
    <w:p>
      <w:pPr>
        <w:pStyle w:val="Heading2"/>
      </w:pPr>
      <w:r>
        <w:t xml:space="preserve">1.5 Cost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Cost Category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 Estimate</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Bitcoin anchoring (Merkle batched)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$50–200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~144 anchors/day at ~$0.50–$1.50/tx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Infrastructure (ETL + DB)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$100–200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server + managed PostgreSQL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costs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sources are free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Engineering (initial build)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(founder time)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 weeks of solo dev 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monthly operating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$150–400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After initial build</w:t>
            </w:r>
          </w:p>
        </w:tc>
      </w:tr>
    </w:tbl>
    <w:p>
      <w:pPr>
        <w:pStyle w:val="Heading2"/>
      </w:pPr>
      <w:r>
        <w:t xml:space="preserve">1.6 Revenue Projections</w:t>
      </w:r>
    </w:p>
    <w:p>
      <w:pPr>
        <w:spacing w:after="120"/>
      </w:pPr>
      <w:r>
        <w:t xml:space="preserve">At 1M documents anchored in 90 days, assuming a conservative 0.5% monthly verification rate (agents verifying SEC filings, patent status, court records): 5,000 verification calls/month at $0.002/call = $10/month initially. This grows as the corpus scales and verification adoption increases. At 10M documents and 2% verification rate: 200,000 calls/month = $400/month. The real revenue driver is not per-call pricing but the corpus as a competitive moat that enables premium API tiers, enterprise contracts, and partnership deals.</w:t>
      </w:r>
    </w:p>
    <w:p>
      <w:pPr>
        <w:pStyle w:val="Heading2"/>
      </w:pPr>
      <w:r>
        <w:t xml:space="preserve">1.7 Timeline to Meaningful Corpus</w:t>
      </w:r>
    </w:p>
    <w:p>
      <w:pPr>
        <w:spacing w:after="120"/>
      </w:pPr>
      <w:r>
        <w:t xml:space="preserve">30 days: 500K+ documents (EDGAR historical backfill alone). 90 days: 1M+ documents across all sources. 12 months: 5M+ documents with daily incremental updates. The EDGAR archive alone contains millions of historical filings dating back to 1993.</w:t>
      </w:r>
    </w:p>
    <w:p>
      <w:pPr>
        <w:pStyle w:val="Heading2"/>
      </w:pPr>
      <w:r>
        <w:t xml:space="preserve">1.8 Competitive Landscape</w:t>
      </w:r>
    </w:p>
    <w:p>
      <w:pPr>
        <w:spacing w:after="120"/>
      </w:pPr>
      <w:r>
        <w:t xml:space="preserve">OpenTimestamps provides free Bitcoin timestamping using Merkle tree batching (10K documents for approximately $0.03). Woleet offers a commercial API with eIDAS compliance and up to 1,000 API calls/second. OriginStamp supports multi-chain anchoring (Bitcoin + Ethereum). Guardtime KSI provides enterprise-grade solutions processing millions of events per second, deployed by governments.</w:t>
      </w:r>
    </w:p>
    <w:p>
      <w:pPr>
        <w:spacing w:after="120"/>
      </w:pPr>
      <w:r/>
      <w:r>
        <w:rPr>
          <w:rFonts w:ascii="Arial" w:cs="Arial" w:eastAsia="Arial" w:hAnsi="Arial"/>
          <w:sz w:val="22"/>
          <w:szCs w:val="22"/>
        </w:rPr>
        <w:t xml:space="preserve">None of the existing blockchain timestamping services specialize in public records anchoring with a verification API. OpenTimestamps is a protocol, not a product. Woleet and OriginStamp are generic timestamping services. Arkova’s moat is the combination of (a) a pre-built corpus of government documents, (b) a verification API optimized for agent consumption, and (c) x402 micropayments enabling frictionless machine-to-machine access.</w:t>
      </w:r>
    </w:p>
    <w:p>
      <w:pPr>
        <w:pStyle w:val="Heading2"/>
      </w:pPr>
      <w:r>
        <w:t xml:space="preserve">1.9 Risks and Mitigations</w:t>
      </w:r>
    </w:p>
    <w:p>
      <w:pPr>
        <w:pStyle w:val="ListParagraph"/>
        <w:numPr>
          <w:ilvl w:val="0"/>
          <w:numId w:val="2"/>
        </w:numPr>
        <w:spacing w:after="60"/>
      </w:pPr>
      <w:r>
        <w:rPr>
          <w:rFonts w:ascii="Arial" w:cs="Arial" w:eastAsia="Arial" w:hAnsi="Arial"/>
          <w:b/>
          <w:bCs/>
          <w:sz w:val="22"/>
          <w:szCs w:val="22"/>
        </w:rPr>
        <w:t xml:space="preserve">Risk: </w:t>
      </w:r>
      <w:r>
        <w:rPr>
          <w:rFonts w:ascii="Arial" w:cs="Arial" w:eastAsia="Arial" w:hAnsi="Arial"/>
          <w:sz w:val="22"/>
          <w:szCs w:val="22"/>
        </w:rPr>
        <w:t xml:space="preserve">Government APIs change or impose new rate limits. Mitigation: Monitor API health, maintain multiple data paths (bulk download fallback), cache aggressively.</w:t>
      </w:r>
    </w:p>
    <w:p>
      <w:pPr>
        <w:pStyle w:val="ListParagraph"/>
        <w:numPr>
          <w:ilvl w:val="0"/>
          <w:numId w:val="2"/>
        </w:numPr>
        <w:spacing w:after="60"/>
      </w:pPr>
      <w:r>
        <w:rPr>
          <w:rFonts w:ascii="Arial" w:cs="Arial" w:eastAsia="Arial" w:hAnsi="Arial"/>
          <w:b/>
          <w:bCs/>
          <w:sz w:val="22"/>
          <w:szCs w:val="22"/>
        </w:rPr>
        <w:t xml:space="preserve">Risk: </w:t>
      </w:r>
      <w:r>
        <w:rPr>
          <w:rFonts w:ascii="Arial" w:cs="Arial" w:eastAsia="Arial" w:hAnsi="Arial"/>
          <w:sz w:val="22"/>
          <w:szCs w:val="22"/>
        </w:rPr>
        <w:t xml:space="preserve">Low initial verification demand. Mitigation: The anchoring cost is so low ($150–400/month) that this is viable as a loss-leader for 12+ months while demand builds.</w:t>
      </w:r>
    </w:p>
    <w:p>
      <w:pPr>
        <w:pStyle w:val="ListParagraph"/>
        <w:numPr>
          <w:ilvl w:val="0"/>
          <w:numId w:val="2"/>
        </w:numPr>
        <w:spacing w:after="60"/>
      </w:pPr>
      <w:r>
        <w:rPr>
          <w:rFonts w:ascii="Arial" w:cs="Arial" w:eastAsia="Arial" w:hAnsi="Arial"/>
          <w:b/>
          <w:bCs/>
          <w:sz w:val="22"/>
          <w:szCs w:val="22"/>
        </w:rPr>
        <w:t xml:space="preserve">Risk: </w:t>
      </w:r>
      <w:r>
        <w:rPr>
          <w:rFonts w:ascii="Arial" w:cs="Arial" w:eastAsia="Arial" w:hAnsi="Arial"/>
          <w:sz w:val="22"/>
          <w:szCs w:val="22"/>
        </w:rPr>
        <w:t xml:space="preserve">Competitors copy the approach. Mitigation: First-mover advantage in corpus size; Merkle proofs are cumulative and hard to replicate retroactively.</w:t>
      </w:r>
    </w:p>
    <w:p>
      <w:pPr>
        <w:pStyle w:val="Heading2"/>
      </w:pPr>
      <w:r>
        <w:t xml:space="preserve">1.10 Recommendation</w:t>
      </w:r>
    </w:p>
    <w:p>
      <w:pPr>
        <w:spacing w:after="120"/>
      </w:pPr>
      <w:r/>
      <w:r>
        <w:rPr>
          <w:rFonts w:ascii="Arial" w:cs="Arial" w:eastAsia="Arial" w:hAnsi="Arial"/>
          <w:sz w:val="22"/>
          <w:szCs w:val="22"/>
        </w:rPr>
        <w:t xml:space="preserve">This is the obvious first move. Lowest cost, lowest legal risk, fastest time to meaningful corpus, and it establishes Arkova as the canonical source of verified government records. Start immediately.</w:t>
      </w:r>
    </w:p>
    <w:p>
      <w:r>
        <w:br w:type="page"/>
      </w:r>
    </w:p>
    <w:p>
      <w:pPr>
        <w:pStyle w:val="Heading1"/>
      </w:pPr>
      <w:r>
        <w:t xml:space="preserve">2. Web Archiving / Proof of Web State</w:t>
      </w:r>
    </w:p>
    <w:p>
      <w:pPr>
        <w:spacing w:after="120"/>
      </w:pPr>
      <w:r>
        <w:t xml:space="preserve">This approach captures and fingerprints public web pages to prove they existed in a specific form at a specific time. The use case: legal evidence preservation, regulatory compliance, brand monitoring, and combating link rot. Bitcoin-anchored web state proofs are significantly more valuable than simple screenshots because they are cryptographically verifiable and tamper-evident.</w:t>
      </w:r>
    </w:p>
    <w:p>
      <w:pPr>
        <w:pStyle w:val="Heading2"/>
      </w:pPr>
      <w:r>
        <w:t xml:space="preserve">2.1 How It Works with Arkova’s Architecture</w:t>
      </w:r>
    </w:p>
    <w:p>
      <w:pPr>
        <w:spacing w:after="120"/>
      </w:pPr>
      <w:r>
        <w:t xml:space="preserve">The flow: (1) Headless browser (Playwright) renders a target URL. (2) Canonicalize the DOM to produce a deterministic representation. (3) Fingerprint the canonical DOM plus a rendered screenshot. (4) Anchor the fingerprint to Bitcoin via Merkle tree. (5) Store the Merkle proof, canonical DOM hash, and metadata (URL, timestamp, HTTP headers). (6) Verification API returns proof that a specific page state existed at a specific Bitcoin-attested time.</w:t>
      </w:r>
    </w:p>
    <w:p>
      <w:pPr>
        <w:spacing w:after="120"/>
      </w:pPr>
      <w:r>
        <w:t xml:space="preserve">The technical challenge is DOM canonicalization—ensuring the same page produces the same fingerprint across rendering environments. JavaScript-heavy pages, dynamic content, and CSS variations make this non-trivial. Playwright provides better consistency than Puppeteer (96% vs. lower success rates on complex pages) due to built-in auto-waiting.</w:t>
      </w:r>
    </w:p>
    <w:p>
      <w:pPr>
        <w:pStyle w:val="Heading2"/>
      </w:pPr>
      <w:r>
        <w:t xml:space="preserve">2.2 Legal Analysis</w:t>
      </w:r>
    </w:p>
    <w:p>
      <w:pPr>
        <w:spacing w:after="120"/>
      </w:pPr>
      <w:r>
        <w:t xml:space="preserve">The legal landscape for web scraping has clarified significantly. The hiQ Labs v. LinkedIn ruling (9th Circuit, reaffirmed April 2022) established that scraping publicly available data without bypassing authentication barriers does not violate the Computer Fraud and Abuse Act. The Van Buren v. United States Supreme Court decision (2021) narrowed CFAA to a “gates up or down” test. Meta v. Bright Data (2024) further confirmed that scraping publicly visible content is permissible under CFAA.</w:t>
      </w:r>
    </w:p>
    <w:p>
      <w:pPr>
        <w:spacing w:after="120"/>
      </w:pPr>
      <w:r>
        <w:t xml:space="preserve">However, CFAA is not the only risk vector. Terms of Service violations can still create breach-of-contract claims. Robots.txt, while not legally binding in the U.S., is increasingly considered by European regulators (France’s CNIL). The safest posture: only fingerprint publicly accessible pages, respect robots.txt, and never bypass authentication or CAPTCHAs. Arkova does not store page content—only fingerprints—which eliminates copyright concerns entirely.</w:t>
      </w:r>
    </w:p>
    <w:p>
      <w:pPr>
        <w:pStyle w:val="Heading2"/>
      </w:pPr>
      <w: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Pricing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Focus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Limitations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Wayback Machine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 (60 req/min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archiving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3–10 hour lag, no SLA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PageFreezer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Enterprise (custom)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SEC/FINRA compliance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Expensive, niche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Versionista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$99–379/month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 monitoring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Limited scale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Archive-It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$2,100–$77,500/yr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Institutional archiving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 orgs, high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Webrecorder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 (open 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Browser-based capture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Manual, not API-first</w:t>
            </w:r>
          </w:p>
        </w:tc>
      </w:tr>
    </w:tbl>
    <w:p>
      <w:pPr>
        <w:spacing w:after="120"/>
      </w:pPr>
      <w:r/>
      <w:r>
        <w:rPr>
          <w:rFonts w:ascii="Arial" w:cs="Arial" w:eastAsia="Arial" w:hAnsi="Arial"/>
          <w:sz w:val="22"/>
          <w:szCs w:val="22"/>
        </w:rPr>
        <w:t xml:space="preserve">Existing services store the page content. Arkova stores only the cryptographic fingerprint anchored to Bitcoin. This is lighter-weight, cheaper, more legally defensible (no copyright issues), and produces a stronger proof (Bitcoin-attested timestamp vs. a company’s internal timestamp). The target market is different: legal evidence, agent verification, and regulatory compliance where tamper-evidence matters.</w:t>
      </w:r>
    </w:p>
    <w:p>
      <w:pPr>
        <w:pStyle w:val="Heading2"/>
      </w:pPr>
      <w:r>
        <w:t xml:space="preserve">2.4 Market Opportunity</w:t>
      </w:r>
    </w:p>
    <w:p>
      <w:pPr>
        <w:spacing w:after="120"/>
      </w:pPr>
      <w:r>
        <w:t xml:space="preserve">The enterprise information archiving market is valued at $10.56–$10.77 billion (2025), growing at 11.4–13.75% CAGR to $17.7–30.17 billion by 2031–2033. Key drivers include regulatory mandates (SEC Rule 17a-3/4 requires 6+ year retention of electronic records for financial firms), litigation evidence preservation, and cybersecurity documentation. The web scraping market alone is $1.01 billion (2024), with banking and financial services comprising 30% of demand.</w:t>
      </w:r>
    </w:p>
    <w:p>
      <w:pPr>
        <w:pStyle w:val="Heading2"/>
      </w:pPr>
      <w:r>
        <w:t xml:space="preserve">2.5 Cost and Revenue Model</w:t>
      </w:r>
    </w:p>
    <w:p>
      <w:pPr>
        <w:spacing w:after="120"/>
      </w:pPr>
      <w:r>
        <w:t xml:space="preserve">Costs: Headless browser infrastructure ($200–500/month for a rendering cluster), Bitcoin anchoring ($50–200/month with Merkle batching), storage for proofs ($50–100/month). Revenue: Verification calls for legal evidence and compliance, potentially at a premium tier ($0.005–$0.01/call) given the higher value of web state proofs. At 50K pages/month anchored and 5% verification rate: $125–$250/month. Scales significantly with enterprise partnerships.</w:t>
      </w:r>
    </w:p>
    <w:p>
      <w:pPr>
        <w:pStyle w:val="Heading2"/>
      </w:pPr>
      <w:r>
        <w:t xml:space="preserve">2.6 Recommendation</w:t>
      </w:r>
    </w:p>
    <w:p>
      <w:pPr>
        <w:spacing w:after="120"/>
      </w:pPr>
      <w:r/>
      <w:r>
        <w:rPr>
          <w:rFonts w:ascii="Arial" w:cs="Arial" w:eastAsia="Arial" w:hAnsi="Arial"/>
          <w:sz w:val="22"/>
          <w:szCs w:val="22"/>
        </w:rPr>
        <w:t xml:space="preserve">Run as a background capability. The DOM canonicalization challenge requires engineering investment, and the legal nuance around ToS compliance adds risk. However, the market opportunity is enormous and Bitcoin-anchored web proofs are a genuinely differentiated product. Build it after the lower-hanging fruit is running.</w:t>
      </w:r>
    </w:p>
    <w:p>
      <w:r>
        <w:br w:type="page"/>
      </w:r>
    </w:p>
    <w:p>
      <w:pPr>
        <w:pStyle w:val="Heading1"/>
      </w:pPr>
      <w:r>
        <w:t xml:space="preserve">3. Open Data Partnerships</w:t>
      </w:r>
    </w:p>
    <w:p>
      <w:pPr>
        <w:spacing w:after="120"/>
      </w:pPr>
      <w:r>
        <w:t xml:space="preserve">Academic and research databases represent a massive, high-credibility corpus opportunity. These platforms contain hundreds of millions of scholarly works, and their operators are mission-aligned with data integrity. The partnership pitch: Arkova adds a cryptographic trust layer to their data for free, enabling verification of metadata integrity without any cost to the partner.</w:t>
      </w:r>
    </w:p>
    <w:p>
      <w:pPr>
        <w:pStyle w:val="Heading2"/>
      </w:pPr>
      <w:r>
        <w:t xml:space="preserve">3.1 How It Works with Arkova’s Architecture</w:t>
      </w:r>
    </w:p>
    <w:p>
      <w:pPr>
        <w:spacing w:after="120"/>
      </w:pPr>
      <w:r>
        <w:t xml:space="preserve">The flow: (1) Bulk-download metadata from open data platforms. (2) Fingerprint each metadata record (DOI, title, authors, publication date, etc.). (3) Anchor fingerprints to Bitcoin via Merkle trees. (4) Provide verification API: given a DOI or metadata hash, return Bitcoin-anchored proof of the metadata state at anchoring time. This is metadata-only—no full-text content is stored or fingerprinted (avoiding copyright concerns with journal articles).</w:t>
      </w:r>
    </w:p>
    <w:p>
      <w:pPr>
        <w:pStyle w:val="Heading2"/>
      </w:pPr>
      <w:r>
        <w:t xml:space="preserve">3.2 Data Sources</w:t>
      </w:r>
    </w:p>
    <w:p>
      <w:pPr>
        <w:pStyle w:val="Heading3"/>
      </w:pPr>
      <w:r>
        <w:t xml:space="preserve">OpenAlex</w:t>
      </w:r>
    </w:p>
    <w:p>
      <w:pPr>
        <w:spacing w:after="120"/>
      </w:pPr>
      <w:r>
        <w:t xml:space="preserve">474 million scholarly works indexed, with 100 million deduplicated authors, 200,000+ journals, 11 million grants, and 2+ billion citation links. The API at api.openalex.org is free with rate limits of 10,000 list/filter calls per day. Bulk downloads are available as gzip-compressed JSON Lines files (~330 GB compressed, ~1.6 TB decompressed), updated monthly. License is CC0 (unrestricted commercial use). This is the single best academic data source: massive volume, fully open, and operated by a 14-year-old nonprofit funded by Arcadia, Navigation Fund, and Wellcome Trust.</w:t>
      </w:r>
    </w:p>
    <w:p>
      <w:pPr>
        <w:pStyle w:val="Heading3"/>
      </w:pPr>
      <w:r>
        <w:t xml:space="preserve">Crossref</w:t>
      </w:r>
    </w:p>
    <w:p>
      <w:pPr>
        <w:spacing w:after="120"/>
      </w:pPr>
      <w:r>
        <w:t xml:space="preserve">Approximately 180 million registered DOIs from 24,000+ member organizations across 166 countries, handling 2 billion monthly API queries. The Polite Pool (10 req/sec, free with email identification) is the practical access tier. Annual public data files contain all metadata in JSON-lines format. Metadata Plus subscribers ($550–$44,000/year) get 150 req/sec and monthly snapshots. Crossref’s Crossmark service already tracks corrections and retractions—Bitcoin anchoring would complement this by providing immutable timestamps.</w:t>
      </w:r>
    </w:p>
    <w:p>
      <w:pPr>
        <w:pStyle w:val="Heading3"/>
      </w:pPr>
      <w:r>
        <w:t xml:space="preserve">PubMed / PMC</w:t>
      </w:r>
    </w:p>
    <w:p>
      <w:pPr>
        <w:spacing w:after="120"/>
      </w:pPr>
      <w:r>
        <w:t xml:space="preserve">40+ million biomedical citations in PubMed, 11.8 million free full-text articles in PMC. The E-utilities API (ncbi.nlm.nih.gov/entrez/eutils) allows 3 req/sec by default, higher with an API key. Annual baseline XML files are available via FTP for bulk download, with daily incremental updates. All data is public domain with no copyright restrictions.</w:t>
      </w:r>
    </w:p>
    <w:p>
      <w:pPr>
        <w:pStyle w:val="Heading3"/>
      </w:pPr>
      <w:r>
        <w:t xml:space="preserve">arXiv</w:t>
      </w:r>
    </w:p>
    <w:p>
      <w:pPr>
        <w:spacing w:after="120"/>
      </w:pPr>
      <w:r>
        <w:t xml:space="preserve">2.4 million scholarly preprints in physics, mathematics, computer science, and related fields. The OAI-PMH interface (oaipmh.arxiv.org/oai) supports bulk metadata harvesting with selective harvesting by category. Metadata availability updates around 10:30 PM ET Sunday through Thursday. Public API with attribution requirements.</w:t>
      </w:r>
    </w:p>
    <w:p>
      <w:pPr>
        <w:pStyle w:val="Heading3"/>
      </w:pPr>
      <w:r>
        <w:t xml:space="preserve">Additional Sources</w:t>
      </w:r>
    </w:p>
    <w:p>
      <w:pPr>
        <w:spacing w:after="120"/>
      </w:pPr>
      <w:r>
        <w:t xml:space="preserve">Semantic Scholar indexes 214 million papers with 2.49 billion citations. DBLP covers 8.4 million computer science publications under CC0 license. DataCite manages millions of research data DOIs. ORCID provides researcher identity linking across platforms.</w:t>
      </w:r>
    </w:p>
    <w:p>
      <w:pPr>
        <w:pStyle w:val="Heading2"/>
      </w:pPr>
      <w:r>
        <w:t xml:space="preserve">3.3 Partnership Strategy</w:t>
      </w:r>
    </w:p>
    <w:p>
      <w:pPr>
        <w:spacing w:after="120"/>
      </w:pPr>
      <w:r>
        <w:t xml:space="preserve">The pitch to these platforms: Arkova provides a free cryptographic integrity layer for your metadata. Every record gets a Bitcoin-anchored timestamp proving its state at verification time. This protects against metadata tampering, provides an independent verification mechanism, and adds value to your ecosystem at zero cost to you. Revenue comes from third-party verification calls, not from the partner.</w:t>
      </w:r>
    </w:p>
    <w:p>
      <w:pPr>
        <w:spacing w:after="120"/>
      </w:pPr>
      <w:r>
        <w:t xml:space="preserve">Start with OpenAlex (most open, CC0 license, nonprofit mission-aligned) and Crossref (largest DOI registry, existing trust infrastructure). These two alone give access to 650M+ metadata records.</w:t>
      </w:r>
    </w:p>
    <w:p>
      <w:pPr>
        <w:pStyle w:val="Heading2"/>
      </w:pPr>
      <w:r>
        <w:t xml:space="preserve">3.4 Cost and Revenue Model</w:t>
      </w:r>
    </w:p>
    <w:p>
      <w:pPr>
        <w:spacing w:after="120"/>
      </w:pPr>
      <w:r>
        <w:t xml:space="preserve">Bulk download and processing: $100–300/month infrastructure. Bitcoin anchoring of 500M+ records via aggressive Merkle batching: $200–500/month. The revenue upside is significant: academic integrity verification is a growing concern (paper mills, citation manipulation, retraction fraud). A verification API serving researchers, journals, institutions, and AI training pipelines could generate substantial volume. At 0.1% monthly verification on 500M records = 500K calls/month = $1,000/month initially.</w:t>
      </w:r>
    </w:p>
    <w:p>
      <w:pPr>
        <w:pStyle w:val="Heading2"/>
      </w:pPr>
      <w:r>
        <w:t xml:space="preserve">3.5 Recommendation</w:t>
      </w:r>
    </w:p>
    <w:p>
      <w:pPr>
        <w:spacing w:after="120"/>
      </w:pPr>
      <w:r/>
      <w:r>
        <w:rPr>
          <w:rFonts w:ascii="Arial" w:cs="Arial" w:eastAsia="Arial" w:hAnsi="Arial"/>
          <w:sz w:val="22"/>
          <w:szCs w:val="22"/>
        </w:rPr>
        <w:t xml:space="preserve">High credibility, massive volume, low cost, and strong mission alignment with data integrity. The partnership development requires relationship-building but no technical integration from the partner side. Start bulk-downloading OpenAlex immediately (no partnership required—it’s CC0). Pursue Crossref partnership in parallel.</w:t>
      </w:r>
    </w:p>
    <w:p>
      <w:r>
        <w:br w:type="page"/>
      </w:r>
    </w:p>
    <w:p>
      <w:pPr>
        <w:pStyle w:val="Heading1"/>
      </w:pPr>
      <w:r>
        <w:t xml:space="preserve">4. Agent-Initiated Anchoring</w:t>
      </w:r>
    </w:p>
    <w:p>
      <w:pPr>
        <w:spacing w:after="120"/>
      </w:pPr>
      <w:r>
        <w:t xml:space="preserve">This is the highest-leverage strategic play. AI agents anchor their own outputs—reports, analyses, decisions, code—creating both supply (anchored documents) and demand (verification calls from other agents). The flywheel: more agent outputs anchored means more verification demand, which attracts more agents to anchor. This directly addresses the cold-start problem by creating a self-reinforcing loop.</w:t>
      </w:r>
    </w:p>
    <w:p>
      <w:pPr>
        <w:pStyle w:val="Heading2"/>
      </w:pPr>
      <w:r>
        <w:t xml:space="preserve">4.1 How It Works with Arkova’s Architecture</w:t>
      </w:r>
    </w:p>
    <w:p>
      <w:pPr>
        <w:spacing w:after="120"/>
      </w:pPr>
      <w:r>
        <w:t xml:space="preserve">The flow: (1) Agent generates an output (report, analysis, decision). (2) Agent calls Arkova’s SDK: arkova.anchor(output). (3) Arkova fingerprints the output client-side, anchors to Bitcoin, returns a receipt (Merkle proof + Bitcoin tx ID). (4) Agent includes the receipt with its output. (5) Any downstream agent or human can verify: arkova.verify(output, receipt) for $0.002 via x402. The SDK must be frictionless—a single function call, no key management, payment via x402 micropayments.</w:t>
      </w:r>
    </w:p>
    <w:p>
      <w:pPr>
        <w:pStyle w:val="Heading2"/>
      </w:pPr>
      <w:r>
        <w:t xml:space="preserve">4.2 Framework Integration Points</w:t>
      </w:r>
    </w:p>
    <w:p>
      <w:pPr>
        <w:spacing w:after="120"/>
      </w:pPr>
      <w:r>
        <w:t xml:space="preserve">The agent framework ecosystem is mature enough for deep integration. LangChain (224.6 million PyPI downloads/month) has a middleware system with hooks including before_agent, after_agent, and wrap_tool_call—a verification middleware could automatically anchor all agent outputs. CrewAI (1.8M+ monthly downloads, 60%+ of Fortune 500 using open-source core) has TaskOutput classes supporting multiple formats and file output. Vercel AI SDK (20M+ monthly npm downloads) supports middleware for model output processing. Microsoft’s Agent Framework (built on AutoGen, 54K GitHub stars) provides interceptors for agent actions. MCP (Model Context Protocol) is becoming the universal standard for agent tool integration, with thousands of community-built servers and adoption by both Anthropic and OpenAI.</w:t>
      </w:r>
    </w:p>
    <w:p>
      <w:pPr>
        <w:pStyle w:val="Heading2"/>
      </w:pPr>
      <w:r>
        <w:t xml:space="preserve">4.3 The x402 Payment Flywheel</w:t>
      </w:r>
    </w:p>
    <w:p>
      <w:pPr>
        <w:spacing w:after="120"/>
      </w:pPr>
      <w:r>
        <w:t xml:space="preserve">The x402 protocol enables HTTP-native micropayments: server responds 402 Payment Required, client pays via USDC on Base, retries. This is already live with Stripe integration and Circle infrastructure (as of February 2026). CoinGecko has deployed x402-powered API endpoints at $0.01 USDC per request. Arkova’s $0.002/call verification pricing fits perfectly into this model—agents can autonomously pay for verification without API keys, subscriptions, or human intervention.</w:t>
      </w:r>
    </w:p>
    <w:p>
      <w:pPr>
        <w:spacing w:after="120"/>
      </w:pPr>
      <w:r>
        <w:t xml:space="preserve">The flywheel economics: anchoring costs Arkova ~$0.002–$0.003 per document (Merkle batched). Verification revenue is $0.002 per call. Break-even requires roughly 1–1.5 verification calls per anchored document. With network effects, high-value documents (financial analyses, legal opinions, compliance reports) should generate multiple verification calls over their lifetime.</w:t>
      </w:r>
    </w:p>
    <w:p>
      <w:pPr>
        <w:pStyle w:val="Heading2"/>
      </w:pPr>
      <w:r>
        <w:t xml:space="preserve">4.4 Market Size and Adoption</w:t>
      </w:r>
    </w:p>
    <w:p>
      <w:pPr>
        <w:spacing w:after="120"/>
      </w:pPr>
      <w:r>
        <w:t xml:space="preserve">The AI agent market is projected at $7.84 billion (2025), growing to $52.62 billion by 2030 at 46.3% CAGR. Gartner predicts 40% of enterprise applications will feature task-specific AI agents by 2026 (up from less than 5% in 2025). Currently, 79% of organizations have adopted AI agents to some extent, but only 2% are at full production scale—meaning the market is at the very beginning of the adoption curve.</w:t>
      </w:r>
    </w:p>
    <w:p>
      <w:pPr>
        <w:spacing w:after="120"/>
      </w:pPr>
      <w:r>
        <w:t xml:space="preserve">The verification gap is real: current AI agent outputs are unverifiable. End users have no way of knowing whether an output came from a particular model, or whether it has been tampered with. Solutions are emerging (SynthID has watermarked 10B+ pieces of content, C2PA is rolling out provenance metadata), but none offer Bitcoin-anchored tamper-evidence with micropayment verification. This is Arkova’s unique position.</w:t>
      </w:r>
    </w:p>
    <w:p>
      <w:pPr>
        <w:pStyle w:val="Heading2"/>
      </w:pPr>
      <w:r>
        <w:t xml:space="preserve">4.5 Technical Implementation</w:t>
      </w:r>
    </w:p>
    <w:p>
      <w:pPr>
        <w:pStyle w:val="ListParagraph"/>
        <w:numPr>
          <w:ilvl w:val="0"/>
          <w:numId w:val="3"/>
        </w:numPr>
        <w:spacing w:after="60"/>
      </w:pPr>
      <w:r>
        <w:rPr>
          <w:rFonts w:ascii="Arial" w:cs="Arial" w:eastAsia="Arial" w:hAnsi="Arial"/>
          <w:b/>
          <w:bCs/>
          <w:sz w:val="22"/>
          <w:szCs w:val="22"/>
        </w:rPr>
        <w:t xml:space="preserve">Phase 1 (weeks 1–4): </w:t>
      </w:r>
      <w:r>
        <w:rPr>
          <w:rFonts w:ascii="Arial" w:cs="Arial" w:eastAsia="Arial" w:hAnsi="Arial"/>
          <w:sz w:val="22"/>
          <w:szCs w:val="22"/>
        </w:rPr>
        <w:t xml:space="preserve">Build Arkova SDK for Python and TypeScript. Single function: arkova.anchor(data) returns receipt. Single function: arkova.verify(data, receipt) returns boolean. x402 payment integration built into the SDK.</w:t>
      </w:r>
    </w:p>
    <w:p>
      <w:pPr>
        <w:pStyle w:val="ListParagraph"/>
        <w:numPr>
          <w:ilvl w:val="0"/>
          <w:numId w:val="3"/>
        </w:numPr>
        <w:spacing w:after="60"/>
      </w:pPr>
      <w:r>
        <w:rPr>
          <w:rFonts w:ascii="Arial" w:cs="Arial" w:eastAsia="Arial" w:hAnsi="Arial"/>
          <w:b/>
          <w:bCs/>
          <w:sz w:val="22"/>
          <w:szCs w:val="22"/>
        </w:rPr>
        <w:t xml:space="preserve">Phase 2 (weeks 4–8): </w:t>
      </w:r>
      <w:r>
        <w:rPr>
          <w:rFonts w:ascii="Arial" w:cs="Arial" w:eastAsia="Arial" w:hAnsi="Arial"/>
          <w:sz w:val="22"/>
          <w:szCs w:val="22"/>
        </w:rPr>
        <w:t xml:space="preserve">Build framework-specific integrations: LangChain middleware, CrewAI tool, Vercel AI SDK middleware, MCP server. Each integration should be installable in under 5 minutes.</w:t>
      </w:r>
    </w:p>
    <w:p>
      <w:pPr>
        <w:pStyle w:val="ListParagraph"/>
        <w:numPr>
          <w:ilvl w:val="0"/>
          <w:numId w:val="3"/>
        </w:numPr>
        <w:spacing w:after="60"/>
      </w:pPr>
      <w:r>
        <w:rPr>
          <w:rFonts w:ascii="Arial" w:cs="Arial" w:eastAsia="Arial" w:hAnsi="Arial"/>
          <w:b/>
          <w:bCs/>
          <w:sz w:val="22"/>
          <w:szCs w:val="22"/>
        </w:rPr>
        <w:t xml:space="preserve">Phase 3 (weeks 8–12): </w:t>
      </w:r>
      <w:r>
        <w:rPr>
          <w:rFonts w:ascii="Arial" w:cs="Arial" w:eastAsia="Arial" w:hAnsi="Arial"/>
          <w:sz w:val="22"/>
          <w:szCs w:val="22"/>
        </w:rPr>
        <w:t xml:space="preserve">Developer relations: documentation, tutorials, GitHub Actions for automated anchoring in CI/CD pipelines, free tier for individual developers.</w:t>
      </w:r>
    </w:p>
    <w:p>
      <w:pPr>
        <w:pStyle w:val="Heading2"/>
      </w:pPr>
      <w:r>
        <w:t xml:space="preserve">4.6 Cost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Cost Category</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 Estimate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SDK development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(founder time)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 weeks initial 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Framework integrations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(founder time)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 weeks per framework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Developer documentation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(founder time)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Ongoing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 tier subsidy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$100–500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 anchoring for early adopters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Infrastructure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$200–500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servers, monitoring</w:t>
            </w:r>
          </w:p>
        </w:tc>
      </w:tr>
    </w:tbl>
    <w:p>
      <w:pPr>
        <w:pStyle w:val="Heading2"/>
      </w:pPr>
      <w:r>
        <w:t xml:space="preserve">4.7 Recommendation</w:t>
      </w:r>
    </w:p>
    <w:p>
      <w:pPr>
        <w:spacing w:after="120"/>
      </w:pPr>
      <w:r/>
      <w:r>
        <w:rPr>
          <w:rFonts w:ascii="Arial" w:cs="Arial" w:eastAsia="Arial" w:hAnsi="Arial"/>
          <w:sz w:val="22"/>
          <w:szCs w:val="22"/>
        </w:rPr>
        <w:t xml:space="preserve">This is the demand-side engine. Without agent-initiated anchoring, the corpus is a static archive. With it, every AI agent becomes both a supplier (anchoring outputs) and a customer (verifying others’ outputs). Build the SDK immediately alongside the public records pipeline. The flywheel is the business.</w:t>
      </w:r>
    </w:p>
    <w:p>
      <w:r>
        <w:br w:type="page"/>
      </w:r>
    </w:p>
    <w:p>
      <w:pPr>
        <w:pStyle w:val="Heading1"/>
      </w:pPr>
      <w:r>
        <w:t xml:space="preserve">5. Notarization-as-a-Service (E-Signature Integration)</w:t>
      </w:r>
    </w:p>
    <w:p>
      <w:pPr>
        <w:spacing w:after="120"/>
      </w:pPr>
      <w:r>
        <w:t xml:space="preserve">E-signature platforms process billions of documents annually. Adding Bitcoin anchoring at the moment of signature completion creates an immutable proof layer that strengthens the legal standing of signed documents. This is a high-value, high-partnership-effort approach.</w:t>
      </w:r>
    </w:p>
    <w:p>
      <w:pPr>
        <w:pStyle w:val="Heading2"/>
      </w:pPr>
      <w:r>
        <w:t xml:space="preserve">5.1 How It Works with Arkova’s Architecture</w:t>
      </w:r>
    </w:p>
    <w:p>
      <w:pPr>
        <w:spacing w:after="120"/>
      </w:pPr>
      <w:r>
        <w:t xml:space="preserve">The flow: (1) Customer signs a document via DocuSign, Adobe Sign, or another platform. (2) Platform fires a webhook event (e.g., DocuSign Connect’s “envelope completed” event). (3) Arkova’s integration service receives the webhook, retrieves the completed document via API, fingerprints it, and anchors to Bitcoin. (4) Arkova returns a verification receipt to the signing platform or stores it for later API access. (5) Any party to the agreement can verify the document’s integrity via Arkova’s verification API.</w:t>
      </w:r>
    </w:p>
    <w:p>
      <w:pPr>
        <w:pStyle w:val="Heading2"/>
      </w:pPr>
      <w:r>
        <w:t xml:space="preserve">5.2 Platform Analysis</w:t>
      </w:r>
    </w:p>
    <w:p>
      <w:pPr>
        <w:pStyle w:val="Heading3"/>
      </w:pPr>
      <w:r>
        <w:t xml:space="preserve">DocuSign</w:t>
      </w:r>
    </w:p>
    <w:p>
      <w:pPr>
        <w:spacing w:after="120"/>
      </w:pPr>
      <w:r>
        <w:t xml:space="preserve">DocuSign holds 67.62% of the e-signature market. Their REST API provides 400+ endpoints with webhook (Connect) support for envelope-level and account-level events. The “envelope completed” event is the key trigger. API pricing ranges from $600/year (Starter, 40 envelopes/month) to $5,760/year (Advanced, 100 envelopes/month + bulk send + webhooks). Rate limits scale from ~1,000 requests/hour (Intermediate) to 10,000 requests/hour (Advanced). DocuSign has an active partner ecosystem (ISV, System Integrator, Referral partners) with complimentary training, certifications, and sandbox access.</w:t>
      </w:r>
    </w:p>
    <w:p>
      <w:pPr>
        <w:pStyle w:val="Heading3"/>
      </w:pPr>
      <w:r>
        <w:t xml:space="preserve">Adobe Acrobat Sign</w:t>
      </w:r>
    </w:p>
    <w:p>
      <w:pPr>
        <w:spacing w:after="120"/>
      </w:pPr>
      <w:r>
        <w:t xml:space="preserve">Adobe holds approximately 20% of the document processing market, with Document Cloud revenue of $3.18 billion in 2024 (18% YoY growth). Webhooks support agreement events, web form events, and bulk operations. Retry strategy uses doubling intervals from 1 minute to 12 hours, with 15 retries over 72 hours. Recent enhancements include an AI Assistant for document analysis.</w:t>
      </w:r>
    </w:p>
    <w:p>
      <w:pPr>
        <w:pStyle w:val="Heading3"/>
      </w:pPr>
      <w:r>
        <w:t xml:space="preserve">Dropbox Sign and PandaDoc</w:t>
      </w:r>
    </w:p>
    <w:p>
      <w:pPr>
        <w:spacing w:after="120"/>
      </w:pPr>
      <w:r>
        <w:t xml:space="preserve">Dropbox Sign (formerly HelloSign) offers embedded signing, real-time webhook notifications, and API plans from $75/month (50 requests) to custom enterprise pricing. PandaDoc has reached $100M ARR with 56,000+ customers, offering webhooks for document opened, signed, and payment events. Both are smaller targets but more likely to partner with startups.</w:t>
      </w:r>
    </w:p>
    <w:p>
      <w:pPr>
        <w:pStyle w:val="Heading2"/>
      </w:pPr>
      <w:r>
        <w:t xml:space="preserve">5.3 Legal Value of Blockchain Timestamps</w:t>
      </w:r>
    </w:p>
    <w:p>
      <w:pPr>
        <w:spacing w:after="120"/>
      </w:pPr>
      <w:r>
        <w:t xml:space="preserve">The legal precedents are increasingly favorable. In Roman Sterlingov (March 2024), the U.S. District Court ruled blockchain analytics reliable and admissible as substantive evidence. In March 2025, the Marseille Judicial Court recognized blockchain timestamps as legitimate evidence of prior existence and ownership in a copyright case—a landmark EU decision. Vermont and Arizona have enacted statutes recognizing blockchain-recorded data as business records. Nebraska explicitly recognizes blockchain-created contracts as electronic records under UETA.</w:t>
      </w:r>
    </w:p>
    <w:p>
      <w:pPr>
        <w:spacing w:after="120"/>
      </w:pPr>
      <w:r>
        <w:t xml:space="preserve">The ESIGN Act and UETA are technology-neutral: they define e-signatures broadly as any electronic sound, symbol, or process associated with a record. Bitcoin anchoring meets these requirements through immutable records, cryptographic security, and transparent verification. Under eIDAS (EU), blockchain timestamps compete with qualified timestamps for proof-of-existence—the European Blockchain Services Infrastructure (EBSI) is being developed for eIDAS compliance.</w:t>
      </w:r>
    </w:p>
    <w:p>
      <w:pPr>
        <w:pStyle w:val="Heading2"/>
      </w:pPr>
      <w:r>
        <w:t xml:space="preserve">5.4 Competitive Landscape</w:t>
      </w:r>
    </w:p>
    <w:p>
      <w:pPr>
        <w:spacing w:after="120"/>
      </w:pPr>
      <w:r>
        <w:t xml:space="preserve">Zoho Sign already integrates OpenTimestamps with Bitcoin blockchain for document timestamping. DoxyChain claims eIDAS, GDPR, and Durable Medium Directive compliance with blockchain-based e-signatures. OpenSig anchors proofs to Polygon (Ethereum L2). Namirial Sign and eSignly also offer blockchain integration. Industry-wide, blockchain e-signature adoption has grown 35% year-over-year.</w:t>
      </w:r>
    </w:p>
    <w:p>
      <w:pPr>
        <w:spacing w:after="120"/>
      </w:pPr>
      <w:r/>
      <w:r>
        <w:rPr>
          <w:rFonts w:ascii="Arial" w:cs="Arial" w:eastAsia="Arial" w:hAnsi="Arial"/>
          <w:sz w:val="22"/>
          <w:szCs w:val="22"/>
        </w:rPr>
        <w:t xml:space="preserve">Most competitors use private or permissioned blockchains. Arkova’s Bitcoin-only approach provides the strongest immutability guarantee (Bitcoin’s hashrate and 15+ year track record). The verification API is agent-native via x402, enabling automated compliance checking at scale—no competitor offers this.</w:t>
      </w:r>
    </w:p>
    <w:p>
      <w:pPr>
        <w:pStyle w:val="Heading2"/>
      </w:pPr>
      <w:r>
        <w:t xml:space="preserve">5.5 Market Size</w:t>
      </w:r>
    </w:p>
    <w:p>
      <w:pPr>
        <w:spacing w:after="120"/>
      </w:pPr>
      <w:r>
        <w:t xml:space="preserve">The e-signature market is valued at $7.04–$14.7 billion (2025), growing at 28–40.5% CAGR to $24.5–$51.16 billion by 2030. Mobile-based signature transactions are projected at 75.44 billion in 2025. North America represents 32.48% of the market.</w:t>
      </w:r>
    </w:p>
    <w:p>
      <w:pPr>
        <w:pStyle w:val="Heading2"/>
      </w:pPr>
      <w:r>
        <w:t xml:space="preserve">5.6 Recommendation</w:t>
      </w:r>
    </w:p>
    <w:p>
      <w:pPr>
        <w:spacing w:after="120"/>
      </w:pPr>
      <w:r/>
      <w:r>
        <w:rPr>
          <w:rFonts w:ascii="Arial" w:cs="Arial" w:eastAsia="Arial" w:hAnsi="Arial"/>
          <w:sz w:val="22"/>
          <w:szCs w:val="22"/>
        </w:rPr>
        <w:t xml:space="preserve">The per-document value is the highest of any approach (legal documents, contracts, agreements), but partnership development with DocuSign or Adobe is a 6–12 month process. Start with smaller platforms (Dropbox Sign, PandaDoc) as proof of concept, then pursue DocuSign partnership with traction data. The legal precedent trajectory is strongly favorable.</w:t>
      </w:r>
    </w:p>
    <w:p>
      <w:r>
        <w:br w:type="page"/>
      </w:r>
    </w:p>
    <w:p>
      <w:pPr>
        <w:pStyle w:val="Heading1"/>
      </w:pPr>
      <w:r>
        <w:t xml:space="preserve">6. Developer/OSS Supply Chain Integrity</w:t>
      </w:r>
    </w:p>
    <w:p>
      <w:pPr>
        <w:spacing w:after="120"/>
      </w:pPr>
      <w:r>
        <w:t xml:space="preserve">Software supply chain attacks have surged 742% since 2020. In September 2025, 18 popular npm packages (including chalk, debug, ansi-styles) with 2.6 billion weekly downloads were compromised. In November 2025, the Shai-Hulud 2.0 attack hit 796 packages with 20M+ weekly downloads. The market for supply chain security is $5.53 billion (2025), growing to $10.10 billion by 2030. Bitcoin-anchored verification of software artifacts addresses a real and growing pain point.</w:t>
      </w:r>
    </w:p>
    <w:p>
      <w:pPr>
        <w:pStyle w:val="Heading2"/>
      </w:pPr>
      <w:r>
        <w:t xml:space="preserve">6.1 How It Works with Arkova’s Architecture</w:t>
      </w:r>
    </w:p>
    <w:p>
      <w:pPr>
        <w:spacing w:after="120"/>
      </w:pPr>
      <w:r>
        <w:t xml:space="preserve">The approach is to complement, not compete with, existing tools. Sigstore provides ephemeral signing. SLSA provides build provenance levels. in-toto provides attestation chains. Arkova adds an immutability layer: anchor Sigstore entries, SLSA provenance, SBOMs, git commits, and package hashes to Bitcoin. This creates proof that a specific software artifact existed in a specific state at a specific time, independently verifiable without trusting any single infrastructure operator.</w:t>
      </w:r>
    </w:p>
    <w:p>
      <w:pPr>
        <w:pStyle w:val="Heading2"/>
      </w:pPr>
      <w:r>
        <w:t xml:space="preserve">6.2 Integration with Existing Ecosystem</w:t>
      </w:r>
    </w:p>
    <w:p>
      <w:pPr>
        <w:pStyle w:val="Heading3"/>
      </w:pPr>
      <w:r>
        <w:t xml:space="preserve">Sigstore</w:t>
      </w:r>
    </w:p>
    <w:p>
      <w:pPr>
        <w:spacing w:after="120"/>
      </w:pPr>
      <w:r>
        <w:t xml:space="preserve">Sigstore has logged 2.2M+ signatures across critical infrastructure (Kubernetes, Distroless). Its Rekor transparency log is transitioning to a v2 tile-backed architecture. npm has 16,000+ packages publishing with Sigstore provenance (500M+ downloads). However, Rekor entries depend on hosted infrastructure—if Rekor’s operator changes policies or goes offline, historical proofs are at risk. Bitcoin anchoring of Rekor entries provides permanence independent of infrastructure lifecycle.</w:t>
      </w:r>
    </w:p>
    <w:p>
      <w:pPr>
        <w:pStyle w:val="Heading3"/>
      </w:pPr>
      <w:r>
        <w:t xml:space="preserve">SLSA and in-toto</w:t>
      </w:r>
    </w:p>
    <w:p>
      <w:pPr>
        <w:spacing w:after="120"/>
      </w:pPr>
      <w:r>
        <w:t xml:space="preserve">SLSA defines four levels of supply chain security, from basic provenance (L1) to full hermeticity with two-person review (L4). Enterprise adoption is accelerating due to the EU Cyber Resilience Act and U.S. SSDF requirements. in-toto graduated to CNCF in April 2025, used by SolarWinds and Autodesk. Arkova can anchor SLSA provenance attestations and in-toto link metadata to Bitcoin, providing immutable compliance proof.</w:t>
      </w:r>
    </w:p>
    <w:p>
      <w:pPr>
        <w:pStyle w:val="Heading3"/>
      </w:pPr>
      <w:r>
        <w:t xml:space="preserve">SBOMs</w:t>
      </w:r>
    </w:p>
    <w:p>
      <w:pPr>
        <w:spacing w:after="120"/>
      </w:pPr>
      <w:r>
        <w:t xml:space="preserve">The SBOM market is $1.318 billion (2025), growing at 24% CAGR to $6.05 billion by 2030. 60–76% of enterprises now require SBOMs from suppliers. Executive Order 14028 mandates SBOMs for federal procurement. Both SPDX (ISO standard) and CycloneDX (ECMA standard) are supported. Bitcoin-anchored SBOMs provide immutable proof of regulatory compliance at release time.</w:t>
      </w:r>
    </w:p>
    <w:p>
      <w:pPr>
        <w:pStyle w:val="Heading2"/>
      </w:pPr>
      <w:r>
        <w:t xml:space="preserve">6.3 Technical Implementation</w:t>
      </w:r>
    </w:p>
    <w:p>
      <w:pPr>
        <w:pStyle w:val="ListParagraph"/>
        <w:numPr>
          <w:ilvl w:val="0"/>
          <w:numId w:val="4"/>
        </w:numPr>
        <w:spacing w:after="60"/>
      </w:pPr>
      <w:r>
        <w:rPr>
          <w:rFonts w:ascii="Arial" w:cs="Arial" w:eastAsia="Arial" w:hAnsi="Arial"/>
          <w:b/>
          <w:bCs/>
          <w:sz w:val="22"/>
          <w:szCs w:val="22"/>
        </w:rPr>
        <w:t xml:space="preserve">GitHub Action: </w:t>
      </w:r>
      <w:r>
        <w:rPr>
          <w:rFonts w:ascii="Arial" w:cs="Arial" w:eastAsia="Arial" w:hAnsi="Arial"/>
          <w:sz w:val="22"/>
          <w:szCs w:val="22"/>
        </w:rPr>
        <w:t xml:space="preserve">Build a GitHub Action that anchors build artifacts, SLSA provenance, and SBOMs to Bitcoin after every CI/CD run. Target: GitHub Actions marketplace (20,000+ Actions, 5M+ daily workflow runs, 33% developer adoption).</w:t>
      </w:r>
    </w:p>
    <w:p>
      <w:pPr>
        <w:pStyle w:val="ListParagraph"/>
        <w:numPr>
          <w:ilvl w:val="0"/>
          <w:numId w:val="4"/>
        </w:numPr>
        <w:spacing w:after="60"/>
      </w:pPr>
      <w:r>
        <w:rPr>
          <w:rFonts w:ascii="Arial" w:cs="Arial" w:eastAsia="Arial" w:hAnsi="Arial"/>
          <w:b/>
          <w:bCs/>
          <w:sz w:val="22"/>
          <w:szCs w:val="22"/>
        </w:rPr>
        <w:t xml:space="preserve">npm Hook: </w:t>
      </w:r>
      <w:r>
        <w:rPr>
          <w:rFonts w:ascii="Arial" w:cs="Arial" w:eastAsia="Arial" w:hAnsi="Arial"/>
          <w:sz w:val="22"/>
          <w:szCs w:val="22"/>
        </w:rPr>
        <w:t xml:space="preserve">Post-publish hook that automatically anchors package hashes. Targets npm’s 746K+ packages.</w:t>
      </w:r>
    </w:p>
    <w:p>
      <w:pPr>
        <w:pStyle w:val="ListParagraph"/>
        <w:numPr>
          <w:ilvl w:val="0"/>
          <w:numId w:val="4"/>
        </w:numPr>
        <w:spacing w:after="60"/>
      </w:pPr>
      <w:r>
        <w:rPr>
          <w:rFonts w:ascii="Arial" w:cs="Arial" w:eastAsia="Arial" w:hAnsi="Arial"/>
          <w:b/>
          <w:bCs/>
          <w:sz w:val="22"/>
          <w:szCs w:val="22"/>
        </w:rPr>
        <w:t xml:space="preserve">Docker Integration: </w:t>
      </w:r>
      <w:r>
        <w:rPr>
          <w:rFonts w:ascii="Arial" w:cs="Arial" w:eastAsia="Arial" w:hAnsi="Arial"/>
          <w:sz w:val="22"/>
          <w:szCs w:val="22"/>
        </w:rPr>
        <w:t xml:space="preserve">Anchor image digests at build/push time. Docker Content Trust was deprecated March 2025—the Notary Project is the successor, and Arkova can complement it.</w:t>
      </w:r>
    </w:p>
    <w:p>
      <w:pPr>
        <w:pStyle w:val="ListParagraph"/>
        <w:numPr>
          <w:ilvl w:val="0"/>
          <w:numId w:val="4"/>
        </w:numPr>
        <w:spacing w:after="60"/>
      </w:pPr>
      <w:r>
        <w:rPr>
          <w:rFonts w:ascii="Arial" w:cs="Arial" w:eastAsia="Arial" w:hAnsi="Arial"/>
          <w:b/>
          <w:bCs/>
          <w:sz w:val="22"/>
          <w:szCs w:val="22"/>
        </w:rPr>
        <w:t xml:space="preserve">Git Signing: </w:t>
      </w:r>
      <w:r>
        <w:rPr>
          <w:rFonts w:ascii="Arial" w:cs="Arial" w:eastAsia="Arial" w:hAnsi="Arial"/>
          <w:sz w:val="22"/>
          <w:szCs w:val="22"/>
        </w:rPr>
        <w:t xml:space="preserve">Only 9.65% of GitHub commits are signed. Arkova could offer a lightweight alternative: anchor commit hashes to Bitcoin without requiring GPG/SSH key management.</w:t>
      </w:r>
    </w:p>
    <w:p>
      <w:pPr>
        <w:pStyle w:val="Heading2"/>
      </w:pPr>
      <w:r>
        <w:t xml:space="preserve">6.4 Go-to-Market: Free Tier as Community Building</w:t>
      </w:r>
    </w:p>
    <w:p>
      <w:pPr>
        <w:spacing w:after="120"/>
      </w:pPr>
      <w:r>
        <w:t xml:space="preserve">Offer free anchoring for open-source projects (verified by GitHub repository visibility). This builds the corpus, creates developer goodwill, and generates word-of-mouth. Monetize through (a) paid tiers for private repositories, (b) enterprise verification API access, and (c) compliance reporting for SBOM verification.</w:t>
      </w:r>
    </w:p>
    <w:p>
      <w:pPr>
        <w:pStyle w:val="Heading2"/>
      </w:pPr>
      <w:r>
        <w:t xml:space="preserve">6.5 Recommendation</w:t>
      </w:r>
    </w:p>
    <w:p>
      <w:pPr>
        <w:spacing w:after="120"/>
      </w:pPr>
      <w:r/>
      <w:r>
        <w:rPr>
          <w:rFonts w:ascii="Arial" w:cs="Arial" w:eastAsia="Arial" w:hAnsi="Arial"/>
          <w:sz w:val="22"/>
          <w:szCs w:val="22"/>
        </w:rPr>
        <w:t xml:space="preserve">The supply chain security market is large, growing, and pain-driven (real attacks, regulatory mandates). A GitHub Action is a low-effort, high-distribution mechanism. The free tier for OSS projects builds corpus and community simultaneously. Start with the GitHub Action after the SDK (Priority 2) is ready.</w:t>
      </w:r>
    </w:p>
    <w:p>
      <w:r>
        <w:br w:type="page"/>
      </w:r>
    </w:p>
    <w:p>
      <w:pPr>
        <w:pStyle w:val="Heading1"/>
      </w:pPr>
      <w:r>
        <w:t xml:space="preserve">7. News/Media Verification</w:t>
      </w:r>
    </w:p>
    <w:p>
      <w:pPr>
        <w:spacing w:after="120"/>
      </w:pPr>
      <w:r>
        <w:t xml:space="preserve">The deepfake crisis is accelerating: deepfake content surged from 500,000 files (2023) to 8 million (2025)—a 1,600% increase. Europol estimates 90% of online content may be synthetically generated by 2026. The content verification market is valued at $1.63 billion (2025), projected to reach $5.12 billion by 2030 at 25.6% CAGR. Bitcoin-anchored news verification addresses an acute and growing societal need.</w:t>
      </w:r>
    </w:p>
    <w:p>
      <w:pPr>
        <w:pStyle w:val="Heading2"/>
      </w:pPr>
      <w:r>
        <w:t xml:space="preserve">7.1 How It Works with Arkova’s Architecture</w:t>
      </w:r>
    </w:p>
    <w:p>
      <w:pPr>
        <w:spacing w:after="120"/>
      </w:pPr>
      <w:r>
        <w:t xml:space="preserve">The flow: (1) News organization publishes an article via their CMS (WordPress, Drupal, or custom). (2) A CMS plugin generates a C2PA manifest containing article metadata (IPTC standards: headline, byline, dateline, etc.). (3) Arkova fingerprints the C2PA manifest and anchors to Bitcoin. (4) The article is published with both the C2PA manifest and the Bitcoin anchor proof. (5) Fact-checkers, social platforms, or AI training pipelines can verify article authenticity via Arkova’s API: confirm this article existed in this exact form at time X per Bitcoin block Y.</w:t>
      </w:r>
    </w:p>
    <w:p>
      <w:pPr>
        <w:pStyle w:val="Heading2"/>
      </w:pPr>
      <w:r>
        <w:t xml:space="preserve">7.2 C2PA Integration</w:t>
      </w:r>
    </w:p>
    <w:p>
      <w:pPr>
        <w:spacing w:after="120"/>
      </w:pPr>
      <w:r>
        <w:t xml:space="preserve">C2PA (version 2.2, released May 2025) is the open standard for content provenance. The steering committee includes Adobe, Amazon, BBC, Google, Meta, Microsoft, OpenAI, and Sony. The Content Authenticity Initiative (CAI) has grown to 6,000+ members. However, actual deployment on news content remains minimal despite institutional commitment. Technical integration is ready: WordPress has an IPTC-developed C2PA plugin (2025), and Drupal has a C2PA Sign module supporting signing on upload and publication.</w:t>
      </w:r>
    </w:p>
    <w:p>
      <w:pPr>
        <w:spacing w:after="120"/>
      </w:pPr>
      <w:r/>
      <w:r>
        <w:rPr>
          <w:rFonts w:ascii="Arial" w:cs="Arial" w:eastAsia="Arial" w:hAnsi="Arial"/>
          <w:sz w:val="22"/>
          <w:szCs w:val="22"/>
        </w:rPr>
        <w:t xml:space="preserve">C2PA provides provenance metadata with fast offline verification. Bitcoin provides immutable public timestamping with independent verification. The combination is powerful: C2PA for speed and interoperability, Bitcoin for trust and permanence. Arkova bridges the two.</w:t>
      </w:r>
    </w:p>
    <w:p>
      <w:pPr>
        <w:pStyle w:val="Heading2"/>
      </w:pPr>
      <w:r>
        <w:t xml:space="preserve">7.3 News Organization Initiatives</w:t>
      </w:r>
    </w:p>
    <w:p>
      <w:pPr>
        <w:spacing w:after="120"/>
      </w:pPr>
      <w:r>
        <w:t xml:space="preserve">The Associated Press partnered with blockchain startup Civil in 2018 for content licensing tracking. The New York Times’ News Provenance Project built a blockchain prototype for photo verification, storing metadata on-chain. Reuters runs a fact-checking team (IFCN signatory) focused on multimedia manipulation detection. The News/Media Alliance has released AI Principles and an AI Licensing Program with 50% revenue share models. Industry context: 50–70% of published content is republished without credit or compensation.</w:t>
      </w:r>
    </w:p>
    <w:p>
      <w:pPr>
        <w:pStyle w:val="Heading2"/>
      </w:pPr>
      <w:r>
        <w:t xml:space="preserve">7.4 Regulatory Tailwinds</w:t>
      </w:r>
    </w:p>
    <w:p>
      <w:pPr>
        <w:spacing w:after="120"/>
      </w:pPr>
      <w:r>
        <w:t xml:space="preserve">The EU AI Act (effective August 2026) requires providers of AI-generated content to disclose this fact, implement machine-readable marking, and provide free detection mechanisms. California’s AI Transparency Act (SB 942, effective August 2026) mandates disclosure for AI systems with 1M+ monthly visitors, with penalties of $5,000 per violation per day. 12+ U.S. states have enacted political content AI disclosure requirements. These regulations create direct demand for content provenance infrastructure.</w:t>
      </w:r>
    </w:p>
    <w:p>
      <w:pPr>
        <w:pStyle w:val="Heading2"/>
      </w:pPr>
      <w:r>
        <w:t xml:space="preserve">7.5 Cost and Revenue Model</w:t>
      </w:r>
    </w:p>
    <w:p>
      <w:pPr>
        <w:spacing w:after="120"/>
      </w:pPr>
      <w:r>
        <w:t xml:space="preserve">Partnership development is the primary cost—technical integration is lightweight (CMS plugin + Arkova SDK). Revenue streams: (a) Verification API calls from fact-checkers and social platforms ($0.002–$0.01/call), (b) Premium API tier for AI training pipeline verification (proving training data provenance), (c) Enterprise contracts with news organizations for branded verification badges. The deepfake crisis creates urgency: $1.1 billion in U.S. deepfake fraud losses in 2025, tripled from 2024.</w:t>
      </w:r>
    </w:p>
    <w:p>
      <w:pPr>
        <w:pStyle w:val="Heading2"/>
      </w:pPr>
      <w:r>
        <w:t xml:space="preserve">7.6 Recommendation</w:t>
      </w:r>
    </w:p>
    <w:p>
      <w:pPr>
        <w:spacing w:after="120"/>
      </w:pPr>
      <w:r/>
      <w:r>
        <w:rPr>
          <w:rFonts w:ascii="Arial" w:cs="Arial" w:eastAsia="Arial" w:hAnsi="Arial"/>
          <w:sz w:val="22"/>
          <w:szCs w:val="22"/>
        </w:rPr>
        <w:t xml:space="preserve">The strategic value is enormous—content provenance is becoming a societal imperative. But news organization partnerships are slow and require trust-building. Start by anchoring RSS feeds of major news sites (no partnership required) to build a proof-of-concept corpus. Then approach individual news organizations with traction data. The C2PA integration is technically ready; the bottleneck is partnership development.</w:t>
      </w:r>
    </w:p>
    <w:p>
      <w:r>
        <w:br w:type="page"/>
      </w:r>
    </w:p>
    <w:p>
      <w:pPr>
        <w:pStyle w:val="Heading1"/>
      </w:pPr>
      <w:r>
        <w:t xml:space="preserve">8. Comparative Analysis</w:t>
      </w:r>
    </w:p>
    <w:p>
      <w:pPr>
        <w:pStyle w:val="Heading2"/>
      </w:pPr>
      <w:r>
        <w:t xml:space="preserve">8.1 Side-by-Side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1050"/>
        <w:gridCol w:w="1200"/>
        <w:gridCol w:w="1050"/>
        <w:gridCol w:w="1050"/>
        <w:gridCol w:w="141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Public Records</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Web Archive</w:t>
            </w:r>
          </w:p>
        </w:tc>
        <w:tc>
          <w:tcPr>
            <w:tcW w:type="dxa" w:w="10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Open Data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 Anchoring</w:t>
            </w:r>
          </w:p>
        </w:tc>
        <w:tc>
          <w:tcPr>
            <w:tcW w:type="dxa" w:w="10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E-Signature</w:t>
            </w:r>
          </w:p>
        </w:tc>
        <w:tc>
          <w:tcPr>
            <w:tcW w:type="dxa" w:w="10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Dev/OSS</w:t>
            </w:r>
          </w:p>
        </w:tc>
        <w:tc>
          <w:tcPr>
            <w:tcW w:type="dxa" w:w="14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News/Media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 to 1M docs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days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 months</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months</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months</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months</w:t>
            </w:r>
          </w:p>
        </w:tc>
        <w:tc>
          <w:tcPr>
            <w:tcW w:type="dxa" w:w="14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months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Engineering effort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 weeks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6–8 weeks</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weeks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8–12 weeks</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4–6 weeks</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4–6 weeks</w:t>
            </w:r>
          </w:p>
        </w:tc>
        <w:tc>
          <w:tcPr>
            <w:tcW w:type="dxa" w:w="14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4–6 weeks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Monthly opex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$150–400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$300–800</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$300–1,000</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$200–500</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$200–500</w:t>
            </w:r>
          </w:p>
        </w:tc>
        <w:tc>
          <w:tcPr>
            <w:tcW w:type="dxa" w:w="14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$200–500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Legal risk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Low–Medium</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14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Partnership needed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Helpful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Helpful</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Helpful</w:t>
            </w:r>
          </w:p>
        </w:tc>
        <w:tc>
          <w:tcPr>
            <w:tcW w:type="dxa" w:w="14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Verification value/doc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High</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4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Network effects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Weak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Weak</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Strong</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Strong</w:t>
            </w:r>
          </w:p>
        </w:tc>
        <w:tc>
          <w:tcPr>
            <w:tcW w:type="dxa" w:w="14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Strategic moat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Corpus size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Coverage</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Credibility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Flywheel</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Partnerships</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w:t>
            </w:r>
          </w:p>
        </w:tc>
        <w:tc>
          <w:tcPr>
            <w:tcW w:type="dxa" w:w="14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Trust</w:t>
            </w:r>
          </w:p>
        </w:tc>
      </w:tr>
    </w:tbl>
    <w:p>
      <w:pPr>
        <w:spacing w:after="120"/>
      </w:pPr>
      <w:r>
        <w:t xml:space="preserve">*Open Data reaches 1M by metadata-only anchoring of existing academic databases. Full-text anchoring takes longer.</w:t>
      </w:r>
    </w:p>
    <w:p>
      <w:pPr>
        <w:pStyle w:val="Heading2"/>
      </w:pPr>
      <w:r>
        <w:t xml:space="preserve">8.2 Recommended Phasing</w:t>
      </w:r>
    </w:p>
    <w:p>
      <w:pPr>
        <w:pStyle w:val="Heading3"/>
      </w:pPr>
      <w:r>
        <w:t xml:space="preserve">Wave 1: Months 1–3 (Foundation)</w:t>
      </w:r>
    </w:p>
    <w:p>
      <w:pPr>
        <w:pStyle w:val="ListParagraph"/>
        <w:numPr>
          <w:ilvl w:val="0"/>
          <w:numId w:val="5"/>
        </w:numPr>
        <w:spacing w:after="60"/>
      </w:pPr>
      <w:r>
        <w:rPr>
          <w:rFonts w:ascii="Arial" w:cs="Arial" w:eastAsia="Arial" w:hAnsi="Arial"/>
          <w:b/>
          <w:bCs/>
          <w:sz w:val="22"/>
          <w:szCs w:val="22"/>
        </w:rPr>
        <w:t xml:space="preserve">Public Records Anchoring: </w:t>
      </w:r>
      <w:r>
        <w:rPr>
          <w:rFonts w:ascii="Arial" w:cs="Arial" w:eastAsia="Arial" w:hAnsi="Arial"/>
          <w:sz w:val="22"/>
          <w:szCs w:val="22"/>
        </w:rPr>
        <w:t xml:space="preserve">Immediate start. EDGAR + USPTO + Federal Register. Target: 1M documents in 90 days. Cost: $150–400/month.</w:t>
      </w:r>
    </w:p>
    <w:p>
      <w:pPr>
        <w:pStyle w:val="ListParagraph"/>
        <w:numPr>
          <w:ilvl w:val="0"/>
          <w:numId w:val="5"/>
        </w:numPr>
        <w:spacing w:after="60"/>
      </w:pPr>
      <w:r>
        <w:rPr>
          <w:rFonts w:ascii="Arial" w:cs="Arial" w:eastAsia="Arial" w:hAnsi="Arial"/>
          <w:b/>
          <w:bCs/>
          <w:sz w:val="22"/>
          <w:szCs w:val="22"/>
        </w:rPr>
        <w:t xml:space="preserve">Agent-Initiated Anchoring SDK: </w:t>
      </w:r>
      <w:r>
        <w:rPr>
          <w:rFonts w:ascii="Arial" w:cs="Arial" w:eastAsia="Arial" w:hAnsi="Arial"/>
          <w:sz w:val="22"/>
          <w:szCs w:val="22"/>
        </w:rPr>
        <w:t xml:space="preserve">Parallel build. Python + TypeScript SDK with x402 integration. Ship to early adopter agents by month 3.</w:t>
      </w:r>
    </w:p>
    <w:p>
      <w:pPr>
        <w:spacing w:after="200"/>
      </w:pPr>
    </w:p>
    <w:p>
      <w:pPr>
        <w:pStyle w:val="Heading3"/>
      </w:pPr>
      <w:r>
        <w:t xml:space="preserve">Wave 2: Months 3–6 (Expansion)</w:t>
      </w:r>
    </w:p>
    <w:p>
      <w:pPr>
        <w:pStyle w:val="ListParagraph"/>
        <w:numPr>
          <w:ilvl w:val="0"/>
          <w:numId w:val="5"/>
        </w:numPr>
        <w:spacing w:after="60"/>
      </w:pPr>
      <w:r>
        <w:rPr>
          <w:rFonts w:ascii="Arial" w:cs="Arial" w:eastAsia="Arial" w:hAnsi="Arial"/>
          <w:b/>
          <w:bCs/>
          <w:sz w:val="22"/>
          <w:szCs w:val="22"/>
        </w:rPr>
        <w:t xml:space="preserve">Open Data Partnerships: </w:t>
      </w:r>
      <w:r>
        <w:rPr>
          <w:rFonts w:ascii="Arial" w:cs="Arial" w:eastAsia="Arial" w:hAnsi="Arial"/>
          <w:sz w:val="22"/>
          <w:szCs w:val="22"/>
        </w:rPr>
        <w:t xml:space="preserve">Bulk-download OpenAlex (no partnership needed). Initiate Crossref partnership discussions. Target: 500M metadata records.</w:t>
      </w:r>
    </w:p>
    <w:p>
      <w:pPr>
        <w:pStyle w:val="ListParagraph"/>
        <w:numPr>
          <w:ilvl w:val="0"/>
          <w:numId w:val="5"/>
        </w:numPr>
        <w:spacing w:after="60"/>
      </w:pPr>
      <w:r>
        <w:rPr>
          <w:rFonts w:ascii="Arial" w:cs="Arial" w:eastAsia="Arial" w:hAnsi="Arial"/>
          <w:b/>
          <w:bCs/>
          <w:sz w:val="22"/>
          <w:szCs w:val="22"/>
        </w:rPr>
        <w:t xml:space="preserve">Developer/OSS Supply Chain: </w:t>
      </w:r>
      <w:r>
        <w:rPr>
          <w:rFonts w:ascii="Arial" w:cs="Arial" w:eastAsia="Arial" w:hAnsi="Arial"/>
          <w:sz w:val="22"/>
          <w:szCs w:val="22"/>
        </w:rPr>
        <w:t xml:space="preserve">GitHub Action for build artifact anchoring. Free tier for OSS. Target: 1,000+ repositories.</w:t>
      </w:r>
    </w:p>
    <w:p>
      <w:pPr>
        <w:spacing w:after="200"/>
      </w:pPr>
    </w:p>
    <w:p>
      <w:pPr>
        <w:pStyle w:val="Heading3"/>
      </w:pPr>
      <w:r>
        <w:t xml:space="preserve">Wave 3: Months 6–12 (Partnership-Driven)</w:t>
      </w:r>
    </w:p>
    <w:p>
      <w:pPr>
        <w:pStyle w:val="ListParagraph"/>
        <w:numPr>
          <w:ilvl w:val="0"/>
          <w:numId w:val="5"/>
        </w:numPr>
        <w:spacing w:after="60"/>
      </w:pPr>
      <w:r>
        <w:rPr>
          <w:rFonts w:ascii="Arial" w:cs="Arial" w:eastAsia="Arial" w:hAnsi="Arial"/>
          <w:b/>
          <w:bCs/>
          <w:sz w:val="22"/>
          <w:szCs w:val="22"/>
        </w:rPr>
        <w:t xml:space="preserve">E-Signature Integration: </w:t>
      </w:r>
      <w:r>
        <w:rPr>
          <w:rFonts w:ascii="Arial" w:cs="Arial" w:eastAsia="Arial" w:hAnsi="Arial"/>
          <w:sz w:val="22"/>
          <w:szCs w:val="22"/>
        </w:rPr>
        <w:t xml:space="preserve">Start with Dropbox Sign/PandaDoc POC. Pursue DocuSign ISV partnership with traction data.</w:t>
      </w:r>
    </w:p>
    <w:p>
      <w:pPr>
        <w:pStyle w:val="ListParagraph"/>
        <w:numPr>
          <w:ilvl w:val="0"/>
          <w:numId w:val="5"/>
        </w:numPr>
        <w:spacing w:after="60"/>
      </w:pPr>
      <w:r>
        <w:rPr>
          <w:rFonts w:ascii="Arial" w:cs="Arial" w:eastAsia="Arial" w:hAnsi="Arial"/>
          <w:b/>
          <w:bCs/>
          <w:sz w:val="22"/>
          <w:szCs w:val="22"/>
        </w:rPr>
        <w:t xml:space="preserve">News/Media Verification: </w:t>
      </w:r>
      <w:r>
        <w:rPr>
          <w:rFonts w:ascii="Arial" w:cs="Arial" w:eastAsia="Arial" w:hAnsi="Arial"/>
          <w:sz w:val="22"/>
          <w:szCs w:val="22"/>
        </w:rPr>
        <w:t xml:space="preserve">Begin with RSS-based proof-of-concept. Pursue C2PA integration and news organization partnerships.</w:t>
      </w:r>
    </w:p>
    <w:p>
      <w:pPr>
        <w:pStyle w:val="ListParagraph"/>
        <w:numPr>
          <w:ilvl w:val="0"/>
          <w:numId w:val="5"/>
        </w:numPr>
        <w:spacing w:after="60"/>
      </w:pPr>
      <w:r>
        <w:rPr>
          <w:rFonts w:ascii="Arial" w:cs="Arial" w:eastAsia="Arial" w:hAnsi="Arial"/>
          <w:b/>
          <w:bCs/>
          <w:sz w:val="22"/>
          <w:szCs w:val="22"/>
        </w:rPr>
        <w:t xml:space="preserve">Web Archiving: </w:t>
      </w:r>
      <w:r>
        <w:rPr>
          <w:rFonts w:ascii="Arial" w:cs="Arial" w:eastAsia="Arial" w:hAnsi="Arial"/>
          <w:sz w:val="22"/>
          <w:szCs w:val="22"/>
        </w:rPr>
        <w:t xml:space="preserve">Background capability throughout. Solve DOM canonicalization. Deploy for legal/compliance use cases.</w:t>
      </w:r>
    </w:p>
    <w:p>
      <w:r>
        <w:br w:type="page"/>
      </w:r>
    </w:p>
    <w:p>
      <w:pPr>
        <w:pStyle w:val="Heading1"/>
      </w:pPr>
      <w:r>
        <w:t xml:space="preserve">9. Combined Financial Model</w:t>
      </w:r>
    </w:p>
    <w:p>
      <w:pPr>
        <w:pStyle w:val="Heading2"/>
      </w:pPr>
      <w:r>
        <w:t xml:space="preserve">9.1 Cost to Build Corpus (12-Month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Quarter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Anchoring Costs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Infrastructure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Total Monthly</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Cumulative Corpus Size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Q1 (Mo 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$500/mo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1.5M documents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Q2 (Mo 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$1,100/mo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5M documents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Q3 (Mo 7–9)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$1,600/mo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8M documents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Q4 (Mo 10–12)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$2,000/mo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12M+ documents</w:t>
            </w:r>
          </w:p>
        </w:tc>
      </w:tr>
    </w:tbl>
    <w:p>
      <w:pPr>
        <w:spacing w:after="120"/>
      </w:pPr>
      <w:r>
        <w:t xml:space="preserve">Total 12-month corpus-building cost: approximately $15,600. This assumes Merkle tree batching at 10,000–100,000 documents per Bitcoin transaction, aggressive use of free government and open data sources, and founder engineering time (not costed).</w:t>
      </w:r>
    </w:p>
    <w:p>
      <w:pPr>
        <w:pStyle w:val="Heading2"/>
      </w:pPr>
      <w:r>
        <w:t xml:space="preserve">9.2 Revenue Projections (12-Month)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2000"/>
        <w:gridCol w:w="18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Quarter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Corpus Size</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Verification Rate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 Calls</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 Revenue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$480</w:t>
            </w:r>
          </w:p>
        </w:tc>
      </w:tr>
    </w:tbl>
    <w:p>
      <w:pPr>
        <w:spacing w:after="120"/>
      </w:pPr>
      <w:r>
        <w:t xml:space="preserve">Direct API revenue in year 1 will not cover costs. This is expected and acceptable. The value proposition in year 1 is corpus building and network effect seeding, not revenue. Revenue inflection happens when (a) enterprise customers sign annual contracts for verification access, (b) the agent economy matures and verification becomes standard practice, and (c) premium API tiers are introduced for high-value verticals (legal, financial, compliance).</w:t>
      </w:r>
    </w:p>
    <w:p>
      <w:pPr>
        <w:pStyle w:val="Heading2"/>
      </w:pPr>
      <w:r>
        <w:t xml:space="preserve">9.3 Path to Meaningful Revenue</w:t>
      </w:r>
    </w:p>
    <w:p>
      <w:pPr>
        <w:spacing w:after="120"/>
      </w:pPr>
      <w:r>
        <w:t xml:space="preserve">Year 2 projections with 50M+ corpus and growing agent adoption: at 5% monthly verification rate, 2.5M calls/month = $5,000/month. With enterprise contracts ($500–$5,000/month per customer) and premium tiers, annual revenue could reach $100K–$500K by end of year 2. The corpus is the asset; verification revenue is the monetization mechanism.</w:t>
      </w:r>
    </w:p>
    <w:p>
      <w:r>
        <w:br w:type="page"/>
      </w:r>
    </w:p>
    <w:p>
      <w:pPr>
        <w:pStyle w:val="Heading1"/>
      </w:pPr>
      <w:r>
        <w:t xml:space="preserve">10. Open Questions and Decision Points</w:t>
      </w:r>
    </w:p>
    <w:p>
      <w:pPr>
        <w:pStyle w:val="Heading2"/>
      </w:pPr>
      <w:r>
        <w:t xml:space="preserve">10.1 Strategic Questions</w:t>
      </w:r>
    </w:p>
    <w:p>
      <w:pPr>
        <w:pStyle w:val="ListParagraph"/>
        <w:numPr>
          <w:ilvl w:val="0"/>
          <w:numId w:val="6"/>
        </w:numPr>
        <w:spacing w:after="60"/>
      </w:pPr>
      <w:r>
        <w:rPr>
          <w:rFonts w:ascii="Arial" w:cs="Arial" w:eastAsia="Arial" w:hAnsi="Arial"/>
          <w:b/>
          <w:bCs/>
          <w:sz w:val="22"/>
          <w:szCs w:val="22"/>
        </w:rPr>
        <w:t xml:space="preserve">Merkle Batching Frequency: </w:t>
      </w:r>
      <w:r>
        <w:rPr>
          <w:rFonts w:ascii="Arial" w:cs="Arial" w:eastAsia="Arial" w:hAnsi="Arial"/>
          <w:sz w:val="22"/>
          <w:szCs w:val="22"/>
        </w:rPr>
        <w:t xml:space="preserve">Anchor every 10 minutes (per Bitcoin block) or accumulate for daily batches? More frequent = higher cost but stronger timestamp granularity. Recommendation: start with every 10 minutes; optimize later.</w:t>
      </w:r>
    </w:p>
    <w:p>
      <w:pPr>
        <w:pStyle w:val="ListParagraph"/>
        <w:numPr>
          <w:ilvl w:val="0"/>
          <w:numId w:val="6"/>
        </w:numPr>
        <w:spacing w:after="60"/>
      </w:pPr>
      <w:r>
        <w:rPr>
          <w:rFonts w:ascii="Arial" w:cs="Arial" w:eastAsia="Arial" w:hAnsi="Arial"/>
          <w:b/>
          <w:bCs/>
          <w:sz w:val="22"/>
          <w:szCs w:val="22"/>
        </w:rPr>
        <w:t xml:space="preserve">Free vs. Paid Anchoring: </w:t>
      </w:r>
      <w:r>
        <w:rPr>
          <w:rFonts w:ascii="Arial" w:cs="Arial" w:eastAsia="Arial" w:hAnsi="Arial"/>
          <w:sz w:val="22"/>
          <w:szCs w:val="22"/>
        </w:rPr>
        <w:t xml:space="preserve">Should document owners pay to anchor, or does Arkova subsidize anchoring and monetize only on verification? The cold-start economics favor free anchoring initially.</w:t>
      </w:r>
    </w:p>
    <w:p>
      <w:pPr>
        <w:pStyle w:val="ListParagraph"/>
        <w:numPr>
          <w:ilvl w:val="0"/>
          <w:numId w:val="6"/>
        </w:numPr>
        <w:spacing w:after="60"/>
      </w:pPr>
      <w:r>
        <w:rPr>
          <w:rFonts w:ascii="Arial" w:cs="Arial" w:eastAsia="Arial" w:hAnsi="Arial"/>
          <w:b/>
          <w:bCs/>
          <w:sz w:val="22"/>
          <w:szCs w:val="22"/>
        </w:rPr>
        <w:t xml:space="preserve">Corpus Exclusivity: </w:t>
      </w:r>
      <w:r>
        <w:rPr>
          <w:rFonts w:ascii="Arial" w:cs="Arial" w:eastAsia="Arial" w:hAnsi="Arial"/>
          <w:sz w:val="22"/>
          <w:szCs w:val="22"/>
        </w:rPr>
        <w:t xml:space="preserve">Should Arkova publish anchored document lists (increasing verification demand) or keep the corpus index private (forcing API usage)? Open corpus drives adoption; closed corpus drives revenue. Recommend: open metadata, private proofs.</w:t>
      </w:r>
    </w:p>
    <w:p>
      <w:pPr>
        <w:pStyle w:val="ListParagraph"/>
        <w:numPr>
          <w:ilvl w:val="0"/>
          <w:numId w:val="6"/>
        </w:numPr>
        <w:spacing w:after="60"/>
      </w:pPr>
      <w:r>
        <w:rPr>
          <w:rFonts w:ascii="Arial" w:cs="Arial" w:eastAsia="Arial" w:hAnsi="Arial"/>
          <w:b/>
          <w:bCs/>
          <w:sz w:val="22"/>
          <w:szCs w:val="22"/>
        </w:rPr>
        <w:t xml:space="preserve">Multi-Chain Strategy: </w:t>
      </w:r>
      <w:r>
        <w:rPr>
          <w:rFonts w:ascii="Arial" w:cs="Arial" w:eastAsia="Arial" w:hAnsi="Arial"/>
          <w:sz w:val="22"/>
          <w:szCs w:val="22"/>
        </w:rPr>
        <w:t xml:space="preserve">Bitcoin-only provides the strongest immutability narrative. Adding Ethereum or other chains reduces Bitcoin narrative purity but broadens the addressable market. Recommendation: Bitcoin-only for now; multi-chain is a year 2 decision.</w:t>
      </w:r>
    </w:p>
    <w:p>
      <w:pPr>
        <w:pStyle w:val="Heading2"/>
      </w:pPr>
      <w:r>
        <w:t xml:space="preserve">10.2 Technical Questions</w:t>
      </w:r>
    </w:p>
    <w:p>
      <w:pPr>
        <w:pStyle w:val="ListParagraph"/>
        <w:numPr>
          <w:ilvl w:val="0"/>
          <w:numId w:val="7"/>
        </w:numPr>
        <w:spacing w:after="60"/>
      </w:pPr>
      <w:r>
        <w:rPr>
          <w:rFonts w:ascii="Arial" w:cs="Arial" w:eastAsia="Arial" w:hAnsi="Arial"/>
          <w:b/>
          <w:bCs/>
          <w:sz w:val="22"/>
          <w:szCs w:val="22"/>
        </w:rPr>
        <w:t xml:space="preserve">DOM Canonicalization: </w:t>
      </w:r>
      <w:r>
        <w:rPr>
          <w:rFonts w:ascii="Arial" w:cs="Arial" w:eastAsia="Arial" w:hAnsi="Arial"/>
          <w:sz w:val="22"/>
          <w:szCs w:val="22"/>
        </w:rPr>
        <w:t xml:space="preserve">Which canonicalization standard for web archiving? W3C’s Canonical XML? A custom canonical form? This needs a technical spike before committing to web archiving at scale.</w:t>
      </w:r>
    </w:p>
    <w:p>
      <w:pPr>
        <w:pStyle w:val="ListParagraph"/>
        <w:numPr>
          <w:ilvl w:val="0"/>
          <w:numId w:val="7"/>
        </w:numPr>
        <w:spacing w:after="60"/>
      </w:pPr>
      <w:r>
        <w:rPr>
          <w:rFonts w:ascii="Arial" w:cs="Arial" w:eastAsia="Arial" w:hAnsi="Arial"/>
          <w:b/>
          <w:bCs/>
          <w:sz w:val="22"/>
          <w:szCs w:val="22"/>
        </w:rPr>
        <w:t xml:space="preserve">Agent SDK Scope: </w:t>
      </w:r>
      <w:r>
        <w:rPr>
          <w:rFonts w:ascii="Arial" w:cs="Arial" w:eastAsia="Arial" w:hAnsi="Arial"/>
          <w:sz w:val="22"/>
          <w:szCs w:val="22"/>
        </w:rPr>
        <w:t xml:space="preserve">Should the SDK handle only anchoring/verification, or should it include document preparation (hashing, formatting)? Recommendation: thin SDK that accepts pre-computed hashes; let integrators handle document processing.</w:t>
      </w:r>
    </w:p>
    <w:p>
      <w:pPr>
        <w:pStyle w:val="ListParagraph"/>
        <w:numPr>
          <w:ilvl w:val="0"/>
          <w:numId w:val="7"/>
        </w:numPr>
        <w:spacing w:after="60"/>
      </w:pPr>
      <w:r>
        <w:rPr>
          <w:rFonts w:ascii="Arial" w:cs="Arial" w:eastAsia="Arial" w:hAnsi="Arial"/>
          <w:b/>
          <w:bCs/>
          <w:sz w:val="22"/>
          <w:szCs w:val="22"/>
        </w:rPr>
        <w:t xml:space="preserve">Proof Storage: </w:t>
      </w:r>
      <w:r>
        <w:rPr>
          <w:rFonts w:ascii="Arial" w:cs="Arial" w:eastAsia="Arial" w:hAnsi="Arial"/>
          <w:sz w:val="22"/>
          <w:szCs w:val="22"/>
        </w:rPr>
        <w:t xml:space="preserve">Where do Merkle proofs live? Arkova’s database? IPFS? A dedicated proof ledger? Cost and durability tradeoffs.</w:t>
      </w:r>
    </w:p>
    <w:p>
      <w:pPr>
        <w:pStyle w:val="Heading2"/>
      </w:pPr>
      <w:r>
        <w:t xml:space="preserve">10.3 Business Questions</w:t>
      </w:r>
    </w:p>
    <w:p>
      <w:pPr>
        <w:pStyle w:val="ListParagraph"/>
        <w:numPr>
          <w:ilvl w:val="0"/>
          <w:numId w:val="8"/>
        </w:numPr>
        <w:spacing w:after="60"/>
      </w:pPr>
      <w:r>
        <w:rPr>
          <w:rFonts w:ascii="Arial" w:cs="Arial" w:eastAsia="Arial" w:hAnsi="Arial"/>
          <w:b/>
          <w:bCs/>
          <w:sz w:val="22"/>
          <w:szCs w:val="22"/>
        </w:rPr>
        <w:t xml:space="preserve">Enterprise Pricing: </w:t>
      </w:r>
      <w:r>
        <w:rPr>
          <w:rFonts w:ascii="Arial" w:cs="Arial" w:eastAsia="Arial" w:hAnsi="Arial"/>
          <w:sz w:val="22"/>
          <w:szCs w:val="22"/>
        </w:rPr>
        <w:t xml:space="preserve">Per-call pricing ($0.002) is right for agents. Enterprise pricing should be tiered (monthly commitments, volume discounts, SLAs). What are the tiers?</w:t>
      </w:r>
    </w:p>
    <w:p>
      <w:pPr>
        <w:pStyle w:val="ListParagraph"/>
        <w:numPr>
          <w:ilvl w:val="0"/>
          <w:numId w:val="8"/>
        </w:numPr>
        <w:spacing w:after="60"/>
      </w:pPr>
      <w:r>
        <w:rPr>
          <w:rFonts w:ascii="Arial" w:cs="Arial" w:eastAsia="Arial" w:hAnsi="Arial"/>
          <w:b/>
          <w:bCs/>
          <w:sz w:val="22"/>
          <w:szCs w:val="22"/>
        </w:rPr>
        <w:t xml:space="preserve">Partnership Prioritization: </w:t>
      </w:r>
      <w:r>
        <w:rPr>
          <w:rFonts w:ascii="Arial" w:cs="Arial" w:eastAsia="Arial" w:hAnsi="Arial"/>
          <w:sz w:val="22"/>
          <w:szCs w:val="22"/>
        </w:rPr>
        <w:t xml:space="preserve">Limited bandwidth for partnership development. DocuSign vs. Crossref vs. news organizations: which partnership has the highest ROI per hour of founder time?</w:t>
      </w:r>
    </w:p>
    <w:p>
      <w:pPr>
        <w:pStyle w:val="ListParagraph"/>
        <w:numPr>
          <w:ilvl w:val="0"/>
          <w:numId w:val="8"/>
        </w:numPr>
        <w:spacing w:after="60"/>
      </w:pPr>
      <w:r>
        <w:rPr>
          <w:rFonts w:ascii="Arial" w:cs="Arial" w:eastAsia="Arial" w:hAnsi="Arial"/>
          <w:b/>
          <w:bCs/>
          <w:sz w:val="22"/>
          <w:szCs w:val="22"/>
        </w:rPr>
        <w:t xml:space="preserve">Competitive Response: </w:t>
      </w:r>
      <w:r>
        <w:rPr>
          <w:rFonts w:ascii="Arial" w:cs="Arial" w:eastAsia="Arial" w:hAnsi="Arial"/>
          <w:sz w:val="22"/>
          <w:szCs w:val="22"/>
        </w:rPr>
        <w:t xml:space="preserve">What happens when OpenTimestamps or Woleet add a verification API? Arkova’s moat must be the corpus + agent integrations, not the anchoring technology itself.</w:t>
      </w:r>
    </w:p>
    <w:p>
      <w:r>
        <w:br w:type="page"/>
      </w:r>
    </w:p>
    <w:p>
      <w:pPr>
        <w:pStyle w:val="Heading1"/>
      </w:pPr>
      <w:r>
        <w:t xml:space="preserve">11. Conclusion</w:t>
      </w:r>
    </w:p>
    <w:p>
      <w:pPr>
        <w:spacing w:after="120"/>
      </w:pPr>
      <w:r>
        <w:t xml:space="preserve">The cold-start problem is solvable. Public records alone can generate a million-document corpus in 90 days at under $500/month. Agent-initiated anchoring seeds the demand-side flywheel. Open data partnerships add academic credibility. Developer supply chain tools create community. E-signature and news media partnerships deliver the highest per-document value but require patience.</w:t>
      </w:r>
    </w:p>
    <w:p>
      <w:pPr>
        <w:spacing w:after="120"/>
      </w:pPr>
      <w:r>
        <w:t xml:space="preserve">The key insight: Arkova is not building a timestamping service (commodity). Arkova is building a verification network (moat). The corpus is the network. Every anchored document makes verification more valuable. Every verification call validates the corpus. The cold-start problem is a 90-day sprint, not a multi-year slog.</w:t>
      </w:r>
    </w:p>
    <w:p>
      <w:pPr>
        <w:spacing w:after="120"/>
      </w:pPr>
      <w:r>
        <w:t xml:space="preserve">Start with public records and the agent SDK. Everything else follows.</w:t>
      </w:r>
    </w:p>
    <w:p>
      <w:pPr>
        <w:spacing w:after="200"/>
      </w:pPr>
    </w:p>
    <w:p>
      <w:pPr>
        <w:pBdr>
          <w:top w:val="single" w:color="1B3A5C" w:sz="6" w:space="12"/>
        </w:pBdr>
        <w:spacing w:before="400"/>
      </w:pPr>
      <w:r>
        <w:rPr>
          <w:rFonts w:ascii="Arial" w:cs="Arial" w:eastAsia="Arial" w:hAnsi="Arial"/>
          <w:i/>
          <w:iCs/>
          <w:color w:val="999999"/>
          <w:sz w:val="20"/>
          <w:szCs w:val="20"/>
        </w:rPr>
        <w:t xml:space="preserve">End of Report — Prepared March 2026 — Confidential</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Arkova — Verification Bootstrap Deep Dive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Arkova — Verification Bootstrap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0"/>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E8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2026-03-21T20:04:32.313Z</dcterms:created>
  <dcterms:modified xsi:type="dcterms:W3CDTF">2026-03-21T20:04:32.313Z</dcterms:modified>
</cp:coreProperties>
</file>

<file path=docProps/custom.xml><?xml version="1.0" encoding="utf-8"?>
<Properties xmlns="http://schemas.openxmlformats.org/officeDocument/2006/custom-properties" xmlns:vt="http://schemas.openxmlformats.org/officeDocument/2006/docPropsVTypes"/>
</file>