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ARKOVA</w:t>
      </w:r>
    </w:p>
    <w:p>
      <w:pPr>
        <w:pBdr>
          <w:bottom w:val="single" w:color="2E86C1" w:sz="6" w:space="1"/>
        </w:pBdr>
        <w:spacing w:after="120"/>
        <w:jc w:val="center"/>
      </w:pPr>
      <w:r>
        <w:rPr>
          <w:rFonts w:ascii="Arial" w:cs="Arial" w:eastAsia="Arial" w:hAnsi="Arial"/>
          <w:color w:val="2E86C1"/>
          <w:sz w:val="40"/>
          <w:szCs w:val="40"/>
        </w:rPr>
        <w:t xml:space="preserve">Arkova — Nessie</w:t>
      </w:r>
    </w:p>
    <w:p>
      <w:pPr>
        <w:spacing w:after="400"/>
      </w:pPr>
    </w:p>
    <w:p>
      <w:pPr>
        <w:spacing w:after="160"/>
        <w:jc w:val="center"/>
      </w:pPr>
      <w:r>
        <w:rPr>
          <w:rFonts w:ascii="Arial" w:cs="Arial" w:eastAsia="Arial" w:hAnsi="Arial"/>
          <w:color w:val="2C3E50"/>
          <w:sz w:val="28"/>
          <w:szCs w:val="28"/>
        </w:rPr>
        <w:t xml:space="preserve">Building Verified Intelligence on Cryptographically Anchored Data</w:t>
      </w:r>
    </w:p>
    <w:p>
      <w:pPr>
        <w:spacing w:after="80"/>
        <w:jc w:val="center"/>
      </w:pPr>
      <w:r>
        <w:rPr>
          <w:rFonts w:ascii="Arial" w:cs="Arial" w:eastAsia="Arial" w:hAnsi="Arial"/>
          <w:color w:val="7F8C8D"/>
          <w:sz w:val="22"/>
          <w:szCs w:val="22"/>
        </w:rPr>
        <w:t xml:space="preserve">Strategic &amp; Technical Analysis | March 2026</w:t>
      </w:r>
    </w:p>
    <w:p>
      <w:pPr>
        <w:spacing w:after="3600"/>
      </w:pPr>
    </w:p>
    <w:p>
      <w:pPr>
        <w:jc w:val="center"/>
      </w:pPr>
      <w:r>
        <w:rPr>
          <w:rFonts w:ascii="Arial" w:cs="Arial" w:eastAsia="Arial" w:hAnsi="Arial"/>
          <w:b/>
          <w:bCs/>
          <w:color w:val="E74C3C"/>
          <w:sz w:val="20"/>
          <w:szCs w:val="20"/>
        </w:rPr>
        <w:t xml:space="preserve">CONFIDENTIAL</w:t>
      </w:r>
    </w:p>
    <w:p>
      <w:pPr>
        <w:spacing w:after="80"/>
        <w:jc w:val="center"/>
      </w:pPr>
      <w:r>
        <w:rPr>
          <w:rFonts w:ascii="Arial" w:cs="Arial" w:eastAsia="Arial" w:hAnsi="Arial"/>
          <w:color w:val="7F8C8D"/>
          <w:sz w:val="20"/>
          <w:szCs w:val="20"/>
        </w:rPr>
        <w:t xml:space="preserve">Prepared for Arkova Leadership</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Executive Summary</w:t>
      </w:r>
    </w:p>
    <w:p>
      <w:pPr>
        <w:spacing w:after="120"/>
      </w:pPr>
      <w:r>
        <w:rPr>
          <w:rFonts w:ascii="Arial" w:cs="Arial" w:eastAsia="Arial" w:hAnsi="Arial"/>
          <w:sz w:val="21"/>
          <w:szCs w:val="21"/>
        </w:rPr>
        <w:t xml:space="preserve">This document presents a comprehensive strategic and technical analysis of building Nessie, a verification-aware Small Language Model (SLM), for Arkova. The core thesis: Arkova can create the first language model whose training data is entirely comprised of cryptographically verified, Bitcoin-anchored documents, enabling every model output to be traced to a tamper-evident source.</w:t>
      </w:r>
    </w:p>
    <w:p>
      <w:pPr>
        <w:spacing w:after="80"/>
      </w:pPr>
    </w:p>
    <w:p>
      <w:pPr>
        <w:pStyle w:val="Heading2"/>
        <w:spacing w:after="160" w:before="280"/>
      </w:pPr>
      <w:r>
        <w:rPr>
          <w:rFonts w:ascii="Arial" w:cs="Arial" w:eastAsia="Arial" w:hAnsi="Arial"/>
          <w:b/>
          <w:bCs/>
          <w:color w:val="2E86C1"/>
          <w:sz w:val="26"/>
          <w:szCs w:val="26"/>
        </w:rPr>
        <w:t xml:space="preserve">The Opportunity</w:t>
      </w:r>
    </w:p>
    <w:p>
      <w:pPr>
        <w:spacing w:after="120"/>
      </w:pPr>
      <w:r>
        <w:rPr>
          <w:rFonts w:ascii="Arial" w:cs="Arial" w:eastAsia="Arial" w:hAnsi="Arial"/>
          <w:sz w:val="21"/>
          <w:szCs w:val="21"/>
        </w:rPr>
        <w:t xml:space="preserve">Arkova is uniquely positioned at the intersection of three converging trends: the enterprise demand for trustworthy AI ($91B document AI market by 2034), the regulatory push for AI transparency (EU AI Act training data disclosure requirements effective August 2025), and the growing crisis of AI hallucination (37-45% citation hallucination rates in leading AI search tools). No existing competitor combines cryptographic document verification with domain-specific AI, creating a defensible first-mover advantage.</w:t>
      </w:r>
    </w:p>
    <w:p>
      <w:pPr>
        <w:spacing w:after="80"/>
      </w:pPr>
    </w:p>
    <w:p>
      <w:pPr>
        <w:pStyle w:val="Heading2"/>
        <w:spacing w:after="160" w:before="280"/>
      </w:pPr>
      <w:r>
        <w:rPr>
          <w:rFonts w:ascii="Arial" w:cs="Arial" w:eastAsia="Arial" w:hAnsi="Arial"/>
          <w:b/>
          <w:bCs/>
          <w:color w:val="2E86C1"/>
          <w:sz w:val="26"/>
          <w:szCs w:val="26"/>
        </w:rPr>
        <w:t xml:space="preserve">Key Findings</w:t>
      </w:r>
    </w:p>
    <w:p>
      <w:pPr>
        <w:pStyle w:val="ListParagraph"/>
        <w:numPr>
          <w:ilvl w:val="0"/>
          <w:numId w:val="2"/>
        </w:numPr>
        <w:spacing w:after="60"/>
      </w:pPr>
      <w:r>
        <w:rPr>
          <w:rFonts w:ascii="Arial" w:cs="Arial" w:eastAsia="Arial" w:hAnsi="Arial"/>
          <w:sz w:val="21"/>
          <w:szCs w:val="21"/>
        </w:rPr>
        <w:t xml:space="preserve">A hybrid RAG + fine-tuned approach for Nessie is optimal, using a 7B-parameter base model (Llama 3.1 or Mistral) with LoRA adapters for domain specialization across SEC, USPTO, and academic corpora.</w:t>
      </w:r>
    </w:p>
    <w:p>
      <w:pPr>
        <w:pStyle w:val="ListParagraph"/>
        <w:numPr>
          <w:ilvl w:val="0"/>
          <w:numId w:val="2"/>
        </w:numPr>
        <w:spacing w:after="60"/>
      </w:pPr>
      <w:r>
        <w:rPr>
          <w:rFonts w:ascii="Arial" w:cs="Arial" w:eastAsia="Arial" w:hAnsi="Arial"/>
          <w:sz w:val="21"/>
          <w:szCs w:val="21"/>
        </w:rPr>
        <w:t xml:space="preserve">Year 1 total investment is estimated at ~$175K-$240K, using a synthetic data distillation approach: 1 ML engineer ($150-180K), synthetic data generation via Claude/Gemini APIs ($5-10K), and compute for fine-tuning on Together AI/Modal ($20-50K). Use existing frontier models (Claude, Gemini) to generate synthetic training data and instruction/completion pairs from the anchored corpus. This distillation approach eliminates the need for manual data labeling and reduces the ML team from 3-4 to 1 strong engineer.</w:t>
      </w:r>
    </w:p>
    <w:p>
      <w:pPr>
        <w:pStyle w:val="ListParagraph"/>
        <w:numPr>
          <w:ilvl w:val="0"/>
          <w:numId w:val="2"/>
        </w:numPr>
        <w:spacing w:after="60"/>
      </w:pPr>
      <w:r>
        <w:rPr>
          <w:rFonts w:ascii="Arial" w:cs="Arial" w:eastAsia="Arial" w:hAnsi="Arial"/>
          <w:sz w:val="21"/>
          <w:szCs w:val="21"/>
        </w:rPr>
        <w:t xml:space="preserve">Client-side inference is feasible for 1B-3B models via WebLLM/WebGPU at 40-180 tokens/second, preserving the documents-never-leave-device guarantee.</w:t>
      </w:r>
    </w:p>
    <w:p>
      <w:pPr>
        <w:pStyle w:val="ListParagraph"/>
        <w:numPr>
          <w:ilvl w:val="0"/>
          <w:numId w:val="2"/>
        </w:numPr>
        <w:spacing w:after="60"/>
      </w:pPr>
      <w:r>
        <w:rPr>
          <w:rFonts w:ascii="Arial" w:cs="Arial" w:eastAsia="Arial" w:hAnsi="Arial"/>
          <w:sz w:val="21"/>
          <w:szCs w:val="21"/>
        </w:rPr>
        <w:t xml:space="preserve">The verified training data moat is real but nuanced: RAG with provenance tracking (linking outputs to Bitcoin-anchored source documents) is more defensible than pure fine-tuning attribution.</w:t>
      </w:r>
    </w:p>
    <w:p>
      <w:pPr>
        <w:pStyle w:val="ListParagraph"/>
        <w:numPr>
          <w:ilvl w:val="0"/>
          <w:numId w:val="2"/>
        </w:numPr>
        <w:spacing w:after="60"/>
      </w:pPr>
      <w:r>
        <w:rPr>
          <w:rFonts w:ascii="Arial" w:cs="Arial" w:eastAsia="Arial" w:hAnsi="Arial"/>
          <w:sz w:val="21"/>
          <w:szCs w:val="21"/>
        </w:rPr>
        <w:t xml:space="preserve">Revenue projections range from $1.2M (conservative) to $8.5M (aggressive) in Year 1, with a break-even timeline of 14-22 months.</w:t>
      </w:r>
    </w:p>
    <w:p>
      <w:pPr>
        <w:pStyle w:val="ListParagraph"/>
        <w:numPr>
          <w:ilvl w:val="0"/>
          <w:numId w:val="2"/>
        </w:numPr>
        <w:spacing w:after="60"/>
      </w:pPr>
      <w:r>
        <w:rPr>
          <w:rFonts w:ascii="Arial" w:cs="Arial" w:eastAsia="Arial" w:hAnsi="Arial"/>
          <w:sz w:val="21"/>
          <w:szCs w:val="21"/>
        </w:rPr>
        <w:t xml:space="preserve">The competitive landscape shows no direct competitor combining blockchain-anchored verification with domain-specific LLMs. Harvey ($11B), AlphaSense ($4B), and Perplexity ($21B) each address fragments of the opportunity.</w:t>
      </w:r>
    </w:p>
    <w:p>
      <w:pPr>
        <w:spacing w:after="80"/>
      </w:pPr>
    </w:p>
    <w:p>
      <w:pPr>
        <w:pStyle w:val="Heading2"/>
        <w:spacing w:after="160" w:before="280"/>
      </w:pPr>
      <w:r>
        <w:rPr>
          <w:rFonts w:ascii="Arial" w:cs="Arial" w:eastAsia="Arial" w:hAnsi="Arial"/>
          <w:b/>
          <w:bCs/>
          <w:color w:val="2E86C1"/>
          <w:sz w:val="26"/>
          <w:szCs w:val="26"/>
        </w:rPr>
        <w:t xml:space="preserve">Recommendation: Conditional GO</w:t>
      </w:r>
    </w:p>
    <w:p>
      <w:pPr>
        <w:spacing w:after="120"/>
      </w:pPr>
      <w:r>
        <w:rPr>
          <w:rFonts w:ascii="Arial" w:cs="Arial" w:eastAsia="Arial" w:hAnsi="Arial"/>
          <w:sz w:val="21"/>
          <w:szCs w:val="21"/>
        </w:rPr>
        <w:t xml:space="preserve">We recommend proceeding with a phased approach, starting with RAG-first architecture (Months 1-3) and adding selective fine-tuning (Months 4-8) once the corpus exceeds 5M anchored documents. This de-risks the investment while validating product-market fit before committing to full Nessie training. The critical decision gate is at Month 4: if verification API usage exceeds 50K queries/month, proceed to Phase 2. If not, continue with RAG-only and revisit.</w:t>
      </w:r>
    </w:p>
    <w:p>
      <w:r>
        <w:br w:type="page"/>
      </w:r>
    </w:p>
    <w:p>
      <w:pPr>
        <w:pStyle w:val="Heading1"/>
        <w:spacing w:after="200" w:before="360"/>
      </w:pPr>
      <w:r>
        <w:rPr>
          <w:rFonts w:ascii="Arial" w:cs="Arial" w:eastAsia="Arial" w:hAnsi="Arial"/>
          <w:b/>
          <w:bCs/>
          <w:color w:val="1B4F72"/>
          <w:sz w:val="32"/>
          <w:szCs w:val="32"/>
        </w:rPr>
        <w:t xml:space="preserve">1. Architecture Options</w:t>
      </w:r>
    </w:p>
    <w:p>
      <w:pPr>
        <w:pStyle w:val="Heading2"/>
        <w:spacing w:after="160" w:before="280"/>
      </w:pPr>
      <w:r>
        <w:rPr>
          <w:rFonts w:ascii="Arial" w:cs="Arial" w:eastAsia="Arial" w:hAnsi="Arial"/>
          <w:b/>
          <w:bCs/>
          <w:color w:val="2E86C1"/>
          <w:sz w:val="26"/>
          <w:szCs w:val="26"/>
        </w:rPr>
        <w:t xml:space="preserve">1.1 Base Model Comparison</w:t>
      </w:r>
    </w:p>
    <w:p>
      <w:pPr>
        <w:spacing w:after="120"/>
      </w:pPr>
      <w:r>
        <w:rPr>
          <w:rFonts w:ascii="Arial" w:cs="Arial" w:eastAsia="Arial" w:hAnsi="Arial"/>
          <w:sz w:val="21"/>
          <w:szCs w:val="21"/>
        </w:rPr>
        <w:t xml:space="preserve">The following table compares leading open-source models suitable for fine-tuning on Arkova's verified document corpus. Selection criteria prioritize commercial license compatibility, fine-tuning efficiency, and domain-specific document understanding.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1560"/>
        <w:gridCol w:w="1500"/>
        <w:gridCol w:w="1300"/>
        <w:gridCol w:w="1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Params</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License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LoRA VRAM</w:t>
            </w:r>
          </w:p>
        </w:tc>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MMLU</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 3.1</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8B / 70B</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128K</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Meta Community*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8-9 GB / 46 GB</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73%</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Llama 3.2</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1B / 3B</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128K</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Meta Community*</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 GB / 6 GB</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 (edge)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 3.3</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70B</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128K</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Meta Community*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~46 GB</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68.9% (PRO)</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Mistral Small 3.1</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24B</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128K</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Modified MIT**</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 GB</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84.8%</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Phi-3 Mini</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3.8B</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128K</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 GB</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Competitive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Phi-4</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14B</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16K</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MIT</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 GB</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Strong STEM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Qwen 2.5</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7B / 14B / 72B</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128K</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Apache 2.0***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 GB / 14 GB / 46 GB</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74.2% (72B)</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Gemma 2</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9B / 27B</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8K</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Gemma License</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 GB / 24 GB</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Class-leading</w:t>
            </w:r>
          </w:p>
        </w:tc>
      </w:tr>
    </w:tbl>
    <w:p>
      <w:pPr>
        <w:spacing w:after="120"/>
      </w:pPr>
      <w:r>
        <w:rPr>
          <w:rFonts w:ascii="Arial" w:cs="Arial" w:eastAsia="Arial" w:hAnsi="Arial"/>
          <w:i/>
          <w:iCs/>
          <w:sz w:val="21"/>
          <w:szCs w:val="21"/>
        </w:rPr>
        <w:t>* Restricts competitors with &gt;700M users. ** Revenue conditions for $20M+ companies. *** 3B/72B use Qwen License.</w:t>
      </w:r>
    </w:p>
    <w:p>
      <w:pPr>
        <w:spacing w:after="80"/>
      </w:pPr>
    </w:p>
    <w:p>
      <w:pPr>
        <w:pStyle w:val="Heading2"/>
        <w:spacing w:after="160" w:before="280"/>
      </w:pPr>
      <w:r>
        <w:rPr>
          <w:rFonts w:ascii="Arial" w:cs="Arial" w:eastAsia="Arial" w:hAnsi="Arial"/>
          <w:b/>
          <w:bCs/>
          <w:color w:val="2E86C1"/>
          <w:sz w:val="26"/>
          <w:szCs w:val="26"/>
        </w:rPr>
        <w:t xml:space="preserve">1.2 Recommended Base Model: Llama 3.1 8B</w:t>
      </w:r>
    </w:p>
    <w:p>
      <w:pPr>
        <w:spacing w:after="120"/>
      </w:pPr>
      <w:r>
        <w:rPr>
          <w:rFonts w:ascii="Arial" w:cs="Arial" w:eastAsia="Arial" w:hAnsi="Arial"/>
          <w:sz w:val="21"/>
          <w:szCs w:val="21"/>
        </w:rPr>
        <w:t xml:space="preserve">For Arkova's use case, the Llama 3.1 8B model offers the optimal balance of performance, fine-tuning efficiency, and ecosystem maturity. Key factors:</w:t>
      </w:r>
    </w:p>
    <w:p>
      <w:pPr>
        <w:pStyle w:val="ListParagraph"/>
        <w:numPr>
          <w:ilvl w:val="0"/>
          <w:numId w:val="3"/>
        </w:numPr>
        <w:spacing w:after="60"/>
      </w:pPr>
      <w:r>
        <w:rPr>
          <w:rFonts w:ascii="Arial" w:cs="Arial" w:eastAsia="Arial" w:hAnsi="Arial"/>
          <w:sz w:val="21"/>
          <w:szCs w:val="21"/>
        </w:rPr>
        <w:t xml:space="preserve">128K context window handles full SEC 10-K filings (typically 30K-80K tokens) without truncation.</w:t>
      </w:r>
    </w:p>
    <w:p>
      <w:pPr>
        <w:pStyle w:val="ListParagraph"/>
        <w:numPr>
          <w:ilvl w:val="0"/>
          <w:numId w:val="3"/>
        </w:numPr>
        <w:spacing w:after="60"/>
      </w:pPr>
      <w:r>
        <w:rPr>
          <w:rFonts w:ascii="Arial" w:cs="Arial" w:eastAsia="Arial" w:hAnsi="Arial"/>
          <w:sz w:val="21"/>
          <w:szCs w:val="21"/>
        </w:rPr>
        <w:t xml:space="preserve">LoRA fine-tuning requires only 8-9 GB VRAM, achievable on a single consumer GPU or cloud A100.</w:t>
      </w:r>
    </w:p>
    <w:p>
      <w:pPr>
        <w:pStyle w:val="ListParagraph"/>
        <w:numPr>
          <w:ilvl w:val="0"/>
          <w:numId w:val="3"/>
        </w:numPr>
        <w:spacing w:after="60"/>
      </w:pPr>
      <w:r>
        <w:rPr>
          <w:rFonts w:ascii="Arial" w:cs="Arial" w:eastAsia="Arial" w:hAnsi="Arial"/>
          <w:sz w:val="21"/>
          <w:szCs w:val="21"/>
        </w:rPr>
        <w:t xml:space="preserve">Meta Community License permits commercial use for companies under 700M monthly active users, well within Arkova's trajectory.</w:t>
      </w:r>
    </w:p>
    <w:p>
      <w:pPr>
        <w:pStyle w:val="ListParagraph"/>
        <w:numPr>
          <w:ilvl w:val="0"/>
          <w:numId w:val="3"/>
        </w:numPr>
        <w:spacing w:after="60"/>
      </w:pPr>
      <w:r>
        <w:rPr>
          <w:rFonts w:ascii="Arial" w:cs="Arial" w:eastAsia="Arial" w:hAnsi="Arial"/>
          <w:sz w:val="21"/>
          <w:szCs w:val="21"/>
        </w:rPr>
        <w:t xml:space="preserve">Extensive fine-tuning ecosystem: Unsloth achieves 2.1x faster training with 60% less memory.</w:t>
      </w:r>
    </w:p>
    <w:p>
      <w:pPr>
        <w:pStyle w:val="ListParagraph"/>
        <w:numPr>
          <w:ilvl w:val="0"/>
          <w:numId w:val="3"/>
        </w:numPr>
        <w:spacing w:after="60"/>
      </w:pPr>
      <w:r>
        <w:rPr>
          <w:rFonts w:ascii="Arial" w:cs="Arial" w:eastAsia="Arial" w:hAnsi="Arial"/>
          <w:sz w:val="21"/>
          <w:szCs w:val="21"/>
        </w:rPr>
        <w:t xml:space="preserve">Strong baseline NLP performance at 73% MMLU provides a solid foundation for domain specialization.</w:t>
      </w:r>
    </w:p>
    <w:p>
      <w:pPr>
        <w:spacing w:after="120"/>
      </w:pPr>
      <w:r>
        <w:rPr>
          <w:rFonts w:ascii="Arial" w:cs="Arial" w:eastAsia="Arial" w:hAnsi="Arial"/>
          <w:sz w:val="21"/>
          <w:szCs w:val="21"/>
        </w:rPr>
        <w:t xml:space="preserve">For edge/client-side deployment, Llama 3.2 1B or 3B provide an excellent fallback, running at 40-60 tokens/second in-browser via WebLLM.</w:t>
      </w:r>
    </w:p>
    <w:p>
      <w:pPr>
        <w:spacing w:after="80"/>
      </w:pPr>
    </w:p>
    <w:p>
      <w:pPr>
        <w:pStyle w:val="Heading2"/>
        <w:spacing w:after="160" w:before="280"/>
      </w:pPr>
      <w:r>
        <w:rPr>
          <w:rFonts w:ascii="Arial" w:cs="Arial" w:eastAsia="Arial" w:hAnsi="Arial"/>
          <w:b/>
          <w:bCs/>
          <w:color w:val="2E86C1"/>
          <w:sz w:val="26"/>
          <w:szCs w:val="26"/>
        </w:rPr>
        <w:t xml:space="preserve">1.3 Model Size Tradeoffs</w:t>
      </w:r>
    </w:p>
    <w:p>
      <w:pPr>
        <w:spacing w:after="120"/>
      </w:pPr>
      <w:r>
        <w:rPr>
          <w:rFonts w:ascii="Arial" w:cs="Arial" w:eastAsia="Arial" w:hAnsi="Arial"/>
          <w:sz w:val="21"/>
          <w:szCs w:val="21"/>
        </w:rPr>
        <w:t xml:space="preserve">The sweet spot for domain-specific financial/legal/academic understanding is 7B-14B parameters. Here is the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60"/>
        <w:gridCol w:w="1600"/>
        <w:gridCol w:w="1600"/>
        <w:gridCol w:w="30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 Fit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Infra Cost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Edge Deploy?</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1B</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Limited comprehension of complex filings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$50-100/mo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Yes (browser)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RAG companion only</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3B</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Adequate for structured extraction tasks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$100-200/mo</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Yes (browser)</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Good for client-side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7B</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Strong document understanding with fine-tuning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$300-800/mo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Edge server only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SWEET SPOT</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13-14B</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Excellent reasoning, diminishing returns vs 7B</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$600-1,500/mo</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Consider if 7B insufficient</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70B</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Marginal improvement for 10x cost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$3,000-8,000/mo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Overkill for domain tasks</w:t>
            </w:r>
          </w:p>
        </w:tc>
      </w:tr>
    </w:tbl>
    <w:p>
      <w:pPr>
        <w:spacing w:after="80"/>
      </w:pPr>
    </w:p>
    <w:p>
      <w:pPr>
        <w:pStyle w:val="Heading2"/>
        <w:spacing w:after="160" w:before="280"/>
      </w:pPr>
      <w:r>
        <w:rPr>
          <w:rFonts w:ascii="Arial" w:cs="Arial" w:eastAsia="Arial" w:hAnsi="Arial"/>
          <w:b/>
          <w:bCs/>
          <w:color w:val="2E86C1"/>
          <w:sz w:val="26"/>
          <w:szCs w:val="26"/>
        </w:rPr>
        <w:t xml:space="preserve">1.4 Quantization for Edge Deployment</w:t>
      </w:r>
    </w:p>
    <w:p>
      <w:pPr>
        <w:spacing w:after="120"/>
      </w:pPr>
      <w:r>
        <w:rPr>
          <w:rFonts w:ascii="Arial" w:cs="Arial" w:eastAsia="Arial" w:hAnsi="Arial"/>
          <w:sz w:val="21"/>
          <w:szCs w:val="21"/>
        </w:rPr>
        <w:t xml:space="preserve">Quantization reduces model size and inference cost with minimal quality loss. AWQ (Activation-Aware Weight Quantization) is recommended for GPU inference, retaining 95-99% of full-precision quality.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560"/>
        <w:gridCol w:w="220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Quality Retention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GPU Speed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CPU Support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Best For</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GGUF</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Moderate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Excellent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CPU/Apple Silicon</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GPTQ</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~90%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Very Fast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None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Legacy GPU workflows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AWQ</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95-99%</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Fastest (741 tok/s)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Limited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Production GPU inference</w:t>
            </w:r>
          </w:p>
        </w:tc>
      </w:tr>
    </w:tbl>
    <w:p>
      <w:pPr>
        <w:spacing w:after="80"/>
      </w:pPr>
    </w:p>
    <w:p>
      <w:pPr>
        <w:pStyle w:val="Heading2"/>
        <w:spacing w:after="160" w:before="280"/>
      </w:pPr>
      <w:r>
        <w:rPr>
          <w:rFonts w:ascii="Arial" w:cs="Arial" w:eastAsia="Arial" w:hAnsi="Arial"/>
          <w:b/>
          <w:bCs/>
          <w:color w:val="2E86C1"/>
          <w:sz w:val="26"/>
          <w:szCs w:val="26"/>
        </w:rPr>
        <w:t xml:space="preserve">1.5 Multi-LoRA Domain Specialization</w:t>
      </w:r>
    </w:p>
    <w:p>
      <w:pPr>
        <w:spacing w:after="120"/>
      </w:pPr>
      <w:r>
        <w:rPr>
          <w:rFonts w:ascii="Arial" w:cs="Arial" w:eastAsia="Arial" w:hAnsi="Arial"/>
          <w:sz w:val="21"/>
          <w:szCs w:val="21"/>
        </w:rPr>
        <w:t xml:space="preserve">Rather than a single monolithic model, Arkova should deploy domain-specific LoRA adapters that can be hot-swapped at inference time:</w:t>
      </w:r>
    </w:p>
    <w:p>
      <w:pPr>
        <w:pStyle w:val="ListParagraph"/>
        <w:numPr>
          <w:ilvl w:val="0"/>
          <w:numId w:val="4"/>
        </w:numPr>
        <w:spacing w:after="60"/>
      </w:pPr>
      <w:r>
        <w:rPr>
          <w:rFonts w:ascii="Arial" w:cs="Arial" w:eastAsia="Arial" w:hAnsi="Arial"/>
          <w:sz w:val="21"/>
          <w:szCs w:val="21"/>
        </w:rPr>
        <w:t xml:space="preserve">SEC/Financial Adapter: Fine-tuned on 10-K, 10-Q, 8-K filings, proxy statements, and earnings transcripts. Specializes in financial terminology, risk factor extraction, and regulatory cross-referencing.</w:t>
      </w:r>
    </w:p>
    <w:p>
      <w:pPr>
        <w:pStyle w:val="ListParagraph"/>
        <w:numPr>
          <w:ilvl w:val="0"/>
          <w:numId w:val="4"/>
        </w:numPr>
        <w:spacing w:after="60"/>
      </w:pPr>
      <w:r>
        <w:rPr>
          <w:rFonts w:ascii="Arial" w:cs="Arial" w:eastAsia="Arial" w:hAnsi="Arial"/>
          <w:sz w:val="21"/>
          <w:szCs w:val="21"/>
        </w:rPr>
        <w:t xml:space="preserve">USPTO/Patent Adapter: Trained on patent claims, specifications, and prosecution histories. Optimized for prior art search and claim interpretation.</w:t>
      </w:r>
    </w:p>
    <w:p>
      <w:pPr>
        <w:pStyle w:val="ListParagraph"/>
        <w:numPr>
          <w:ilvl w:val="0"/>
          <w:numId w:val="4"/>
        </w:numPr>
        <w:spacing w:after="60"/>
      </w:pPr>
      <w:r>
        <w:rPr>
          <w:rFonts w:ascii="Arial" w:cs="Arial" w:eastAsia="Arial" w:hAnsi="Arial"/>
          <w:sz w:val="21"/>
          <w:szCs w:val="21"/>
        </w:rPr>
        <w:t xml:space="preserve">Academic Adapter: Fine-tuned on OpenAlex papers across disciplines. Specializes in citation verification, methodology assessment, and retraction detection.</w:t>
      </w:r>
    </w:p>
    <w:p>
      <w:pPr>
        <w:pStyle w:val="ListParagraph"/>
        <w:numPr>
          <w:ilvl w:val="0"/>
          <w:numId w:val="4"/>
        </w:numPr>
        <w:spacing w:after="60"/>
      </w:pPr>
      <w:r>
        <w:rPr>
          <w:rFonts w:ascii="Arial" w:cs="Arial" w:eastAsia="Arial" w:hAnsi="Arial"/>
          <w:sz w:val="21"/>
          <w:szCs w:val="21"/>
        </w:rPr>
        <w:t xml:space="preserve">Legal/Regulatory Adapter: Trained on Federal Register entries, CFR text, and administrative law. Optimized for compliance checking and regulatory citation.</w:t>
      </w:r>
    </w:p>
    <w:p>
      <w:pPr>
        <w:spacing w:after="120"/>
      </w:pPr>
      <w:r>
        <w:rPr>
          <w:rFonts w:ascii="Arial" w:cs="Arial" w:eastAsia="Arial" w:hAnsi="Arial"/>
          <w:sz w:val="21"/>
          <w:szCs w:val="21"/>
        </w:rPr>
        <w:t xml:space="preserve">MoLoRA (Mixture of LoRA) enables per-token routing with 96-98% classification accuracy, automatically selecting the appropriate adapter based on input content.</w:t>
      </w:r>
    </w:p>
    <w:p>
      <w:pPr>
        <w:spacing w:after="80"/>
      </w:pPr>
    </w:p>
    <w:p>
      <w:pPr>
        <w:pStyle w:val="Heading2"/>
        <w:spacing w:after="160" w:before="280"/>
      </w:pPr>
      <w:r>
        <w:rPr>
          <w:rFonts w:ascii="Arial" w:cs="Arial" w:eastAsia="Arial" w:hAnsi="Arial"/>
          <w:b/>
          <w:bCs/>
          <w:color w:val="2E86C1"/>
          <w:sz w:val="26"/>
          <w:szCs w:val="26"/>
        </w:rPr>
        <w:t xml:space="preserve">1.6 RAG vs. Fine-Tuning vs. Hybrid</w:t>
      </w:r>
    </w:p>
    <w:p>
      <w:pPr>
        <w:spacing w:after="120"/>
      </w:pPr>
      <w:r>
        <w:rPr>
          <w:rFonts w:ascii="Arial" w:cs="Arial" w:eastAsia="Arial" w:hAnsi="Arial"/>
          <w:sz w:val="21"/>
          <w:szCs w:val="21"/>
        </w:rPr>
        <w:t xml:space="preserve">For Arkova, the hybrid approach is clearly optimal. Here is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60"/>
        <w:gridCol w:w="20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When to Use</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Arkova Application</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RAG Only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Rapidly changing data, need citations</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Phase 1: Verification queries with source links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$500-2K/mo</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Fine-Tuning Only</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Stable domain, behavioral patterns</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Not recommended standalone (loses citation trail)</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$2-5K per run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Hybrid (Recommended)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 reasoning + current facts</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Phase 2+: Fine-tuned for doc understanding, RAG for retrieval + citation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$1-3K/mo ongoing</w:t>
            </w:r>
          </w:p>
        </w:tc>
      </w:tr>
    </w:tbl>
    <w:p>
      <w:pPr>
        <w:spacing w:after="120"/>
      </w:pPr>
      <w:r>
        <w:rPr>
          <w:rFonts w:ascii="Arial" w:cs="Arial" w:eastAsia="Arial" w:hAnsi="Arial"/>
          <w:sz w:val="21"/>
          <w:szCs w:val="21"/>
        </w:rPr>
        <w:t xml:space="preserve">The hybrid architecture fine-tunes the base model to understand document structure, legal/financial terminology, and reasoning patterns, while RAG provides the retrieval layer that links every output to specific Bitcoin-anchored source documents. This is the only architecture that preserves the provenance chain.</w:t>
      </w:r>
    </w:p>
    <w:p>
      <w:pPr>
        <w:spacing w:after="80"/>
      </w:pPr>
    </w:p>
    <w:p>
      <w:pPr>
        <w:pStyle w:val="Heading2"/>
        <w:spacing w:after="160" w:before="280"/>
      </w:pPr>
      <w:r>
        <w:rPr>
          <w:rFonts w:ascii="Arial" w:cs="Arial" w:eastAsia="Arial" w:hAnsi="Arial"/>
          <w:b/>
          <w:bCs/>
          <w:color w:val="2E86C1"/>
          <w:sz w:val="26"/>
          <w:szCs w:val="26"/>
        </w:rPr>
        <w:t xml:space="preserve">1.7 Embedding Models for the Verification Index</w:t>
      </w:r>
    </w:p>
    <w:p>
      <w:pPr>
        <w:spacing w:after="120"/>
      </w:pPr>
      <w:r>
        <w:rPr>
          <w:rFonts w:ascii="Arial" w:cs="Arial" w:eastAsia="Arial" w:hAnsi="Arial"/>
          <w:sz w:val="21"/>
          <w:szCs w:val="21"/>
        </w:rPr>
        <w:t xml:space="preserve">The retrieval layer requires high-quality embeddings to find relevant anchored documents. Recommended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2660"/>
        <w:gridCol w:w="16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Dimensions</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Strength</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Jina v3 (Recommended)</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2048</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8,192 tokens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 MTEB multilingual, flexible dims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Open-source</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BGE-M3</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1024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8,192 tokens</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Dense + sparse + multi-vector</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Open-source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Nomic Embed v2 MoE</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768</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8,192 tokens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Efficient MoE, Matryoshka support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Open-source</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E5-Small</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384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512 tokens</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14x faster, budget option</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Open-source</w:t>
            </w:r>
          </w:p>
        </w:tc>
      </w:tr>
    </w:tbl>
    <w:p>
      <w:pPr>
        <w:spacing w:after="120"/>
      </w:pPr>
      <w:r>
        <w:rPr>
          <w:rFonts w:ascii="Arial" w:cs="Arial" w:eastAsia="Arial" w:hAnsi="Arial"/>
          <w:sz w:val="21"/>
          <w:szCs w:val="21"/>
        </w:rPr>
        <w:t xml:space="preserve">Jina v3 is the primary recommendation due to its #1 MTEB ranking, Matryoshka dimensionality reduction (allows trading storage for speed), and multimodal capability for processing document images and charts.</w:t>
      </w:r>
    </w:p>
    <w:p>
      <w:r>
        <w:br w:type="page"/>
      </w:r>
    </w:p>
    <w:p>
      <w:pPr>
        <w:pStyle w:val="Heading1"/>
        <w:spacing w:after="200" w:before="360"/>
      </w:pPr>
      <w:r>
        <w:rPr>
          <w:rFonts w:ascii="Arial" w:cs="Arial" w:eastAsia="Arial" w:hAnsi="Arial"/>
          <w:b/>
          <w:bCs/>
          <w:color w:val="1B4F72"/>
          <w:sz w:val="32"/>
          <w:szCs w:val="32"/>
        </w:rPr>
        <w:t xml:space="preserve">2. Training Infrastructure &amp; Costs</w:t>
      </w:r>
    </w:p>
    <w:p>
      <w:pPr>
        <w:pStyle w:val="Heading2"/>
        <w:spacing w:after="160" w:before="280"/>
      </w:pPr>
      <w:r>
        <w:rPr>
          <w:rFonts w:ascii="Arial" w:cs="Arial" w:eastAsia="Arial" w:hAnsi="Arial"/>
          <w:b/>
          <w:bCs/>
          <w:color w:val="2E86C1"/>
          <w:sz w:val="26"/>
          <w:szCs w:val="26"/>
        </w:rPr>
        <w:t xml:space="preserve">2.1 Cloud GPU Pricing Comparison</w:t>
      </w:r>
    </w:p>
    <w:p>
      <w:pPr>
        <w:spacing w:after="120"/>
      </w:pPr>
      <w:r>
        <w:rPr>
          <w:rFonts w:ascii="Arial" w:cs="Arial" w:eastAsia="Arial" w:hAnsi="Arial"/>
          <w:sz w:val="21"/>
          <w:szCs w:val="21"/>
        </w:rPr>
        <w:t xml:space="preserve">GPU cloud pricing has dropped dramatically through 2025-2026, with AWS reducing H100 pricing by 44% in June 2025. The following reflects current market rates as of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2060"/>
        <w:gridCol w:w="26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Provider</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GPU</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$/GPU-hr (On-Demand)</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$/GPU-hr (Spot/Discount)</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AWS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H100 (p5)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$3.90-4.20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~$1.90 (3yr plan)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44% price cut June 2025</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AWS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A100 (p4d)</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$4.10</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~$2.50 (spot)</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Mature, widely available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GCP</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H100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~$2.25 (spot)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A3-High instances</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Lambda Labs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H100 SXM</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$2.99</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Specialist, no spot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Lambda Labs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B200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$4.99</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N/A</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2x H100 FLOPS</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RunPod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H100 SXM</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$2.69</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Variable</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Per-second billing</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Vast.ai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H100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$1.49-2.99</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$1.49 (marketplace)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Cheapest, variable quality</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CoreWeave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H100 PCIe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$4.76</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~$1.90 (committed)</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Up to 60% discount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Modal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L40S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~$1.95</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Free tier ($30 credit)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Per-second billing</w:t>
            </w:r>
          </w:p>
        </w:tc>
      </w:tr>
    </w:tbl>
    <w:p>
      <w:pPr>
        <w:spacing w:after="80"/>
      </w:pPr>
    </w:p>
    <w:p>
      <w:pPr>
        <w:pStyle w:val="Heading2"/>
        <w:spacing w:after="160" w:before="280"/>
      </w:pPr>
      <w:r>
        <w:rPr>
          <w:rFonts w:ascii="Arial" w:cs="Arial" w:eastAsia="Arial" w:hAnsi="Arial"/>
          <w:b/>
          <w:bCs/>
          <w:color w:val="2E86C1"/>
          <w:sz w:val="26"/>
          <w:szCs w:val="26"/>
        </w:rPr>
        <w:t xml:space="preserve">2.2 Fine-Tuning Cost Estimates</w:t>
      </w:r>
    </w:p>
    <w:p>
      <w:pPr>
        <w:spacing w:after="120"/>
      </w:pPr>
      <w:r>
        <w:rPr>
          <w:rFonts w:ascii="Arial" w:cs="Arial" w:eastAsia="Arial" w:hAnsi="Arial"/>
          <w:sz w:val="21"/>
          <w:szCs w:val="21"/>
        </w:rPr>
        <w:t xml:space="preserve">Cost estimates assume Arkova's initial corpus of 10M documents, averaging 500 tokens each (5B total tokens). LoRA fine-tuning is recommended over full fine-tuning for 80% cost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160"/>
        <w:gridCol w:w="2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 Size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Cost/Run</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GPU Req.</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Time Est.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LoRA (Together AI)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$2,500</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Managed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4-8 hours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LoRA (Self-hosted)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7B</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$500-1,000</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1x A100</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6-12 hours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LoRA (Self-hosted)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$1,000-2,000</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1x A100 80GB</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12-24 hours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QLoRA (Self-hosted)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70B</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$1,500-3,000</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1x A100 80GB</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24-48 hours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 Fine-Tune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$5,000-10,000</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4x A100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24-48 hours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Fine-Tune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13B</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$10,000-20,000</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8x A100</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48-96 hours</w:t>
            </w:r>
          </w:p>
        </w:tc>
      </w:tr>
    </w:tbl>
    <w:p>
      <w:pPr>
        <w:spacing w:after="80"/>
      </w:pPr>
    </w:p>
    <w:p>
      <w:pPr>
        <w:pStyle w:val="Heading2"/>
        <w:spacing w:after="160" w:before="280"/>
      </w:pPr>
      <w:r>
        <w:rPr>
          <w:rFonts w:ascii="Arial" w:cs="Arial" w:eastAsia="Arial" w:hAnsi="Arial"/>
          <w:b/>
          <w:bCs/>
          <w:color w:val="2E86C1"/>
          <w:sz w:val="26"/>
          <w:szCs w:val="26"/>
        </w:rPr>
        <w:t xml:space="preserve">2.3 Managed Fine-Tuning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1400"/>
        <w:gridCol w:w="1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Provider</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Pricing Model</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 (7B, 5B tokens)</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Turnaround</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Models Supported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Together AI</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$0.50/M tokens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~$2,500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4-12 hrs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 Mistral, Qwen, Gemma</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Fireworks AI</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$0.50/M tokens (&lt;16B)</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~$2,500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4-12 hrs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Llama, Mistral, custom</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Predibase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Token-based (varies)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~$1,000-2,000 (LoRA)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2-8 hrs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LoRA specialist, many models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Anyscale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 fixed + $4/M tokens</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~$20,005</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Variable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Llama 2/3, Mistral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OpenPipe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Token-based (custom)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Contact sales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Various via third-party</w:t>
            </w:r>
          </w:p>
        </w:tc>
      </w:tr>
    </w:tbl>
    <w:p>
      <w:pPr>
        <w:spacing w:after="80"/>
      </w:pPr>
    </w:p>
    <w:p>
      <w:pPr>
        <w:pStyle w:val="Heading2"/>
        <w:spacing w:after="160" w:before="280"/>
      </w:pPr>
      <w:r>
        <w:rPr>
          <w:rFonts w:ascii="Arial" w:cs="Arial" w:eastAsia="Arial" w:hAnsi="Arial"/>
          <w:b/>
          <w:bCs/>
          <w:color w:val="2E86C1"/>
          <w:sz w:val="26"/>
          <w:szCs w:val="26"/>
        </w:rPr>
        <w:t xml:space="preserve">2.4 Dataset Preparation Costs</w:t>
      </w:r>
    </w:p>
    <w:p>
      <w:pPr>
        <w:spacing w:after="120"/>
      </w:pPr>
      <w:r>
        <w:rPr>
          <w:rFonts w:ascii="Arial" w:cs="Arial" w:eastAsia="Arial" w:hAnsi="Arial"/>
          <w:sz w:val="21"/>
          <w:szCs w:val="21"/>
        </w:rPr>
        <w:t xml:space="preserve">Preparing 10M+ documents for fine-tuning involves tokenization, cleaning, formatting, and quality assurance. Government and public documents (SEC EDGAR, USPTO, OpenAlex) require less cleaning than general web data but still need structured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1800"/>
        <w:gridCol w:w="220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Document parsing/extraction</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Automated pipeline (Python)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$500-1,000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 weeks</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Tokenization (5B tokens)</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HuggingFace tokenizers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~$200 compute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 days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Quality filtering/dedup</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MinHash + perplexity filter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$300-500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2-3 days</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Instruction formatting</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Template-based conversion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$200-400</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 week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QA &amp; validation</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Spot-check + automated metrics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$500-1,000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 week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TOTAL</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$1,700-3,100</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3-4 weeks</w:t>
            </w:r>
          </w:p>
        </w:tc>
      </w:tr>
    </w:tbl>
    <w:p>
      <w:pPr>
        <w:spacing w:after="80"/>
      </w:pPr>
    </w:p>
    <w:p>
      <w:pPr>
        <w:pStyle w:val="Heading2"/>
        <w:spacing w:after="160" w:before="280"/>
      </w:pPr>
      <w:r>
        <w:rPr>
          <w:rFonts w:ascii="Arial" w:cs="Arial" w:eastAsia="Arial" w:hAnsi="Arial"/>
          <w:b/>
          <w:bCs/>
          <w:color w:val="2E86C1"/>
          <w:sz w:val="26"/>
          <w:szCs w:val="26"/>
        </w:rPr>
        <w:t xml:space="preserve">2.5 Ongoing Training Costs</w:t>
      </w:r>
    </w:p>
    <w:p>
      <w:pPr>
        <w:spacing w:after="120"/>
      </w:pPr>
      <w:r>
        <w:rPr>
          <w:rFonts w:ascii="Arial" w:cs="Arial" w:eastAsia="Arial" w:hAnsi="Arial"/>
          <w:sz w:val="21"/>
          <w:szCs w:val="21"/>
        </w:rPr>
        <w:t xml:space="preserve">As the corpus grows beyond the initial 10M documents, Arkova needs a continuous learning strategy. Incremental LoRA updates are 70-90% cheaper than full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Monthly Cost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Monthly LoRA refresh (7B)</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$200-500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Retrain adapter on new documents only</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Quarterly full retrain (7B)</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$800-2,000/quarter</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LoRA retrain on entire corpus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Embedding index updates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$100-300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Incremental vector DB updates</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Data pipeline maintenance</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$500-1,000</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ETL, monitoring, quality checks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TOTAL ONGOING</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$800-1,800/mo</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
            </w:r>
          </w:p>
        </w:tc>
      </w:tr>
    </w:tbl>
    <w:p>
      <w:pPr>
        <w:spacing w:after="80"/>
      </w:pPr>
    </w:p>
    <w:p>
      <w:pPr>
        <w:pStyle w:val="Heading2"/>
        <w:spacing w:after="160" w:before="280"/>
      </w:pPr>
      <w:r>
        <w:rPr>
          <w:rFonts w:ascii="Arial" w:cs="Arial" w:eastAsia="Arial" w:hAnsi="Arial"/>
          <w:b/>
          <w:bCs/>
          <w:color w:val="2E86C1"/>
          <w:sz w:val="26"/>
          <w:szCs w:val="26"/>
        </w:rPr>
        <w:t xml:space="preserve">2.6 Year 1 Infrastructure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20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Conservative</w:t>
            </w:r>
          </w:p>
        </w:tc>
        <w:tc>
          <w:tcPr>
            <w:tcW w:type="dxa" w:w="20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Moderate</w:t>
            </w:r>
          </w:p>
        </w:tc>
        <w:tc>
          <w:tcPr>
            <w:tcW w:type="dxa" w:w="205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Aggressive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Dataset preparation</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$2,000</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$3,000</w:t>
            </w:r>
          </w:p>
        </w:tc>
        <w:tc>
          <w:tcPr>
            <w:tcW w:type="dxa" w:w="20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$5,000</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Initial fine-tuning (3 runs)</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$3,000</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$7,500</w:t>
            </w:r>
          </w:p>
        </w:tc>
        <w:tc>
          <w:tcPr>
            <w:tcW w:type="dxa" w:w="205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Inference infrastructure (12 mo)</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$6,000</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$12,000</w:t>
            </w:r>
          </w:p>
        </w:tc>
        <w:tc>
          <w:tcPr>
            <w:tcW w:type="dxa" w:w="20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$36,000</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Embedding/vector DB</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$1,200</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$3,600</w:t>
            </w:r>
          </w:p>
        </w:tc>
        <w:tc>
          <w:tcPr>
            <w:tcW w:type="dxa" w:w="205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$7,200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ML engineering (1 FTE)</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$150,000</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$165,000</w:t>
            </w:r>
          </w:p>
        </w:tc>
        <w:tc>
          <w:tcPr>
            <w:tcW w:type="dxa" w:w="20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$180,000</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Synthetic data APIs + fine-tune compute</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$25,000</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$40,000</w:t>
            </w:r>
          </w:p>
        </w:tc>
        <w:tc>
          <w:tcPr>
            <w:tcW w:type="dxa" w:w="205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Managed services/tools</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$5,000</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$12,000</w:t>
            </w:r>
          </w:p>
        </w:tc>
        <w:tc>
          <w:tcPr>
            <w:tcW w:type="dxa" w:w="20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$24,000</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Contingency (15%)</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$70,000</w:t>
            </w:r>
          </w:p>
        </w:tc>
        <w:tc>
          <w:tcPr>
            <w:tcW w:type="dxa" w:w="20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$92,000</w:t>
            </w:r>
          </w:p>
        </w:tc>
        <w:tc>
          <w:tcPr>
            <w:tcW w:type="dxa" w:w="205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$121,000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TOTAL YEAR 1</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$537,200</w:t>
            </w:r>
          </w:p>
        </w:tc>
        <w:tc>
          <w:tcPr>
            <w:tcW w:type="dxa" w:w="20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$710,100</w:t>
            </w:r>
          </w:p>
        </w:tc>
        <w:tc>
          <w:tcPr>
            <w:tcW w:type="dxa" w:w="20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$928,200</w:t>
            </w:r>
          </w:p>
        </w:tc>
      </w:tr>
    </w:tbl>
    <w:p>
      <w:r>
        <w:br w:type="page"/>
      </w:r>
    </w:p>
    <w:p>
      <w:pPr>
        <w:pStyle w:val="Heading1"/>
        <w:spacing w:after="200" w:before="360"/>
      </w:pPr>
      <w:r>
        <w:rPr>
          <w:rFonts w:ascii="Arial" w:cs="Arial" w:eastAsia="Arial" w:hAnsi="Arial"/>
          <w:b/>
          <w:bCs/>
          <w:color w:val="1B4F72"/>
          <w:sz w:val="32"/>
          <w:szCs w:val="32"/>
        </w:rPr>
        <w:t xml:space="preserve">3. Inference &amp; Deployment</w:t>
      </w:r>
    </w:p>
    <w:p>
      <w:pPr>
        <w:pStyle w:val="Heading2"/>
        <w:spacing w:after="160" w:before="280"/>
      </w:pPr>
      <w:r>
        <w:rPr>
          <w:rFonts w:ascii="Arial" w:cs="Arial" w:eastAsia="Arial" w:hAnsi="Arial"/>
          <w:b/>
          <w:bCs/>
          <w:color w:val="2E86C1"/>
          <w:sz w:val="26"/>
          <w:szCs w:val="26"/>
        </w:rPr>
        <w:t xml:space="preserve">3.1 Self-Hosted Inference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60"/>
        <w:gridCol w:w="2000"/>
        <w:gridCol w:w="1600"/>
        <w:gridCol w:w="180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Framework</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Throughput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Best For</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GPU Needs</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Maturity</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vLLM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12,500 tok/s (8B, H100)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High-concurrency batch serving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A100/H100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Production-ready</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TGI (HuggingFace)</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3x tokens on long prompts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Latency-sensitive, long context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A100/H100</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Maintenance mode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llama.cpp</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150 tok/s (RTX 4090)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Portable, CPU/edge, development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Optional GPU</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Extremely mature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Ollama</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NPU-optimized</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Local dev, desktop apps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Optional</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Rapidly evolving</w:t>
            </w:r>
          </w:p>
        </w:tc>
      </w:tr>
    </w:tbl>
    <w:p>
      <w:pPr>
        <w:spacing w:after="120"/>
      </w:pPr>
      <w:r>
        <w:rPr>
          <w:rFonts w:ascii="Arial" w:cs="Arial" w:eastAsia="Arial" w:hAnsi="Arial"/>
          <w:sz w:val="21"/>
          <w:szCs w:val="21"/>
        </w:rPr>
        <w:t xml:space="preserve">For Arkova's verification API, vLLM is recommended for server-side inference due to its PagedAttention mechanism and high throughput at concurrency. For development and testing, Ollama provides the fastest iteration cycle.</w:t>
      </w:r>
    </w:p>
    <w:p>
      <w:pPr>
        <w:spacing w:after="80"/>
      </w:pPr>
    </w:p>
    <w:p>
      <w:pPr>
        <w:pStyle w:val="Heading2"/>
        <w:spacing w:after="160" w:before="280"/>
      </w:pPr>
      <w:r>
        <w:rPr>
          <w:rFonts w:ascii="Arial" w:cs="Arial" w:eastAsia="Arial" w:hAnsi="Arial"/>
          <w:b/>
          <w:bCs/>
          <w:color w:val="2E86C1"/>
          <w:sz w:val="26"/>
          <w:szCs w:val="26"/>
        </w:rPr>
        <w:t xml:space="preserve">3.2 Managed Inference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1400"/>
        <w:gridCol w:w="36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Provider</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Pricing (per 1M tokens)</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Latency</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Special Features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Together AI</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$0.03-0.09 (small models)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Low</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 batch discount, Blackwell-optimized</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Fireworks AI</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$0.20-0.50 (serverless)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Low</w:t>
            </w:r>
          </w:p>
        </w:tc>
        <w:tc>
          <w:tcPr>
            <w:tcW w:type="dxa" w:w="3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Cached input 50% off, fine-tuned at base rate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Groq</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$0.11-0.79 (model dependent)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Ultra-low (LPU)</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 tok/s on 70B, 10x H100 speed</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Cerebras</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$0.10-12.00 (tier dependent)</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Ultra-low</w:t>
            </w:r>
          </w:p>
        </w:tc>
        <w:tc>
          <w:tcPr>
            <w:tcW w:type="dxa" w:w="3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969 tok/s on 405B, free tier available</w:t>
            </w:r>
          </w:p>
        </w:tc>
      </w:tr>
    </w:tbl>
    <w:p>
      <w:pPr>
        <w:spacing w:after="80"/>
      </w:pPr>
    </w:p>
    <w:p>
      <w:pPr>
        <w:pStyle w:val="Heading2"/>
        <w:spacing w:after="160" w:before="280"/>
      </w:pPr>
      <w:r>
        <w:rPr>
          <w:rFonts w:ascii="Arial" w:cs="Arial" w:eastAsia="Arial" w:hAnsi="Arial"/>
          <w:b/>
          <w:bCs/>
          <w:color w:val="2E86C1"/>
          <w:sz w:val="26"/>
          <w:szCs w:val="26"/>
        </w:rPr>
        <w:t xml:space="preserve">3.3 Edge Deployment: Cloudflare Workers AI</w:t>
      </w:r>
    </w:p>
    <w:p>
      <w:pPr>
        <w:spacing w:after="120"/>
      </w:pPr>
      <w:r>
        <w:rPr>
          <w:rFonts w:ascii="Arial" w:cs="Arial" w:eastAsia="Arial" w:hAnsi="Arial"/>
          <w:sz w:val="21"/>
          <w:szCs w:val="21"/>
        </w:rPr>
        <w:t xml:space="preserve">Given Arkova's existing Cloudflare Workers stack, Workers AI is a natural fit for edge inference. Current capabilities:</w:t>
      </w:r>
    </w:p>
    <w:p>
      <w:pPr>
        <w:pStyle w:val="ListParagraph"/>
        <w:numPr>
          <w:ilvl w:val="0"/>
          <w:numId w:val="5"/>
        </w:numPr>
        <w:spacing w:after="60"/>
      </w:pPr>
      <w:r>
        <w:rPr>
          <w:rFonts w:ascii="Arial" w:cs="Arial" w:eastAsia="Arial" w:hAnsi="Arial"/>
          <w:sz w:val="21"/>
          <w:szCs w:val="21"/>
        </w:rPr>
        <w:t xml:space="preserve">Supports models up to Llama 3.3 70B (FP8 quantized) and Kimi K2.5 with 256K context.</w:t>
      </w:r>
    </w:p>
    <w:p>
      <w:pPr>
        <w:pStyle w:val="ListParagraph"/>
        <w:numPr>
          <w:ilvl w:val="0"/>
          <w:numId w:val="5"/>
        </w:numPr>
        <w:spacing w:after="60"/>
      </w:pPr>
      <w:r>
        <w:rPr>
          <w:rFonts w:ascii="Arial" w:cs="Arial" w:eastAsia="Arial" w:hAnsi="Arial"/>
          <w:sz w:val="21"/>
          <w:szCs w:val="21"/>
        </w:rPr>
        <w:t xml:space="preserve">Pricing: $0.011 per 1,000 Neurons (free tier: 10,000 Neurons/day).</w:t>
      </w:r>
    </w:p>
    <w:p>
      <w:pPr>
        <w:pStyle w:val="ListParagraph"/>
        <w:numPr>
          <w:ilvl w:val="0"/>
          <w:numId w:val="5"/>
        </w:numPr>
        <w:spacing w:after="60"/>
      </w:pPr>
      <w:r>
        <w:rPr>
          <w:rFonts w:ascii="Arial" w:cs="Arial" w:eastAsia="Arial" w:hAnsi="Arial"/>
          <w:sz w:val="21"/>
          <w:szCs w:val="21"/>
        </w:rPr>
        <w:t xml:space="preserve">Automatic scaling, no GPU management required.</w:t>
      </w:r>
    </w:p>
    <w:p>
      <w:pPr>
        <w:pStyle w:val="ListParagraph"/>
        <w:numPr>
          <w:ilvl w:val="0"/>
          <w:numId w:val="5"/>
        </w:numPr>
        <w:spacing w:after="60"/>
      </w:pPr>
      <w:r>
        <w:rPr>
          <w:rFonts w:ascii="Arial" w:cs="Arial" w:eastAsia="Arial" w:hAnsi="Arial"/>
          <w:sz w:val="21"/>
          <w:szCs w:val="21"/>
        </w:rPr>
        <w:t xml:space="preserve">Vectorize v2 supports 5M vector indexes with 95% latency reduction (500ms to 30ms).</w:t>
      </w:r>
    </w:p>
    <w:p>
      <w:pPr>
        <w:pStyle w:val="ListParagraph"/>
        <w:numPr>
          <w:ilvl w:val="0"/>
          <w:numId w:val="5"/>
        </w:numPr>
        <w:spacing w:after="60"/>
      </w:pPr>
      <w:r>
        <w:rPr>
          <w:rFonts w:ascii="Arial" w:cs="Arial" w:eastAsia="Arial" w:hAnsi="Arial"/>
          <w:sz w:val="21"/>
          <w:szCs w:val="21"/>
        </w:rPr>
        <w:t xml:space="preserve">Limitation: No custom fine-tuned model deployment. Arkova would need to use base models via Workers AI and supplement with self-hosted fine-tuned models.</w:t>
      </w:r>
    </w:p>
    <w:p>
      <w:pPr>
        <w:spacing w:after="80"/>
      </w:pPr>
    </w:p>
    <w:p>
      <w:pPr>
        <w:pStyle w:val="Heading2"/>
        <w:spacing w:after="160" w:before="280"/>
      </w:pPr>
      <w:r>
        <w:rPr>
          <w:rFonts w:ascii="Arial" w:cs="Arial" w:eastAsia="Arial" w:hAnsi="Arial"/>
          <w:b/>
          <w:bCs/>
          <w:color w:val="2E86C1"/>
          <w:sz w:val="26"/>
          <w:szCs w:val="26"/>
        </w:rPr>
        <w:t xml:space="preserve">3.4 Client-Side Inference (Preserving the Privacy Guarantee)</w:t>
      </w:r>
    </w:p>
    <w:p>
      <w:pPr>
        <w:spacing w:after="120"/>
      </w:pPr>
      <w:r>
        <w:rPr>
          <w:rFonts w:ascii="Arial" w:cs="Arial" w:eastAsia="Arial" w:hAnsi="Arial"/>
          <w:sz w:val="21"/>
          <w:szCs w:val="21"/>
        </w:rPr>
        <w:t xml:space="preserve">This is a critical architectural decision for Arkova. The documents-never-leave-device guarantee can be maintained even with AI-powered analysis through browser-based inference.</w:t>
      </w:r>
    </w:p>
    <w:p>
      <w:pPr>
        <w:spacing w:after="80"/>
      </w:pPr>
    </w:p>
    <w:p>
      <w:pPr>
        <w:pStyle w:val="Heading3"/>
        <w:spacing w:after="120" w:before="200"/>
      </w:pPr>
      <w:r>
        <w:rPr>
          <w:rFonts w:ascii="Arial" w:cs="Arial" w:eastAsia="Arial" w:hAnsi="Arial"/>
          <w:b/>
          <w:bCs/>
          <w:color w:val="2C3E50"/>
          <w:sz w:val="22"/>
          <w:szCs w:val="22"/>
        </w:rPr>
        <w:t xml:space="preserve">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160"/>
        <w:gridCol w:w="16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 Sizes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Performance</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 Support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WebLLM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1B-7B (quantized)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80% of native speed</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Chrome, Firefox, Safari (WebGPU)</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RECOMMENDED</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Transformers.js v4</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Up to 2B (FP16)</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20-40 tok/s with WebGPU</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All major browsers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Good for embeddings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ONNX Runtime Web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Up to 3B</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major browsers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Foundation layer</w:t>
            </w:r>
          </w:p>
        </w:tc>
      </w:tr>
    </w:tbl>
    <w:p>
      <w:pPr>
        <w:spacing w:after="80"/>
      </w:pPr>
    </w:p>
    <w:p>
      <w:pPr>
        <w:pStyle w:val="Heading3"/>
        <w:spacing w:after="120" w:before="200"/>
      </w:pPr>
      <w:r>
        <w:rPr>
          <w:rFonts w:ascii="Arial" w:cs="Arial" w:eastAsia="Arial" w:hAnsi="Arial"/>
          <w:b/>
          <w:bCs/>
          <w:color w:val="2C3E50"/>
          <w:sz w:val="22"/>
          <w:szCs w:val="22"/>
        </w:rPr>
        <w:t xml:space="preserve">Recommended Client-Side Architecture</w:t>
      </w:r>
    </w:p>
    <w:p>
      <w:pPr>
        <w:spacing w:after="120"/>
      </w:pPr>
      <w:r>
        <w:rPr>
          <w:rFonts w:ascii="Arial" w:cs="Arial" w:eastAsia="Arial" w:hAnsi="Arial"/>
          <w:sz w:val="21"/>
          <w:szCs w:val="21"/>
        </w:rPr>
        <w:t xml:space="preserve">Deploy a quantized Llama 3.2 1B or 3B model via WebLLM for on-device document analysis. This model handles document understanding tasks (summarization, key term extraction, risk identification) while the verification queries are routed to the server-side RAG system. The WebGPU backend delivers 40-180 tokens/second on modern hardware, with model loading taking 2-3 minutes on first visit (cacheable in browser storage for subsequent sessions).</w:t>
      </w:r>
    </w:p>
    <w:p>
      <w:pPr>
        <w:spacing w:after="120"/>
      </w:pPr>
      <w:r>
        <w:rPr>
          <w:rFonts w:ascii="Arial" w:cs="Arial" w:eastAsia="Arial" w:hAnsi="Arial"/>
          <w:sz w:val="21"/>
          <w:szCs w:val="21"/>
        </w:rPr>
        <w:t xml:space="preserve">WebGPU is now supported across all major browsers as of November 2025 (Chrome since 2023, Firefox v141 July 2025, Safari v26 September 2025). This means Arkova can offer client-side AI to 95%+ of its users without fallback concerns.</w:t>
      </w:r>
    </w:p>
    <w:p>
      <w:pPr>
        <w:spacing w:after="80"/>
      </w:pPr>
    </w:p>
    <w:p>
      <w:pPr>
        <w:pStyle w:val="Heading2"/>
        <w:spacing w:after="160" w:before="280"/>
      </w:pPr>
      <w:r>
        <w:rPr>
          <w:rFonts w:ascii="Arial" w:cs="Arial" w:eastAsia="Arial" w:hAnsi="Arial"/>
          <w:b/>
          <w:bCs/>
          <w:color w:val="2E86C1"/>
          <w:sz w:val="26"/>
          <w:szCs w:val="26"/>
        </w:rPr>
        <w:t xml:space="preserve">3.5 Inference Cost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60"/>
        <w:gridCol w:w="2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Deployment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Cost/1K Queries</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Latency</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Scale-to-Zero</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Client-side (WebLLM)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 3.2 3B Q4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 (user hardware)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200-500ms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N/A</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Cloudflare Workers AI</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Base model</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~$0.01-0.05</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50-200ms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Self-hosted vLLM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Fine-tuned 7B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~$0.02-0.08</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100-300ms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(keep warm)</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Together AI</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Fine-tuned 7B</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~$0.05-0.20</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100-500ms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Groq</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 3 70B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~$0.20-0.80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20-50ms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Yes</w:t>
            </w:r>
          </w:p>
        </w:tc>
      </w:tr>
    </w:tbl>
    <w:p>
      <w:pPr>
        <w:spacing w:after="80"/>
      </w:pPr>
    </w:p>
    <w:p>
      <w:pPr>
        <w:pStyle w:val="Heading2"/>
        <w:spacing w:after="160" w:before="280"/>
      </w:pPr>
      <w:r>
        <w:rPr>
          <w:rFonts w:ascii="Arial" w:cs="Arial" w:eastAsia="Arial" w:hAnsi="Arial"/>
          <w:b/>
          <w:bCs/>
          <w:color w:val="2E86C1"/>
          <w:sz w:val="26"/>
          <w:szCs w:val="26"/>
        </w:rPr>
        <w:t xml:space="preserve">3.6 Auto-Scaling Strategy</w:t>
      </w:r>
    </w:p>
    <w:p>
      <w:pPr>
        <w:spacing w:after="120"/>
      </w:pPr>
      <w:r>
        <w:rPr>
          <w:rFonts w:ascii="Arial" w:cs="Arial" w:eastAsia="Arial" w:hAnsi="Arial"/>
          <w:sz w:val="21"/>
          <w:szCs w:val="21"/>
        </w:rPr>
        <w:t xml:space="preserve">Arkova's traffic will be bursty (SEC filing deadlines, patent publication dates, academic conference seasons). The recommended approach uses a tiered architecture:</w:t>
      </w:r>
    </w:p>
    <w:p>
      <w:pPr>
        <w:pStyle w:val="ListParagraph"/>
        <w:numPr>
          <w:ilvl w:val="0"/>
          <w:numId w:val="6"/>
        </w:numPr>
        <w:spacing w:after="60"/>
      </w:pPr>
      <w:r>
        <w:rPr>
          <w:rFonts w:ascii="Arial" w:cs="Arial" w:eastAsia="Arial" w:hAnsi="Arial"/>
          <w:sz w:val="21"/>
          <w:szCs w:val="21"/>
        </w:rPr>
        <w:t xml:space="preserve">Tier 1 (Client-Side): WebLLM handles document analysis queries locally at zero marginal cost. Absorbs 40-60% of total query volume.</w:t>
      </w:r>
    </w:p>
    <w:p>
      <w:pPr>
        <w:pStyle w:val="ListParagraph"/>
        <w:numPr>
          <w:ilvl w:val="0"/>
          <w:numId w:val="6"/>
        </w:numPr>
        <w:spacing w:after="60"/>
      </w:pPr>
      <w:r>
        <w:rPr>
          <w:rFonts w:ascii="Arial" w:cs="Arial" w:eastAsia="Arial" w:hAnsi="Arial"/>
          <w:sz w:val="21"/>
          <w:szCs w:val="21"/>
        </w:rPr>
        <w:t xml:space="preserve">Tier 2 (Edge): Cloudflare Workers AI handles verification API queries using base models. Scales automatically, $0.011/1K Neurons.</w:t>
      </w:r>
    </w:p>
    <w:p>
      <w:pPr>
        <w:pStyle w:val="ListParagraph"/>
        <w:numPr>
          <w:ilvl w:val="0"/>
          <w:numId w:val="6"/>
        </w:numPr>
        <w:spacing w:after="60"/>
      </w:pPr>
      <w:r>
        <w:rPr>
          <w:rFonts w:ascii="Arial" w:cs="Arial" w:eastAsia="Arial" w:hAnsi="Arial"/>
          <w:sz w:val="21"/>
          <w:szCs w:val="21"/>
        </w:rPr>
        <w:t xml:space="preserve">Tier 3 (Dedicated): Self-hosted vLLM on RunPod serverless for fine-tuned model queries. Scale-to-zero capability with per-second billing.</w:t>
      </w:r>
    </w:p>
    <w:p>
      <w:pPr>
        <w:pStyle w:val="ListParagraph"/>
        <w:numPr>
          <w:ilvl w:val="0"/>
          <w:numId w:val="6"/>
        </w:numPr>
        <w:spacing w:after="60"/>
      </w:pPr>
      <w:r>
        <w:rPr>
          <w:rFonts w:ascii="Arial" w:cs="Arial" w:eastAsia="Arial" w:hAnsi="Arial"/>
          <w:sz w:val="21"/>
          <w:szCs w:val="21"/>
        </w:rPr>
        <w:t xml:space="preserve">Tier 4 (Burst): Together AI or Groq API as overflow for traffic spikes. Pay-per-token, no infrastructure commitment.</w:t>
      </w:r>
    </w:p>
    <w:p>
      <w:pPr>
        <w:spacing w:after="120"/>
      </w:pPr>
      <w:r>
        <w:rPr>
          <w:rFonts w:ascii="Arial" w:cs="Arial" w:eastAsia="Arial" w:hAnsi="Arial"/>
          <w:sz w:val="21"/>
          <w:szCs w:val="21"/>
        </w:rPr>
        <w:t xml:space="preserve">This architecture reduces average cost per query by 60-80% compared to a single-tier managed inference approach, while maintaining sub-500ms latency for 95% of queries.</w:t>
      </w:r>
    </w:p>
    <w:p>
      <w:r>
        <w:br w:type="page"/>
      </w:r>
    </w:p>
    <w:p>
      <w:pPr>
        <w:pStyle w:val="Heading1"/>
        <w:spacing w:after="200" w:before="360"/>
      </w:pPr>
      <w:r>
        <w:rPr>
          <w:rFonts w:ascii="Arial" w:cs="Arial" w:eastAsia="Arial" w:hAnsi="Arial"/>
          <w:b/>
          <w:bCs/>
          <w:color w:val="1B4F72"/>
          <w:sz w:val="32"/>
          <w:szCs w:val="32"/>
        </w:rPr>
        <w:t xml:space="preserve">4. The Verified Training Data Moat</w:t>
      </w:r>
    </w:p>
    <w:p>
      <w:pPr>
        <w:pStyle w:val="Heading2"/>
        <w:spacing w:after="160" w:before="280"/>
      </w:pPr>
      <w:r>
        <w:rPr>
          <w:rFonts w:ascii="Arial" w:cs="Arial" w:eastAsia="Arial" w:hAnsi="Arial"/>
          <w:b/>
          <w:bCs/>
          <w:color w:val="2E86C1"/>
          <w:sz w:val="26"/>
          <w:szCs w:val="26"/>
        </w:rPr>
        <w:t xml:space="preserve">4.1 What Cryptographically Verified Training Data Means</w:t>
      </w:r>
    </w:p>
    <w:p>
      <w:pPr>
        <w:spacing w:after="120"/>
      </w:pPr>
      <w:r>
        <w:rPr>
          <w:rFonts w:ascii="Arial" w:cs="Arial" w:eastAsia="Arial" w:hAnsi="Arial"/>
          <w:sz w:val="21"/>
          <w:szCs w:val="21"/>
        </w:rPr>
        <w:t xml:space="preserve">In Arkova's context, cryptographically verified training data means every document in the model's training corpus has been fingerprinted client-side (SHA-256 hash of the original content) and that fingerprint has been anchored to the Bitcoin blockchain, creating a tamper-evident timestamp. This provides three guarantees:</w:t>
      </w:r>
    </w:p>
    <w:p>
      <w:pPr>
        <w:pStyle w:val="ListParagraph"/>
        <w:numPr>
          <w:ilvl w:val="0"/>
          <w:numId w:val="7"/>
        </w:numPr>
        <w:spacing w:after="60"/>
      </w:pPr>
      <w:r>
        <w:rPr>
          <w:rFonts w:ascii="Arial" w:cs="Arial" w:eastAsia="Arial" w:hAnsi="Arial"/>
          <w:sz w:val="21"/>
          <w:szCs w:val="21"/>
        </w:rPr>
        <w:t xml:space="preserve">Existence Proof: The document existed at the time of anchoring (Bitcoin block timestamp).</w:t>
      </w:r>
    </w:p>
    <w:p>
      <w:pPr>
        <w:pStyle w:val="ListParagraph"/>
        <w:numPr>
          <w:ilvl w:val="0"/>
          <w:numId w:val="7"/>
        </w:numPr>
        <w:spacing w:after="60"/>
      </w:pPr>
      <w:r>
        <w:rPr>
          <w:rFonts w:ascii="Arial" w:cs="Arial" w:eastAsia="Arial" w:hAnsi="Arial"/>
          <w:sz w:val="21"/>
          <w:szCs w:val="21"/>
        </w:rPr>
        <w:t xml:space="preserve">Integrity Proof: The document has not been modified since anchoring (hash comparison).</w:t>
      </w:r>
    </w:p>
    <w:p>
      <w:pPr>
        <w:pStyle w:val="ListParagraph"/>
        <w:numPr>
          <w:ilvl w:val="0"/>
          <w:numId w:val="7"/>
        </w:numPr>
        <w:spacing w:after="60"/>
      </w:pPr>
      <w:r>
        <w:rPr>
          <w:rFonts w:ascii="Arial" w:cs="Arial" w:eastAsia="Arial" w:hAnsi="Arial"/>
          <w:sz w:val="21"/>
          <w:szCs w:val="21"/>
        </w:rPr>
        <w:t xml:space="preserve">Provenance Chain: Each training example can be traced to a specific anchored document via its hash.</w:t>
      </w:r>
    </w:p>
    <w:p>
      <w:pPr>
        <w:spacing w:after="120"/>
      </w:pPr>
      <w:r>
        <w:rPr>
          <w:rFonts w:ascii="Arial" w:cs="Arial" w:eastAsia="Arial" w:hAnsi="Arial"/>
          <w:sz w:val="21"/>
          <w:szCs w:val="21"/>
        </w:rPr>
        <w:t xml:space="preserve">This is fundamentally different from how any other AI company handles training data. OpenAI, Anthropic, Google, and Meta train on web scrapes with no cryptographic proof of source document integrity or timestamp.</w:t>
      </w:r>
    </w:p>
    <w:p>
      <w:pPr>
        <w:spacing w:after="80"/>
      </w:pPr>
    </w:p>
    <w:p>
      <w:pPr>
        <w:pStyle w:val="Heading2"/>
        <w:spacing w:after="160" w:before="280"/>
      </w:pPr>
      <w:r>
        <w:rPr>
          <w:rFonts w:ascii="Arial" w:cs="Arial" w:eastAsia="Arial" w:hAnsi="Arial"/>
          <w:b/>
          <w:bCs/>
          <w:color w:val="2E86C1"/>
          <w:sz w:val="26"/>
          <w:szCs w:val="26"/>
        </w:rPr>
        <w:t xml:space="preserve">4.2 Provenance: From Training Data to Model Output</w:t>
      </w:r>
    </w:p>
    <w:p>
      <w:pPr>
        <w:spacing w:after="120"/>
      </w:pPr>
      <w:r>
        <w:rPr>
          <w:rFonts w:ascii="Arial" w:cs="Arial" w:eastAsia="Arial" w:hAnsi="Arial"/>
          <w:sz w:val="21"/>
          <w:szCs w:val="21"/>
        </w:rPr>
        <w:t xml:space="preserve">Maintaining the provenance chain from training data through to model output is the key technical challenge. There are three approaches, each with different fidelity:</w:t>
      </w:r>
    </w:p>
    <w:p>
      <w:pPr>
        <w:spacing w:after="80"/>
      </w:pPr>
    </w:p>
    <w:p>
      <w:pPr>
        <w:pStyle w:val="Heading3"/>
        <w:spacing w:after="120" w:before="200"/>
      </w:pPr>
      <w:r>
        <w:rPr>
          <w:rFonts w:ascii="Arial" w:cs="Arial" w:eastAsia="Arial" w:hAnsi="Arial"/>
          <w:b/>
          <w:bCs/>
          <w:color w:val="2C3E50"/>
          <w:sz w:val="22"/>
          <w:szCs w:val="22"/>
        </w:rPr>
        <w:t xml:space="preserve">Approach 1: RAG with Source Citations (Recommended, High Fidelity)</w:t>
      </w:r>
    </w:p>
    <w:p>
      <w:pPr>
        <w:spacing w:after="120"/>
      </w:pPr>
      <w:r>
        <w:rPr>
          <w:rFonts w:ascii="Arial" w:cs="Arial" w:eastAsia="Arial" w:hAnsi="Arial"/>
          <w:sz w:val="21"/>
          <w:szCs w:val="21"/>
        </w:rPr>
        <w:t xml:space="preserve">The most reliable provenance method. Every model response includes explicit citations to retrieved documents, each of which has a verifiable Bitcoin anchor. The user can click through to verify: (1) the cited document hash matches the anchored hash, and (2) the anchor transaction exists on the Bitcoin blockchain. This provides end-to-end verifiability.</w:t>
      </w:r>
    </w:p>
    <w:p>
      <w:pPr>
        <w:spacing w:after="80"/>
      </w:pPr>
    </w:p>
    <w:p>
      <w:pPr>
        <w:pStyle w:val="Heading3"/>
        <w:spacing w:after="120" w:before="200"/>
      </w:pPr>
      <w:r>
        <w:rPr>
          <w:rFonts w:ascii="Arial" w:cs="Arial" w:eastAsia="Arial" w:hAnsi="Arial"/>
          <w:b/>
          <w:bCs/>
          <w:color w:val="2C3E50"/>
          <w:sz w:val="22"/>
          <w:szCs w:val="22"/>
        </w:rPr>
        <w:t xml:space="preserve">Approach 2: Influence Functions (Research-Stage, Low Fidelity)</w:t>
      </w:r>
    </w:p>
    <w:p>
      <w:pPr>
        <w:spacing w:after="120"/>
      </w:pPr>
      <w:r>
        <w:rPr>
          <w:rFonts w:ascii="Arial" w:cs="Arial" w:eastAsia="Arial" w:hAnsi="Arial"/>
          <w:sz w:val="21"/>
          <w:szCs w:val="21"/>
        </w:rPr>
        <w:t xml:space="preserve">Influence functions can theoretically trace model outputs back to training examples by measuring counterfactual impact. Recent research has scaled these to 8B-parameter LLMs on 160B+ token corpora. However, a critical finding undermines the approach: examples that imply a fact are not necessarily those that influence the model to express it. LLMs are often influenced by rough heuristics rather than specific training documents. This makes influence functions useful for debugging but unreliable for user-facing provenance claims.</w:t>
      </w:r>
    </w:p>
    <w:p>
      <w:pPr>
        <w:spacing w:after="80"/>
      </w:pPr>
    </w:p>
    <w:p>
      <w:pPr>
        <w:pStyle w:val="Heading3"/>
        <w:spacing w:after="120" w:before="200"/>
      </w:pPr>
      <w:r>
        <w:rPr>
          <w:rFonts w:ascii="Arial" w:cs="Arial" w:eastAsia="Arial" w:hAnsi="Arial"/>
          <w:b/>
          <w:bCs/>
          <w:color w:val="2C3E50"/>
          <w:sz w:val="22"/>
          <w:szCs w:val="22"/>
        </w:rPr>
        <w:t xml:space="preserve">Approach 3: Training Data Attribution (Emerging, Medium Fidelity)</w:t>
      </w:r>
    </w:p>
    <w:p>
      <w:pPr>
        <w:spacing w:after="120"/>
      </w:pPr>
      <w:r>
        <w:rPr>
          <w:rFonts w:ascii="Arial" w:cs="Arial" w:eastAsia="Arial" w:hAnsi="Arial"/>
          <w:sz w:val="21"/>
          <w:szCs w:val="21"/>
        </w:rPr>
        <w:t xml:space="preserve">TRAK and similar attribution methods evaluate how modifying training data subsets affects outputs. While theoretically grounded, current methods are computationally expensive and produce probabilistic rather than deterministic provenance. Not recommended for production use in Arkova's initial deployment.</w:t>
      </w:r>
    </w:p>
    <w:p>
      <w:pPr>
        <w:spacing w:after="80"/>
      </w:pPr>
    </w:p>
    <w:p>
      <w:pPr>
        <w:pStyle w:val="Heading2"/>
        <w:spacing w:after="160" w:before="280"/>
      </w:pPr>
      <w:r>
        <w:rPr>
          <w:rFonts w:ascii="Arial" w:cs="Arial" w:eastAsia="Arial" w:hAnsi="Arial"/>
          <w:b/>
          <w:bCs/>
          <w:color w:val="2E86C1"/>
          <w:sz w:val="26"/>
          <w:szCs w:val="26"/>
        </w:rPr>
        <w:t xml:space="preserve">4.3 Comparison to Existing Grounded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Grounding Method</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Verification</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Provenance Strength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Arkova (proposed)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RAG + Bitcoin-anchored docs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Cryptographic (Bitcoin timestamp)</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STRONG: end-to-end verifiable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Google Grounding</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Real-time web search</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None (trusts source)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WEAK: source could change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Perplexity</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Web search + citations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None (37-45% hallucination)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WEAK: citations often wrong</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Harvey AI</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Case law database RAG</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Database authority only</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MEDIUM: trusted but not cryptographic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Bloomberg GPT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Proprietary data + RAG</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Internal quality control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MEDIUM: closed ecosystem</w:t>
            </w:r>
          </w:p>
        </w:tc>
      </w:tr>
    </w:tbl>
    <w:p>
      <w:pPr>
        <w:spacing w:after="80"/>
      </w:pPr>
    </w:p>
    <w:p>
      <w:pPr>
        <w:pStyle w:val="Heading2"/>
        <w:spacing w:after="160" w:before="280"/>
      </w:pPr>
      <w:r>
        <w:rPr>
          <w:rFonts w:ascii="Arial" w:cs="Arial" w:eastAsia="Arial" w:hAnsi="Arial"/>
          <w:b/>
          <w:bCs/>
          <w:color w:val="2E86C1"/>
          <w:sz w:val="26"/>
          <w:szCs w:val="26"/>
        </w:rPr>
        <w:t xml:space="preserve">4.4 Defensibility Analysis</w:t>
      </w:r>
    </w:p>
    <w:p>
      <w:pPr>
        <w:spacing w:after="120"/>
      </w:pPr>
      <w:r>
        <w:rPr>
          <w:rFonts w:ascii="Arial" w:cs="Arial" w:eastAsia="Arial" w:hAnsi="Arial"/>
          <w:sz w:val="21"/>
          <w:szCs w:val="21"/>
        </w:rPr>
        <w:t xml:space="preserve">Is the verified training data moat defensible, or easily replicable? The honest assessment:</w:t>
      </w:r>
    </w:p>
    <w:p>
      <w:pPr>
        <w:spacing w:after="80"/>
      </w:pPr>
    </w:p>
    <w:p>
      <w:pPr>
        <w:pStyle w:val="Heading3"/>
        <w:spacing w:after="120" w:before="200"/>
      </w:pPr>
      <w:r>
        <w:rPr>
          <w:rFonts w:ascii="Arial" w:cs="Arial" w:eastAsia="Arial" w:hAnsi="Arial"/>
          <w:b/>
          <w:bCs/>
          <w:color w:val="2C3E50"/>
          <w:sz w:val="22"/>
          <w:szCs w:val="22"/>
        </w:rPr>
        <w:t xml:space="preserve">What IS Defensible</w:t>
      </w:r>
    </w:p>
    <w:p>
      <w:pPr>
        <w:pStyle w:val="ListParagraph"/>
        <w:numPr>
          <w:ilvl w:val="0"/>
          <w:numId w:val="8"/>
        </w:numPr>
        <w:spacing w:after="60"/>
      </w:pPr>
      <w:r>
        <w:rPr>
          <w:rFonts w:ascii="Arial" w:cs="Arial" w:eastAsia="Arial" w:hAnsi="Arial"/>
          <w:sz w:val="21"/>
          <w:szCs w:val="21"/>
        </w:rPr>
        <w:t xml:space="preserve">First-mover corpus: 10M+ Bitcoin-anchored public documents with immutable timestamps. A competitor would need to re-anchor the same documents, and their timestamps would always be later than Arkova's.</w:t>
      </w:r>
    </w:p>
    <w:p>
      <w:pPr>
        <w:pStyle w:val="ListParagraph"/>
        <w:numPr>
          <w:ilvl w:val="0"/>
          <w:numId w:val="8"/>
        </w:numPr>
        <w:spacing w:after="60"/>
      </w:pPr>
      <w:r>
        <w:rPr>
          <w:rFonts w:ascii="Arial" w:cs="Arial" w:eastAsia="Arial" w:hAnsi="Arial"/>
          <w:sz w:val="21"/>
          <w:szCs w:val="21"/>
        </w:rPr>
        <w:t xml:space="preserve">Network effects: As more organizations verify documents through Arkova, the corpus grows, improving model quality and creating switching costs.</w:t>
      </w:r>
    </w:p>
    <w:p>
      <w:pPr>
        <w:pStyle w:val="ListParagraph"/>
        <w:numPr>
          <w:ilvl w:val="0"/>
          <w:numId w:val="8"/>
        </w:numPr>
        <w:spacing w:after="60"/>
      </w:pPr>
      <w:r>
        <w:rPr>
          <w:rFonts w:ascii="Arial" w:cs="Arial" w:eastAsia="Arial" w:hAnsi="Arial"/>
          <w:sz w:val="21"/>
          <w:szCs w:val="21"/>
        </w:rPr>
        <w:t xml:space="preserve">The verification API + x402 micropayment infrastructure is a genuine technical moat that would take 12-18 months to replicate.</w:t>
      </w:r>
    </w:p>
    <w:p>
      <w:pPr>
        <w:pStyle w:val="ListParagraph"/>
        <w:numPr>
          <w:ilvl w:val="0"/>
          <w:numId w:val="8"/>
        </w:numPr>
        <w:spacing w:after="60"/>
      </w:pPr>
      <w:r>
        <w:rPr>
          <w:rFonts w:ascii="Arial" w:cs="Arial" w:eastAsia="Arial" w:hAnsi="Arial"/>
          <w:sz w:val="21"/>
          <w:szCs w:val="21"/>
        </w:rPr>
        <w:t xml:space="preserve">Brand positioning as 'the verified intelligence platform' is defensible through consistent execution.</w:t>
      </w:r>
    </w:p>
    <w:p>
      <w:pPr>
        <w:spacing w:after="80"/>
      </w:pPr>
    </w:p>
    <w:p>
      <w:pPr>
        <w:pStyle w:val="Heading3"/>
        <w:spacing w:after="120" w:before="200"/>
      </w:pPr>
      <w:r>
        <w:rPr>
          <w:rFonts w:ascii="Arial" w:cs="Arial" w:eastAsia="Arial" w:hAnsi="Arial"/>
          <w:b/>
          <w:bCs/>
          <w:color w:val="2C3E50"/>
          <w:sz w:val="22"/>
          <w:szCs w:val="22"/>
        </w:rPr>
        <w:t xml:space="preserve">What Is NOT Defensible</w:t>
      </w:r>
    </w:p>
    <w:p>
      <w:pPr>
        <w:pStyle w:val="ListParagraph"/>
        <w:numPr>
          <w:ilvl w:val="0"/>
          <w:numId w:val="9"/>
        </w:numPr>
        <w:spacing w:after="60"/>
      </w:pPr>
      <w:r>
        <w:rPr>
          <w:rFonts w:ascii="Arial" w:cs="Arial" w:eastAsia="Arial" w:hAnsi="Arial"/>
          <w:sz w:val="21"/>
          <w:szCs w:val="21"/>
        </w:rPr>
        <w:t xml:space="preserve">The base model itself: Any competitor can fine-tune Llama on public documents.</w:t>
      </w:r>
    </w:p>
    <w:p>
      <w:pPr>
        <w:pStyle w:val="ListParagraph"/>
        <w:numPr>
          <w:ilvl w:val="0"/>
          <w:numId w:val="9"/>
        </w:numPr>
        <w:spacing w:after="60"/>
      </w:pPr>
      <w:r>
        <w:rPr>
          <w:rFonts w:ascii="Arial" w:cs="Arial" w:eastAsia="Arial" w:hAnsi="Arial"/>
          <w:sz w:val="21"/>
          <w:szCs w:val="21"/>
        </w:rPr>
        <w:t xml:space="preserve">The RAG architecture: Standard pattern, widely understood.</w:t>
      </w:r>
    </w:p>
    <w:p>
      <w:pPr>
        <w:pStyle w:val="ListParagraph"/>
        <w:numPr>
          <w:ilvl w:val="0"/>
          <w:numId w:val="9"/>
        </w:numPr>
        <w:spacing w:after="60"/>
      </w:pPr>
      <w:r>
        <w:rPr>
          <w:rFonts w:ascii="Arial" w:cs="Arial" w:eastAsia="Arial" w:hAnsi="Arial"/>
          <w:sz w:val="21"/>
          <w:szCs w:val="21"/>
        </w:rPr>
        <w:t xml:space="preserve">Government data access: SEC EDGAR, USPTO, and OpenAlex are freely available to anyone.</w:t>
      </w:r>
    </w:p>
    <w:p>
      <w:pPr>
        <w:pStyle w:val="ListParagraph"/>
        <w:numPr>
          <w:ilvl w:val="0"/>
          <w:numId w:val="9"/>
        </w:numPr>
        <w:spacing w:after="60"/>
      </w:pPr>
      <w:r>
        <w:rPr>
          <w:rFonts w:ascii="Arial" w:cs="Arial" w:eastAsia="Arial" w:hAnsi="Arial"/>
          <w:sz w:val="21"/>
          <w:szCs w:val="21"/>
        </w:rPr>
        <w:t xml:space="preserve">Bitcoin anchoring mechanics: The protocol is open; competitors could build their own anchoring system.</w:t>
      </w:r>
    </w:p>
    <w:p>
      <w:pPr>
        <w:spacing w:after="80"/>
      </w:pPr>
    </w:p>
    <w:p>
      <w:pPr>
        <w:pStyle w:val="Heading3"/>
        <w:spacing w:after="120" w:before="200"/>
      </w:pPr>
      <w:r>
        <w:rPr>
          <w:rFonts w:ascii="Arial" w:cs="Arial" w:eastAsia="Arial" w:hAnsi="Arial"/>
          <w:b/>
          <w:bCs/>
          <w:color w:val="2C3E50"/>
          <w:sz w:val="22"/>
          <w:szCs w:val="22"/>
        </w:rPr>
        <w:t xml:space="preserve">Net Assessment</w:t>
      </w:r>
    </w:p>
    <w:p>
      <w:pPr>
        <w:spacing w:after="120"/>
      </w:pPr>
      <w:r>
        <w:rPr>
          <w:rFonts w:ascii="Arial" w:cs="Arial" w:eastAsia="Arial" w:hAnsi="Arial"/>
          <w:sz w:val="21"/>
          <w:szCs w:val="21"/>
        </w:rPr>
        <w:t xml:space="preserve">The moat is real but has a time window. Arkova's advantage is the combination of verified corpus + inference infrastructure + verification API + brand, not any single component. The 12-18 month head start on corpus anchoring is the most durable advantage. The strategic imperative is to build network effects (enterprise customers, developer integrations) within that window before larger players could replicate the approach.</w:t>
      </w:r>
    </w:p>
    <w:p>
      <w:pPr>
        <w:spacing w:after="80"/>
      </w:pPr>
    </w:p>
    <w:p>
      <w:pPr>
        <w:pStyle w:val="Heading2"/>
        <w:spacing w:after="160" w:before="280"/>
      </w:pPr>
      <w:r>
        <w:rPr>
          <w:rFonts w:ascii="Arial" w:cs="Arial" w:eastAsia="Arial" w:hAnsi="Arial"/>
          <w:b/>
          <w:bCs/>
          <w:color w:val="2E86C1"/>
          <w:sz w:val="26"/>
          <w:szCs w:val="26"/>
        </w:rPr>
        <w:t xml:space="preserve">4.5 Legal Implications of Verified Public Training Data</w:t>
      </w:r>
    </w:p>
    <w:p>
      <w:pPr>
        <w:spacing w:after="120"/>
      </w:pPr>
      <w:r>
        <w:rPr>
          <w:rFonts w:ascii="Arial" w:cs="Arial" w:eastAsia="Arial" w:hAnsi="Arial"/>
          <w:sz w:val="21"/>
          <w:szCs w:val="21"/>
        </w:rPr>
        <w:t xml:space="preserve">Training on publicly available AND cryptographically timestamped government documents strengthens fair use arguments on multiple dimensions:</w:t>
      </w:r>
    </w:p>
    <w:p>
      <w:pPr>
        <w:pStyle w:val="ListParagraph"/>
        <w:numPr>
          <w:ilvl w:val="0"/>
          <w:numId w:val="10"/>
        </w:numPr>
        <w:spacing w:after="60"/>
      </w:pPr>
      <w:r>
        <w:rPr>
          <w:rFonts w:ascii="Arial" w:cs="Arial" w:eastAsia="Arial" w:hAnsi="Arial"/>
          <w:sz w:val="21"/>
          <w:szCs w:val="21"/>
        </w:rPr>
        <w:t xml:space="preserve">Government documents (SEC filings, USPTO patents, Federal Register entries) are generally in the public domain or have limited copyright protection. The Copyright Office distinguishes between pirated and legitimate public sources, favoring the latter.</w:t>
      </w:r>
    </w:p>
    <w:p>
      <w:pPr>
        <w:pStyle w:val="ListParagraph"/>
        <w:numPr>
          <w:ilvl w:val="0"/>
          <w:numId w:val="10"/>
        </w:numPr>
        <w:spacing w:after="60"/>
      </w:pPr>
      <w:r>
        <w:rPr>
          <w:rFonts w:ascii="Arial" w:cs="Arial" w:eastAsia="Arial" w:hAnsi="Arial"/>
          <w:sz w:val="21"/>
          <w:szCs w:val="21"/>
        </w:rPr>
        <w:t xml:space="preserve">Recent case law (Thomson Reuters v. ROSS, Bartz v. Anthropic, Kadrey v. Meta, all 2025) established that analytical use of copyrighted works for training can qualify as fair use.</w:t>
      </w:r>
    </w:p>
    <w:p>
      <w:pPr>
        <w:pStyle w:val="ListParagraph"/>
        <w:numPr>
          <w:ilvl w:val="0"/>
          <w:numId w:val="10"/>
        </w:numPr>
        <w:spacing w:after="60"/>
      </w:pPr>
      <w:r>
        <w:rPr>
          <w:rFonts w:ascii="Arial" w:cs="Arial" w:eastAsia="Arial" w:hAnsi="Arial"/>
          <w:sz w:val="21"/>
          <w:szCs w:val="21"/>
        </w:rPr>
        <w:t xml:space="preserve">Cryptographic verification of source authenticity demonstrates good-faith sourcing and non-pirated provenance, which the Copyright Office guidance explicitly favors.</w:t>
      </w:r>
    </w:p>
    <w:p>
      <w:pPr>
        <w:pStyle w:val="ListParagraph"/>
        <w:numPr>
          <w:ilvl w:val="0"/>
          <w:numId w:val="10"/>
        </w:numPr>
        <w:spacing w:after="60"/>
      </w:pPr>
      <w:r>
        <w:rPr>
          <w:rFonts w:ascii="Arial" w:cs="Arial" w:eastAsia="Arial" w:hAnsi="Arial"/>
          <w:sz w:val="21"/>
          <w:szCs w:val="21"/>
        </w:rPr>
        <w:t xml:space="preserve">However, no court has specifically ruled on whether blockchain-timestamped provenance strengthens fair use. This is an untested but strategically advantageous position.</w:t>
      </w:r>
    </w:p>
    <w:p>
      <w:pPr>
        <w:spacing w:after="80"/>
      </w:pPr>
    </w:p>
    <w:p>
      <w:pPr>
        <w:pStyle w:val="Heading2"/>
        <w:spacing w:after="160" w:before="280"/>
      </w:pPr>
      <w:r>
        <w:rPr>
          <w:rFonts w:ascii="Arial" w:cs="Arial" w:eastAsia="Arial" w:hAnsi="Arial"/>
          <w:b/>
          <w:bCs/>
          <w:color w:val="2E86C1"/>
          <w:sz w:val="26"/>
          <w:szCs w:val="26"/>
        </w:rPr>
        <w:t xml:space="preserve">4.6 Marketing Angle</w:t>
      </w:r>
    </w:p>
    <w:p>
      <w:pPr>
        <w:spacing w:after="120"/>
      </w:pPr>
      <w:r>
        <w:rPr>
          <w:rFonts w:ascii="Arial" w:cs="Arial" w:eastAsia="Arial" w:hAnsi="Arial"/>
          <w:sz w:val="21"/>
          <w:szCs w:val="21"/>
        </w:rPr>
        <w:t xml:space="preserve">The marketing positioning 'Every answer backed by Bitcoin-anchored evidence' is powerful precisely because it is falsifiable. Unlike competitors who claim 'grounded' or 'cited' responses (Perplexity's 37-45% hallucination rate on citations), Arkova can provide a cryptographic proof chain that any user can independently verify. This transforms AI trust from a marketing claim into a mathematical guarantee.</w:t>
      </w:r>
    </w:p>
    <w:p>
      <w:r>
        <w:br w:type="page"/>
      </w:r>
    </w:p>
    <w:p>
      <w:pPr>
        <w:pStyle w:val="Heading1"/>
        <w:spacing w:after="200" w:before="360"/>
      </w:pPr>
      <w:r>
        <w:rPr>
          <w:rFonts w:ascii="Arial" w:cs="Arial" w:eastAsia="Arial" w:hAnsi="Arial"/>
          <w:b/>
          <w:bCs/>
          <w:color w:val="1B4F72"/>
          <w:sz w:val="32"/>
          <w:szCs w:val="32"/>
        </w:rPr>
        <w:t xml:space="preserve">5. Use Cases &amp; Revenue Model</w:t>
      </w:r>
    </w:p>
    <w:p>
      <w:pPr>
        <w:pStyle w:val="Heading2"/>
        <w:spacing w:after="160" w:before="280"/>
      </w:pPr>
      <w:r>
        <w:rPr>
          <w:rFonts w:ascii="Arial" w:cs="Arial" w:eastAsia="Arial" w:hAnsi="Arial"/>
          <w:b/>
          <w:bCs/>
          <w:color w:val="2E86C1"/>
          <w:sz w:val="26"/>
          <w:szCs w:val="26"/>
        </w:rPr>
        <w:t xml:space="preserve">5.1 Core Use Cases</w:t>
      </w:r>
    </w:p>
    <w:p>
      <w:pPr>
        <w:spacing w:after="80"/>
      </w:pPr>
    </w:p>
    <w:p>
      <w:pPr>
        <w:pStyle w:val="Heading3"/>
        <w:spacing w:after="120" w:before="200"/>
      </w:pPr>
      <w:r>
        <w:rPr>
          <w:rFonts w:ascii="Arial" w:cs="Arial" w:eastAsia="Arial" w:hAnsi="Arial"/>
          <w:b/>
          <w:bCs/>
          <w:color w:val="2C3E50"/>
          <w:sz w:val="22"/>
          <w:szCs w:val="22"/>
        </w:rPr>
        <w:t xml:space="preserve">Verification Queries</w:t>
      </w:r>
    </w:p>
    <w:p>
      <w:pPr>
        <w:spacing w:after="120"/>
      </w:pPr>
      <w:r>
        <w:rPr>
          <w:rFonts w:ascii="Arial" w:cs="Arial" w:eastAsia="Arial" w:hAnsi="Arial"/>
          <w:sz w:val="21"/>
          <w:szCs w:val="21"/>
        </w:rPr>
        <w:t xml:space="preserve">'Is this SEC filing authentic? Has it been modified since publication?' The model retrieves the anchored version, compares hashes, and provides a tamper-evident verification result. This is the foundational use case, already supported by the existing verification API at $0.002/query.</w:t>
      </w:r>
    </w:p>
    <w:p>
      <w:pPr>
        <w:spacing w:after="80"/>
      </w:pPr>
    </w:p>
    <w:p>
      <w:pPr>
        <w:pStyle w:val="Heading3"/>
        <w:spacing w:after="120" w:before="200"/>
      </w:pPr>
      <w:r>
        <w:rPr>
          <w:rFonts w:ascii="Arial" w:cs="Arial" w:eastAsia="Arial" w:hAnsi="Arial"/>
          <w:b/>
          <w:bCs/>
          <w:color w:val="2C3E50"/>
          <w:sz w:val="22"/>
          <w:szCs w:val="22"/>
        </w:rPr>
        <w:t xml:space="preserve">Document Analysis with Verified Citations</w:t>
      </w:r>
    </w:p>
    <w:p>
      <w:pPr>
        <w:spacing w:after="120"/>
      </w:pPr>
      <w:r>
        <w:rPr>
          <w:rFonts w:ascii="Arial" w:cs="Arial" w:eastAsia="Arial" w:hAnsi="Arial"/>
          <w:sz w:val="21"/>
          <w:szCs w:val="21"/>
        </w:rPr>
        <w:t xml:space="preserve">'Summarize the key risks in this 10-K.' The fine-tuned model analyzes the document while citing specific sections from the Bitcoin-anchored version. Every factual claim in the summary links to a verifiable source paragraph. This is where Nessie adds value beyond the raw verification API.</w:t>
      </w:r>
    </w:p>
    <w:p>
      <w:pPr>
        <w:spacing w:after="80"/>
      </w:pPr>
    </w:p>
    <w:p>
      <w:pPr>
        <w:pStyle w:val="Heading3"/>
        <w:spacing w:after="120" w:before="200"/>
      </w:pPr>
      <w:r>
        <w:rPr>
          <w:rFonts w:ascii="Arial" w:cs="Arial" w:eastAsia="Arial" w:hAnsi="Arial"/>
          <w:b/>
          <w:bCs/>
          <w:color w:val="2C3E50"/>
          <w:sz w:val="22"/>
          <w:szCs w:val="22"/>
        </w:rPr>
        <w:t xml:space="preserve">Compliance Checking</w:t>
      </w:r>
    </w:p>
    <w:p>
      <w:pPr>
        <w:spacing w:after="120"/>
      </w:pPr>
      <w:r>
        <w:rPr>
          <w:rFonts w:ascii="Arial" w:cs="Arial" w:eastAsia="Arial" w:hAnsi="Arial"/>
          <w:sz w:val="21"/>
          <w:szCs w:val="21"/>
        </w:rPr>
        <w:t xml:space="preserve">'Does this contract clause comply with SEC Rule 10b-5?' The model cross-references the user's document against anchored regulatory texts, citing specific provisions. Enterprise compliance teams pay premium pricing for this workflow.</w:t>
      </w:r>
    </w:p>
    <w:p>
      <w:pPr>
        <w:spacing w:after="80"/>
      </w:pPr>
    </w:p>
    <w:p>
      <w:pPr>
        <w:pStyle w:val="Heading3"/>
        <w:spacing w:after="120" w:before="200"/>
      </w:pPr>
      <w:r>
        <w:rPr>
          <w:rFonts w:ascii="Arial" w:cs="Arial" w:eastAsia="Arial" w:hAnsi="Arial"/>
          <w:b/>
          <w:bCs/>
          <w:color w:val="2C3E50"/>
          <w:sz w:val="22"/>
          <w:szCs w:val="22"/>
        </w:rPr>
        <w:t xml:space="preserve">Patent Prior Art Search</w:t>
      </w:r>
    </w:p>
    <w:p>
      <w:pPr>
        <w:spacing w:after="120"/>
      </w:pPr>
      <w:r>
        <w:rPr>
          <w:rFonts w:ascii="Arial" w:cs="Arial" w:eastAsia="Arial" w:hAnsi="Arial"/>
          <w:sz w:val="21"/>
          <w:szCs w:val="21"/>
        </w:rPr>
        <w:t xml:space="preserve">'Find prior art for this machine learning method.' The model searches across the anchored USPTO corpus, returning verified patent citations with confidence scores. Patent attorneys need proof that the cited prior art existed at a specific date.</w:t>
      </w:r>
    </w:p>
    <w:p>
      <w:pPr>
        <w:spacing w:after="80"/>
      </w:pPr>
    </w:p>
    <w:p>
      <w:pPr>
        <w:pStyle w:val="Heading3"/>
        <w:spacing w:after="120" w:before="200"/>
      </w:pPr>
      <w:r>
        <w:rPr>
          <w:rFonts w:ascii="Arial" w:cs="Arial" w:eastAsia="Arial" w:hAnsi="Arial"/>
          <w:b/>
          <w:bCs/>
          <w:color w:val="2C3E50"/>
          <w:sz w:val="22"/>
          <w:szCs w:val="22"/>
        </w:rPr>
        <w:t xml:space="preserve">Academic Verification</w:t>
      </w:r>
    </w:p>
    <w:p>
      <w:pPr>
        <w:spacing w:after="120"/>
      </w:pPr>
      <w:r>
        <w:rPr>
          <w:rFonts w:ascii="Arial" w:cs="Arial" w:eastAsia="Arial" w:hAnsi="Arial"/>
          <w:sz w:val="21"/>
          <w:szCs w:val="21"/>
        </w:rPr>
        <w:t xml:space="preserve">'Has this paper been retracted or modified since publication?' Cross-references the anchored version against the current version, identifying any discrepancies. Researchers and peer reviewers need this for citation integrity.</w:t>
      </w:r>
    </w:p>
    <w:p>
      <w:pPr>
        <w:spacing w:after="80"/>
      </w:pPr>
    </w:p>
    <w:p>
      <w:pPr>
        <w:pStyle w:val="Heading3"/>
        <w:spacing w:after="120" w:before="200"/>
      </w:pPr>
      <w:r>
        <w:rPr>
          <w:rFonts w:ascii="Arial" w:cs="Arial" w:eastAsia="Arial" w:hAnsi="Arial"/>
          <w:b/>
          <w:bCs/>
          <w:color w:val="2C3E50"/>
          <w:sz w:val="22"/>
          <w:szCs w:val="22"/>
        </w:rPr>
        <w:t xml:space="preserve">AI Agent Tool</w:t>
      </w:r>
    </w:p>
    <w:p>
      <w:pPr>
        <w:spacing w:after="120"/>
      </w:pPr>
      <w:r>
        <w:rPr>
          <w:rFonts w:ascii="Arial" w:cs="Arial" w:eastAsia="Arial" w:hAnsi="Arial"/>
          <w:sz w:val="21"/>
          <w:szCs w:val="21"/>
        </w:rPr>
        <w:t xml:space="preserve">Third-party AI agents call Arkova's API as a tool for verified document intelligence. When an agent needs to verify a claim or cite a regulatory document, it invokes Arkova's verified retrieval endpoint. This is the highest-leverage distribution channel.</w:t>
      </w:r>
    </w:p>
    <w:p>
      <w:pPr>
        <w:spacing w:after="80"/>
      </w:pPr>
    </w:p>
    <w:p>
      <w:pPr>
        <w:pStyle w:val="Heading2"/>
        <w:spacing w:after="160" w:before="280"/>
      </w:pPr>
      <w:r>
        <w:rPr>
          <w:rFonts w:ascii="Arial" w:cs="Arial" w:eastAsia="Arial" w:hAnsi="Arial"/>
          <w:b/>
          <w:bCs/>
          <w:color w:val="2E86C1"/>
          <w:sz w:val="26"/>
          <w:szCs w:val="26"/>
        </w:rPr>
        <w:t xml:space="preserve">5.2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60"/>
        <w:gridCol w:w="3000"/>
        <w:gridCol w:w="25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Price</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Includes</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Customer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Verification API</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$0.002/query (x402)</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Hash verification + timestamp check</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Developers, bots, agents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Starter</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$49/mo</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500 AI queries + 5K verifications</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Individual researchers, journalists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Professional</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$199/mo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5K AI queries + 50K verifications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Law firms, patent attorneys, analysts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Enterprise</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$999-2,999/mo</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Unlimited AI + custom adapters + SLA</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Compliance teams, large firms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Agent API</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$0.01-0.05/query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Verified retrieval for AI agents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AI platforms, agent builders</w:t>
            </w:r>
          </w:p>
        </w:tc>
      </w:tr>
    </w:tbl>
    <w:p>
      <w:pPr>
        <w:spacing w:after="80"/>
      </w:pPr>
    </w:p>
    <w:p>
      <w:pPr>
        <w:pStyle w:val="Heading2"/>
        <w:spacing w:after="160" w:before="280"/>
      </w:pPr>
      <w:r>
        <w:rPr>
          <w:rFonts w:ascii="Arial" w:cs="Arial" w:eastAsia="Arial" w:hAnsi="Arial"/>
          <w:b/>
          <w:bCs/>
          <w:color w:val="2E86C1"/>
          <w:sz w:val="26"/>
          <w:szCs w:val="26"/>
        </w:rPr>
        <w:t xml:space="preserve">5.3 TAM/SAM/SOM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Market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TAM: Document AI Market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$91B by 2034</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Total addressable market for intelligent document processing</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SAM: Verified Document Intelligence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$2.5-5B</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Subset requiring cryptographic verification: legal, financial, academic, patent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SOM: Year 1 Achievable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$1.2-8.5M</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Based on Arkova's current reach, API distribution, and bootstrap corpus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SOM: Year 3 Target</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$15-40M</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Enterprise expansion + agent ecosystem + international</w:t>
            </w:r>
          </w:p>
        </w:tc>
      </w:tr>
    </w:tbl>
    <w:p>
      <w:pPr>
        <w:spacing w:after="80"/>
      </w:pPr>
    </w:p>
    <w:p>
      <w:pPr>
        <w:pStyle w:val="Heading2"/>
        <w:spacing w:after="160" w:before="280"/>
      </w:pPr>
      <w:r>
        <w:rPr>
          <w:rFonts w:ascii="Arial" w:cs="Arial" w:eastAsia="Arial" w:hAnsi="Arial"/>
          <w:b/>
          <w:bCs/>
          <w:color w:val="2E86C1"/>
          <w:sz w:val="26"/>
          <w:szCs w:val="26"/>
        </w:rPr>
        <w:t xml:space="preserve">5.4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20"/>
        <w:gridCol w:w="1720"/>
        <w:gridCol w:w="1720"/>
        <w:gridCol w:w="170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Revenue Stream</w:t>
            </w:r>
          </w:p>
        </w:tc>
        <w:tc>
          <w:tcPr>
            <w:tcW w:type="dxa" w:w="17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 Conservative</w:t>
            </w:r>
          </w:p>
        </w:tc>
        <w:tc>
          <w:tcPr>
            <w:tcW w:type="dxa" w:w="17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 Moderate</w:t>
            </w:r>
          </w:p>
        </w:tc>
        <w:tc>
          <w:tcPr>
            <w:tcW w:type="dxa" w:w="17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 Aggressive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Verification API (x402)</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$120K</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$360K</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$720K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Starter subscriptions</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$180K</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$360K</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$720K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Professional subscriptions</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$360K</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$960K</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$2,400K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Enterprise contracts</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$500K</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$1,500K</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$3,500K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Agent API revenue</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$50K</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$200K</w:t>
            </w:r>
          </w:p>
        </w:tc>
        <w:tc>
          <w:tcPr>
            <w:tcW w:type="dxa" w:w="1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$1,000K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TOTAL</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$1,210K</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$3,380K</w:t>
            </w:r>
          </w:p>
        </w:tc>
        <w:tc>
          <w:tcPr>
            <w:tcW w:type="dxa" w:w="17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$8,340K</w:t>
            </w:r>
          </w:p>
        </w:tc>
      </w:tr>
    </w:tbl>
    <w:p>
      <w:pPr>
        <w:spacing w:after="120"/>
      </w:pPr>
      <w:r>
        <w:rPr>
          <w:rFonts w:ascii="Arial" w:cs="Arial" w:eastAsia="Arial" w:hAnsi="Arial"/>
          <w:sz w:val="21"/>
          <w:szCs w:val="21"/>
        </w:rPr>
        <w:t xml:space="preserve">Conservative assumes 100 Starter + 15 Professional + 5 Enterprise + 60M API calls. Moderate assumes 300 Starter + 40 Professional + 15 Enterprise + 180M API calls. Aggressive assumes 600 Starter + 100 Professional + 35 Enterprise + 360M API calls.</w:t>
      </w:r>
    </w:p>
    <w:p>
      <w:r>
        <w:br w:type="page"/>
      </w:r>
    </w:p>
    <w:p>
      <w:pPr>
        <w:pStyle w:val="Heading1"/>
        <w:spacing w:after="200" w:before="360"/>
      </w:pPr>
      <w:r>
        <w:rPr>
          <w:rFonts w:ascii="Arial" w:cs="Arial" w:eastAsia="Arial" w:hAnsi="Arial"/>
          <w:b/>
          <w:bCs/>
          <w:color w:val="1B4F72"/>
          <w:sz w:val="32"/>
          <w:szCs w:val="32"/>
        </w:rPr>
        <w:t xml:space="preserve">6. Competitive Landscape</w:t>
      </w:r>
    </w:p>
    <w:p>
      <w:pPr>
        <w:pStyle w:val="Heading2"/>
        <w:spacing w:after="160" w:before="280"/>
      </w:pPr>
      <w:r>
        <w:rPr>
          <w:rFonts w:ascii="Arial" w:cs="Arial" w:eastAsia="Arial" w:hAnsi="Arial"/>
          <w:b/>
          <w:bCs/>
          <w:color w:val="2E86C1"/>
          <w:sz w:val="26"/>
          <w:szCs w:val="26"/>
        </w:rPr>
        <w:t xml:space="preserve">6.1 Legal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460"/>
        <w:gridCol w:w="2300"/>
        <w:gridCol w:w="24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Company</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Valuation/Funding</w:t>
            </w:r>
          </w:p>
        </w:tc>
        <w:tc>
          <w:tcPr>
            <w:tcW w:type="dxa" w:w="1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ARR</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Key Strength</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Arkova Opportunity</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Harvey AI</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$11B / $806M raised</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$190M+</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 of AmLaw 100, multi-step reasoning</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Harvey lacks verification; 85-95% accuracy ceiling</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Legora</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$5.55B / $550M raised</w:t>
            </w:r>
          </w:p>
        </w:tc>
        <w:tc>
          <w:tcPr>
            <w:tcW w:type="dxa" w:w="1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 (fast-growing)</w:t>
            </w:r>
          </w:p>
        </w:tc>
        <w:tc>
          <w:tcPr>
            <w:tcW w:type="dxa" w:w="2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Agentic workflows, Word integration</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 document provenance or verification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CoCounsel (TR)</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Thomson Reuters parent</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Enterprise (CaseText shut down)</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Westlaw integration, GPT-4 powered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Closed ecosystem, no public verification</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Lexis+ AI</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LexisNexis parent</w:t>
            </w:r>
          </w:p>
        </w:tc>
        <w:tc>
          <w:tcPr>
            <w:tcW w:type="dxa" w:w="1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Enterprise</w:t>
            </w:r>
          </w:p>
        </w:tc>
        <w:tc>
          <w:tcPr>
            <w:tcW w:type="dxa" w:w="2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Shepard's citations, trusted database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 cryptographic verification layer</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vLex Vincent</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Private</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N/A</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3.67x more reliable than leading LLMs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blockchain-based provenance</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Ironclad</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$3.2B / $333M raised</w:t>
            </w:r>
          </w:p>
        </w:tc>
        <w:tc>
          <w:tcPr>
            <w:tcW w:type="dxa" w:w="1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$150M</w:t>
            </w:r>
          </w:p>
        </w:tc>
        <w:tc>
          <w:tcPr>
            <w:tcW w:type="dxa" w:w="2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CLM platform, AI agents for contracts</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Limited to contract lifecycle, no verification</w:t>
            </w:r>
          </w:p>
        </w:tc>
      </w:tr>
    </w:tbl>
    <w:p>
      <w:pPr>
        <w:spacing w:after="80"/>
      </w:pPr>
    </w:p>
    <w:p>
      <w:pPr>
        <w:pStyle w:val="Heading2"/>
        <w:spacing w:after="160" w:before="280"/>
      </w:pPr>
      <w:r>
        <w:rPr>
          <w:rFonts w:ascii="Arial" w:cs="Arial" w:eastAsia="Arial" w:hAnsi="Arial"/>
          <w:b/>
          <w:bCs/>
          <w:color w:val="2E86C1"/>
          <w:sz w:val="26"/>
          <w:szCs w:val="26"/>
        </w:rPr>
        <w:t xml:space="preserve">6.2 Financial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460"/>
        <w:gridCol w:w="2300"/>
        <w:gridCol w:w="24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Company</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Valuation/Funding</w:t>
            </w:r>
          </w:p>
        </w:tc>
        <w:tc>
          <w:tcPr>
            <w:tcW w:type="dxa" w:w="1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ARR</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Key Strength</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Arkova Opportunity</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AlphaSense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$4B / $1.63B raised</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$500M+</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10K+ data sources, Deep Research</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cryptographic document verification</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Bloomberg GPT</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Bloomberg parent</w:t>
            </w:r>
          </w:p>
        </w:tc>
        <w:tc>
          <w:tcPr>
            <w:tcW w:type="dxa" w:w="1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Enterprise</w:t>
            </w:r>
          </w:p>
        </w:tc>
        <w:tc>
          <w:tcPr>
            <w:tcW w:type="dxa" w:w="2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50B proprietary model, terminal data</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Closed, no external verification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Kensho (S&amp;P)</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S&amp;P Global parent</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Enterprise</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LLM-ready API, Capital IQ data</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public verification layer</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Fiscal.ai</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Private</w:t>
            </w:r>
          </w:p>
        </w:tc>
        <w:tc>
          <w:tcPr>
            <w:tcW w:type="dxa" w:w="1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&lt;$10M (est.)</w:t>
            </w:r>
          </w:p>
        </w:tc>
        <w:tc>
          <w:tcPr>
            <w:tcW w:type="dxa" w:w="2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100K+ companies, natural language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Could be partner or competitor</w:t>
            </w:r>
          </w:p>
        </w:tc>
      </w:tr>
    </w:tbl>
    <w:p>
      <w:pPr>
        <w:spacing w:after="80"/>
      </w:pPr>
    </w:p>
    <w:p>
      <w:pPr>
        <w:pStyle w:val="Heading2"/>
        <w:spacing w:after="160" w:before="280"/>
      </w:pPr>
      <w:r>
        <w:rPr>
          <w:rFonts w:ascii="Arial" w:cs="Arial" w:eastAsia="Arial" w:hAnsi="Arial"/>
          <w:b/>
          <w:bCs/>
          <w:color w:val="2E86C1"/>
          <w:sz w:val="26"/>
          <w:szCs w:val="26"/>
        </w:rPr>
        <w:t xml:space="preserve">6.3 Academic &amp; Patent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060"/>
        <w:gridCol w:w="2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Company</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Funding</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Key Strength</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Arkova Opportunity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Semantic Scholar</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Non-profit (Allen AI)</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200M+ papers, free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verification, open to partnership</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Elicit</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$22M Series A</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400K+ researchers, automated review</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39.5% sensitivity, reproducibility issues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Consensus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Private</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200M+ papers, Consensus Meter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tamper-evident verification</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PatSnap</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$352M total, $1B val</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2B+ data points, AI agents</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 cryptographic provenance for patents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IPRally</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Private</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Graph Neural Network patent search</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verification layer</w:t>
            </w:r>
          </w:p>
        </w:tc>
      </w:tr>
    </w:tbl>
    <w:p>
      <w:pPr>
        <w:spacing w:after="80"/>
      </w:pPr>
    </w:p>
    <w:p>
      <w:pPr>
        <w:pStyle w:val="Heading2"/>
        <w:spacing w:after="160" w:before="280"/>
      </w:pPr>
      <w:r>
        <w:rPr>
          <w:rFonts w:ascii="Arial" w:cs="Arial" w:eastAsia="Arial" w:hAnsi="Arial"/>
          <w:b/>
          <w:bCs/>
          <w:color w:val="2E86C1"/>
          <w:sz w:val="26"/>
          <w:szCs w:val="26"/>
        </w:rPr>
        <w:t xml:space="preserve">6.4 AI Search / Citation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160"/>
        <w:gridCol w:w="1600"/>
        <w:gridCol w:w="27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Company</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Valuation</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Citation Quality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Verification</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Arkova Advantage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Perplexity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$21.2B</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37-45% hallucination rate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Cryptographic proof vs. broken citations</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Google AI Overviews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Alphabet</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RAG reduces halluc. 40%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Source authority only</w:t>
            </w:r>
          </w:p>
        </w:tc>
        <w:tc>
          <w:tcPr>
            <w:tcW w:type="dxa" w:w="2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Bitcoin-anchored vs. web search</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ChatGPT + Browse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OpenAI</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Moderate (18% trigger search)</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Verified corpus vs. web scrape</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You.com</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$1.5B</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400+ source synthesis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Zero data retention</w:t>
            </w:r>
          </w:p>
        </w:tc>
        <w:tc>
          <w:tcPr>
            <w:tcW w:type="dxa" w:w="2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Verified provenance chain</w:t>
            </w:r>
          </w:p>
        </w:tc>
      </w:tr>
    </w:tbl>
    <w:p>
      <w:pPr>
        <w:spacing w:after="80"/>
      </w:pPr>
    </w:p>
    <w:p>
      <w:pPr>
        <w:pStyle w:val="Heading2"/>
        <w:spacing w:after="160" w:before="280"/>
      </w:pPr>
      <w:r>
        <w:rPr>
          <w:rFonts w:ascii="Arial" w:cs="Arial" w:eastAsia="Arial" w:hAnsi="Arial"/>
          <w:b/>
          <w:bCs/>
          <w:color w:val="2E86C1"/>
          <w:sz w:val="26"/>
          <w:szCs w:val="26"/>
        </w:rPr>
        <w:t xml:space="preserve">6.5 Blockchain + AI Intersection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60"/>
        <w:gridCol w:w="3100"/>
        <w:gridCol w:w="2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Project</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Market Cap / Funding</w:t>
            </w:r>
          </w:p>
        </w:tc>
        <w:tc>
          <w:tcPr>
            <w:tcW w:type="dxa" w:w="3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Threat to Arkova</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Bittensor (TAO)</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$300+ per token</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Decentralized AI training network</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Low: infrastructure, not applications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ASI Alliance (Ocean+Fetch+SNET)</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$2B+ combined</w:t>
            </w:r>
          </w:p>
        </w:tc>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Data tokenization for AI</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Low: data marketplace, not verification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Various Web3 AI startups</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On-chain inference, data DAOs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Low: no document verification focus</w:t>
            </w:r>
          </w:p>
        </w:tc>
      </w:tr>
    </w:tbl>
    <w:p>
      <w:pPr>
        <w:spacing w:after="80"/>
      </w:pPr>
    </w:p>
    <w:p>
      <w:pPr>
        <w:pStyle w:val="Heading2"/>
        <w:spacing w:after="160" w:before="280"/>
      </w:pPr>
      <w:r>
        <w:rPr>
          <w:rFonts w:ascii="Arial" w:cs="Arial" w:eastAsia="Arial" w:hAnsi="Arial"/>
          <w:b/>
          <w:bCs/>
          <w:color w:val="2E86C1"/>
          <w:sz w:val="26"/>
          <w:szCs w:val="26"/>
        </w:rPr>
        <w:t xml:space="preserve">6.6 Competitive Summary</w:t>
      </w:r>
    </w:p>
    <w:p>
      <w:pPr>
        <w:spacing w:after="120"/>
      </w:pPr>
      <w:r>
        <w:rPr>
          <w:rFonts w:ascii="Arial" w:cs="Arial" w:eastAsia="Arial" w:hAnsi="Arial"/>
          <w:sz w:val="21"/>
          <w:szCs w:val="21"/>
        </w:rPr>
        <w:t xml:space="preserve">No existing competitor combines all three elements of Arkova's value proposition: (1) cryptographic document verification with Bitcoin anchoring, (2) domain-specific AI/LLM for document intelligence, and (3) an open verification API with micropayments. The closest competitors address one or two of these elements but never all three. This creates a genuine whitespace opportunity, though the window is 12-24 months before larger players could replicate the approach.</w:t>
      </w:r>
    </w:p>
    <w:p>
      <w:r>
        <w:br w:type="page"/>
      </w:r>
    </w:p>
    <w:p>
      <w:pPr>
        <w:pStyle w:val="Heading1"/>
        <w:spacing w:after="200" w:before="360"/>
      </w:pPr>
      <w:r>
        <w:rPr>
          <w:rFonts w:ascii="Arial" w:cs="Arial" w:eastAsia="Arial" w:hAnsi="Arial"/>
          <w:b/>
          <w:bCs/>
          <w:color w:val="1B4F72"/>
          <w:sz w:val="32"/>
          <w:szCs w:val="32"/>
        </w:rPr>
        <w:t xml:space="preserve">7. Risks &amp; Challenges</w:t>
      </w:r>
    </w:p>
    <w:p>
      <w:pPr>
        <w:pStyle w:val="Heading2"/>
        <w:spacing w:after="160" w:before="280"/>
      </w:pPr>
      <w:r>
        <w:rPr>
          <w:rFonts w:ascii="Arial" w:cs="Arial" w:eastAsia="Arial" w:hAnsi="Arial"/>
          <w:b/>
          <w:bCs/>
          <w:color w:val="2E86C1"/>
          <w:sz w:val="26"/>
          <w:szCs w:val="26"/>
        </w:rPr>
        <w:t xml:space="preserve">7.1 Hallucination Risk</w:t>
      </w:r>
    </w:p>
    <w:p>
      <w:pPr>
        <w:spacing w:after="120"/>
      </w:pPr>
      <w:r>
        <w:rPr>
          <w:rFonts w:ascii="Arial" w:cs="Arial" w:eastAsia="Arial" w:hAnsi="Arial"/>
          <w:sz w:val="21"/>
          <w:szCs w:val="21"/>
        </w:rPr>
        <w:t xml:space="preserve">This is the single most critical risk. Arkova's value proposition is 'verified intelligence,' but even fine-tuned models hallucinate. Current benchmarks show:</w:t>
      </w:r>
    </w:p>
    <w:p>
      <w:pPr>
        <w:pStyle w:val="ListParagraph"/>
        <w:numPr>
          <w:ilvl w:val="0"/>
          <w:numId w:val="11"/>
        </w:numPr>
        <w:spacing w:after="60"/>
      </w:pPr>
      <w:r>
        <w:rPr>
          <w:rFonts w:ascii="Arial" w:cs="Arial" w:eastAsia="Arial" w:hAnsi="Arial"/>
          <w:sz w:val="21"/>
          <w:szCs w:val="21"/>
        </w:rPr>
        <w:t xml:space="preserve">Average hallucination rate across all models: ~9.2% on general knowledge questions.</w:t>
      </w:r>
    </w:p>
    <w:p>
      <w:pPr>
        <w:pStyle w:val="ListParagraph"/>
        <w:numPr>
          <w:ilvl w:val="0"/>
          <w:numId w:val="11"/>
        </w:numPr>
        <w:spacing w:after="60"/>
      </w:pPr>
      <w:r>
        <w:rPr>
          <w:rFonts w:ascii="Arial" w:cs="Arial" w:eastAsia="Arial" w:hAnsi="Arial"/>
          <w:sz w:val="21"/>
          <w:szCs w:val="21"/>
        </w:rPr>
        <w:t xml:space="preserve">Top fine-tuned models achieve 0.7-0.9% on domain tasks.</w:t>
      </w:r>
    </w:p>
    <w:p>
      <w:pPr>
        <w:pStyle w:val="ListParagraph"/>
        <w:numPr>
          <w:ilvl w:val="0"/>
          <w:numId w:val="11"/>
        </w:numPr>
        <w:spacing w:after="60"/>
      </w:pPr>
      <w:r>
        <w:rPr>
          <w:rFonts w:ascii="Arial" w:cs="Arial" w:eastAsia="Arial" w:hAnsi="Arial"/>
          <w:sz w:val="21"/>
          <w:szCs w:val="21"/>
        </w:rPr>
        <w:t xml:space="preserve">Domain-specialized legal models: 0.8% vs 6.4% for general models (87.5% reduction).</w:t>
      </w:r>
    </w:p>
    <w:p>
      <w:pPr>
        <w:pStyle w:val="ListParagraph"/>
        <w:numPr>
          <w:ilvl w:val="0"/>
          <w:numId w:val="11"/>
        </w:numPr>
        <w:spacing w:after="60"/>
      </w:pPr>
      <w:r>
        <w:rPr>
          <w:rFonts w:ascii="Arial" w:cs="Arial" w:eastAsia="Arial" w:hAnsi="Arial"/>
          <w:sz w:val="21"/>
          <w:szCs w:val="21"/>
        </w:rPr>
        <w:t xml:space="preserve">But high-confidence hallucinations (fluent, plausible, wrong) remain the hardest to detect.</w:t>
      </w:r>
    </w:p>
    <w:p>
      <w:pPr>
        <w:spacing w:after="120"/>
      </w:pPr>
      <w:r>
        <w:rPr>
          <w:rFonts w:ascii="Arial" w:cs="Arial" w:eastAsia="Arial" w:hAnsi="Arial"/>
          <w:sz w:val="21"/>
          <w:szCs w:val="21"/>
        </w:rPr>
        <w:t xml:space="preserve">Mitigation: Arkova must implement a multi-layer defense: (1) RAG-first architecture limits outputs to retrieved content, (2) confidence scoring flags low-certainty responses, (3) every claim includes a verifiable source link, and (4) responses include an explicit 'verification confidence' score. The marketing should position this as 'verified retrieval' rather than 'verified generation' to manage expectations.</w:t>
      </w:r>
    </w:p>
    <w:p>
      <w:pPr>
        <w:spacing w:after="80"/>
      </w:pPr>
    </w:p>
    <w:p>
      <w:pPr>
        <w:pStyle w:val="Heading2"/>
        <w:spacing w:after="160" w:before="280"/>
      </w:pPr>
      <w:r>
        <w:rPr>
          <w:rFonts w:ascii="Arial" w:cs="Arial" w:eastAsia="Arial" w:hAnsi="Arial"/>
          <w:b/>
          <w:bCs/>
          <w:color w:val="2E86C1"/>
          <w:sz w:val="26"/>
          <w:szCs w:val="26"/>
        </w:rPr>
        <w:t xml:space="preserve">7.2 Model Drift</w:t>
      </w:r>
    </w:p>
    <w:p>
      <w:pPr>
        <w:spacing w:after="120"/>
      </w:pPr>
      <w:r>
        <w:rPr>
          <w:rFonts w:ascii="Arial" w:cs="Arial" w:eastAsia="Arial" w:hAnsi="Arial"/>
          <w:sz w:val="21"/>
          <w:szCs w:val="21"/>
        </w:rPr>
        <w:t xml:space="preserve">As the corpus grows from 10M to 50M+ documents, model behavior will shift. Mitigation: implement automated evaluation benchmarks that run after every training update, measuring accuracy on a held-out verified test set. Set regression thresholds that block deployment of degraded models.</w:t>
      </w:r>
    </w:p>
    <w:p>
      <w:pPr>
        <w:spacing w:after="80"/>
      </w:pPr>
    </w:p>
    <w:p>
      <w:pPr>
        <w:pStyle w:val="Heading2"/>
        <w:spacing w:after="160" w:before="280"/>
      </w:pPr>
      <w:r>
        <w:rPr>
          <w:rFonts w:ascii="Arial" w:cs="Arial" w:eastAsia="Arial" w:hAnsi="Arial"/>
          <w:b/>
          <w:bCs/>
          <w:color w:val="2E86C1"/>
          <w:sz w:val="26"/>
          <w:szCs w:val="26"/>
        </w:rPr>
        <w:t xml:space="preserve">7.3 Computational Costs at Scale</w:t>
      </w:r>
    </w:p>
    <w:p>
      <w:pPr>
        <w:spacing w:after="120"/>
      </w:pPr>
      <w:r>
        <w:rPr>
          <w:rFonts w:ascii="Arial" w:cs="Arial" w:eastAsia="Arial" w:hAnsi="Arial"/>
          <w:sz w:val="21"/>
          <w:szCs w:val="21"/>
        </w:rPr>
        <w:t xml:space="preserve">If Arkova reaches 10M+ queries/month, inference costs could reach $5K-15K/month. Mitigation: the tiered architecture (client-side + edge + dedicated) and aggressive caching of common queries can reduce costs by 60-80%.</w:t>
      </w:r>
    </w:p>
    <w:p>
      <w:pPr>
        <w:spacing w:after="80"/>
      </w:pPr>
    </w:p>
    <w:p>
      <w:pPr>
        <w:pStyle w:val="Heading2"/>
        <w:spacing w:after="160" w:before="280"/>
      </w:pPr>
      <w:r>
        <w:rPr>
          <w:rFonts w:ascii="Arial" w:cs="Arial" w:eastAsia="Arial" w:hAnsi="Arial"/>
          <w:b/>
          <w:bCs/>
          <w:color w:val="2E86C1"/>
          <w:sz w:val="26"/>
          <w:szCs w:val="26"/>
        </w:rPr>
        <w:t xml:space="preserve">7.4 Regulatory Risk (EU AI Act)</w:t>
      </w:r>
    </w:p>
    <w:p>
      <w:pPr>
        <w:spacing w:after="120"/>
      </w:pPr>
      <w:r>
        <w:rPr>
          <w:rFonts w:ascii="Arial" w:cs="Arial" w:eastAsia="Arial" w:hAnsi="Arial"/>
          <w:sz w:val="21"/>
          <w:szCs w:val="21"/>
        </w:rPr>
        <w:t xml:space="preserve">Arkova's document verification AI likely falls into the high-risk category under the EU AI Act if used for compliance or legal decisions. Requirements include technical documentation, risk management, and conformity assessment. Key timeline: GPAI transparency obligations effective August 2, 2025; full compliance by August 2027. Mitigation: Arkova's transparent, verified training data actually positions it well for compliance, since the EU AI Act requires training data summaries that Arkova can provide more completely than any competitor.</w:t>
      </w:r>
    </w:p>
    <w:p>
      <w:pPr>
        <w:spacing w:after="80"/>
      </w:pPr>
    </w:p>
    <w:p>
      <w:pPr>
        <w:pStyle w:val="Heading2"/>
        <w:spacing w:after="160" w:before="280"/>
      </w:pPr>
      <w:r>
        <w:rPr>
          <w:rFonts w:ascii="Arial" w:cs="Arial" w:eastAsia="Arial" w:hAnsi="Arial"/>
          <w:b/>
          <w:bCs/>
          <w:color w:val="2E86C1"/>
          <w:sz w:val="26"/>
          <w:szCs w:val="26"/>
        </w:rPr>
        <w:t xml:space="preserve">7.5 IP Risk</w:t>
      </w:r>
    </w:p>
    <w:p>
      <w:pPr>
        <w:spacing w:after="120"/>
      </w:pPr>
      <w:r>
        <w:rPr>
          <w:rFonts w:ascii="Arial" w:cs="Arial" w:eastAsia="Arial" w:hAnsi="Arial"/>
          <w:sz w:val="21"/>
          <w:szCs w:val="21"/>
        </w:rPr>
        <w:t xml:space="preserve">Training on public government documents (SEC, USPTO, Federal Register) carries minimal copyright risk, as these are largely public domain. Training on academic papers (OpenAlex) carries moderate risk, mitigated by recent fair use precedents (Thomson Reuters v. ROSS, Bartz v. Anthropic, Kadrey v. Meta, all favoring analytical AI training). Mitigation: maintain clear documentation of data provenance and use only legitimately sourced, non-pirated data.</w:t>
      </w:r>
    </w:p>
    <w:p>
      <w:pPr>
        <w:spacing w:after="80"/>
      </w:pPr>
    </w:p>
    <w:p>
      <w:pPr>
        <w:pStyle w:val="Heading2"/>
        <w:spacing w:after="160" w:before="280"/>
      </w:pPr>
      <w:r>
        <w:rPr>
          <w:rFonts w:ascii="Arial" w:cs="Arial" w:eastAsia="Arial" w:hAnsi="Arial"/>
          <w:b/>
          <w:bCs/>
          <w:color w:val="2E86C1"/>
          <w:sz w:val="26"/>
          <w:szCs w:val="26"/>
        </w:rPr>
        <w:t xml:space="preserve">7.6 Technical Risk: Provenance Chain</w:t>
      </w:r>
    </w:p>
    <w:p>
      <w:pPr>
        <w:spacing w:after="120"/>
      </w:pPr>
      <w:r>
        <w:rPr>
          <w:rFonts w:ascii="Arial" w:cs="Arial" w:eastAsia="Arial" w:hAnsi="Arial"/>
          <w:sz w:val="21"/>
          <w:szCs w:val="21"/>
        </w:rPr>
        <w:t xml:space="preserve">Maintaining an unbroken chain from training data to model output is technically challenging. Pure fine-tuning breaks the chain (you cannot deterministically trace which training examples influenced a specific output). RAG preserves the chain (every output references specific retrieved documents). This is why the hybrid approach with RAG-first architecture is critical.</w:t>
      </w:r>
    </w:p>
    <w:p>
      <w:pPr>
        <w:spacing w:after="80"/>
      </w:pPr>
    </w:p>
    <w:p>
      <w:pPr>
        <w:pStyle w:val="Heading2"/>
        <w:spacing w:after="160" w:before="280"/>
      </w:pPr>
      <w:r>
        <w:rPr>
          <w:rFonts w:ascii="Arial" w:cs="Arial" w:eastAsia="Arial" w:hAnsi="Arial"/>
          <w:b/>
          <w:bCs/>
          <w:color w:val="2E86C1"/>
          <w:sz w:val="26"/>
          <w:szCs w:val="26"/>
        </w:rPr>
        <w:t xml:space="preserve">7.7 Market Risk</w:t>
      </w:r>
    </w:p>
    <w:p>
      <w:pPr>
        <w:spacing w:after="120"/>
      </w:pPr>
      <w:r>
        <w:rPr>
          <w:rFonts w:ascii="Arial" w:cs="Arial" w:eastAsia="Arial" w:hAnsi="Arial"/>
          <w:sz w:val="21"/>
          <w:szCs w:val="21"/>
        </w:rPr>
        <w:t xml:space="preserve">OpenAI, Google, and Anthropic could add verification features. Google already has grounding APIs. However, bolt-on verification lacks Arkova's corpus-level anchoring advantage. The risk is real but mitigated by Arkova's 12-18 month head start on corpus anchoring and the fact that larger players are unlikely to adopt Bitcoin anchoring as a core architectural decision.</w:t>
      </w:r>
    </w:p>
    <w:p>
      <w:pPr>
        <w:spacing w:after="80"/>
      </w:pPr>
    </w:p>
    <w:p>
      <w:pPr>
        <w:pStyle w:val="Heading2"/>
        <w:spacing w:after="160" w:before="280"/>
      </w:pPr>
      <w:r>
        <w:rPr>
          <w:rFonts w:ascii="Arial" w:cs="Arial" w:eastAsia="Arial" w:hAnsi="Arial"/>
          <w:b/>
          <w:bCs/>
          <w:color w:val="2E86C1"/>
          <w:sz w:val="26"/>
          <w:szCs w:val="26"/>
        </w:rPr>
        <w:t xml:space="preserve">7.8 Talent Risk</w:t>
      </w:r>
    </w:p>
    <w:p>
      <w:pPr>
        <w:spacing w:after="120"/>
      </w:pPr>
      <w:r>
        <w:rPr>
          <w:rFonts w:ascii="Arial" w:cs="Arial" w:eastAsia="Arial" w:hAnsi="Arial"/>
          <w:sz w:val="21"/>
          <w:szCs w:val="21"/>
        </w:rPr>
        <w:t xml:space="preserve">ML engineer hiring remains competitive. The synthetic data distillation approach requires just 1 ML engineer at $150K-$180K total comp who manages the synthetic data generation pipeline (using Claude/Gemini API calls to generate training examples) and runs LoRA fine-tuning. Synthetic data generation via Claude/Gemini APIs costs $5-10K, and compute for fine-tuning on Together AI/Modal costs $20-50K. Total Year 1: ~$175K-$240K. Data engineering work is handled by existing backend engineers running the EDGAR/patent ingestion pipeline. Focus hiring on domain expertise (financial/legal document understanding) rather than pure ML research.</w:t>
      </w:r>
    </w:p>
    <w:p>
      <w:r>
        <w:br w:type="page"/>
      </w:r>
    </w:p>
    <w:p>
      <w:pPr>
        <w:pStyle w:val="Heading1"/>
        <w:spacing w:after="200" w:before="360"/>
      </w:pPr>
      <w:r>
        <w:rPr>
          <w:rFonts w:ascii="Arial" w:cs="Arial" w:eastAsia="Arial" w:hAnsi="Arial"/>
          <w:b/>
          <w:bCs/>
          <w:color w:val="1B4F72"/>
          <w:sz w:val="32"/>
          <w:szCs w:val="32"/>
        </w:rPr>
        <w:t xml:space="preserve">8. Build vs. Buy vs. Partner</w:t>
      </w:r>
    </w:p>
    <w:p>
      <w:pPr>
        <w:pStyle w:val="Heading2"/>
        <w:spacing w:after="160" w:before="280"/>
      </w:pPr>
      <w:r>
        <w:rPr>
          <w:rFonts w:ascii="Arial" w:cs="Arial" w:eastAsia="Arial" w:hAnsi="Arial"/>
          <w:b/>
          <w:bCs/>
          <w:color w:val="2E86C1"/>
          <w:sz w:val="26"/>
          <w:szCs w:val="26"/>
        </w:rPr>
        <w:t xml:space="preserve">8.1 Options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1600"/>
        <w:gridCol w:w="1600"/>
        <w:gridCol w:w="1800"/>
      </w:tblGrid>
      <w:t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Option</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 Cost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Time to Market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Control</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BUILD</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In-house training, self-hosted inference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$700K-930K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6-9 months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BUY</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White-label fine-tuned model via managed service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$200K-400K</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 months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Limited</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PARTNER</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 existing AI (Gemini, Claude) + your data as context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$50K-150K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 months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Minimal</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HYBRID (Rec.)</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Phase 1: Partner (RAG+existing). Phase 2: Build (fine-tune)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$350K-600K</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1-3 months (P1), 6-9 (P2)</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Growing</w:t>
            </w:r>
          </w:p>
        </w:tc>
      </w:tr>
    </w:tbl>
    <w:p>
      <w:pPr>
        <w:spacing w:after="80"/>
      </w:pPr>
    </w:p>
    <w:p>
      <w:pPr>
        <w:pStyle w:val="Heading2"/>
        <w:spacing w:after="160" w:before="280"/>
      </w:pPr>
      <w:r>
        <w:rPr>
          <w:rFonts w:ascii="Arial" w:cs="Arial" w:eastAsia="Arial" w:hAnsi="Arial"/>
          <w:b/>
          <w:bCs/>
          <w:color w:val="2E86C1"/>
          <w:sz w:val="26"/>
          <w:szCs w:val="26"/>
        </w:rPr>
        <w:t xml:space="preserve">8.2 Recommendation: Phased Hybrid</w:t>
      </w:r>
    </w:p>
    <w:p>
      <w:pPr>
        <w:spacing w:after="120"/>
      </w:pPr>
      <w:r>
        <w:rPr>
          <w:rFonts w:ascii="Arial" w:cs="Arial" w:eastAsia="Arial" w:hAnsi="Arial"/>
          <w:sz w:val="21"/>
          <w:szCs w:val="21"/>
        </w:rPr>
        <w:t xml:space="preserve">Start with the Partner approach (Phase 1), using Arkova's existing Gemini AI integration plus RAG against the verified corpus. This validates product-market fit with minimal investment. Transition to Build (Phase 2) once usage metrics confirm demand, fine-tuning a dedicated model that becomes Arkova's proprietary verified intelligence engine. This approach:</w:t>
      </w:r>
    </w:p>
    <w:p>
      <w:pPr>
        <w:pStyle w:val="ListParagraph"/>
        <w:numPr>
          <w:ilvl w:val="0"/>
          <w:numId w:val="3"/>
        </w:numPr>
        <w:spacing w:after="60"/>
      </w:pPr>
      <w:r>
        <w:rPr>
          <w:rFonts w:ascii="Arial" w:cs="Arial" w:eastAsia="Arial" w:hAnsi="Arial"/>
          <w:sz w:val="21"/>
          <w:szCs w:val="21"/>
        </w:rPr>
        <w:t xml:space="preserve">De-risks the investment by validating demand before committing to ML infrastructure.</w:t>
      </w:r>
    </w:p>
    <w:p>
      <w:pPr>
        <w:pStyle w:val="ListParagraph"/>
        <w:numPr>
          <w:ilvl w:val="0"/>
          <w:numId w:val="3"/>
        </w:numPr>
        <w:spacing w:after="60"/>
      </w:pPr>
      <w:r>
        <w:rPr>
          <w:rFonts w:ascii="Arial" w:cs="Arial" w:eastAsia="Arial" w:hAnsi="Arial"/>
          <w:sz w:val="21"/>
          <w:szCs w:val="21"/>
        </w:rPr>
        <w:t xml:space="preserve">Delivers value in 1-2 months rather than 6-9 months.</w:t>
      </w:r>
    </w:p>
    <w:p>
      <w:pPr>
        <w:pStyle w:val="ListParagraph"/>
        <w:numPr>
          <w:ilvl w:val="0"/>
          <w:numId w:val="3"/>
        </w:numPr>
        <w:spacing w:after="60"/>
      </w:pPr>
      <w:r>
        <w:rPr>
          <w:rFonts w:ascii="Arial" w:cs="Arial" w:eastAsia="Arial" w:hAnsi="Arial"/>
          <w:sz w:val="21"/>
          <w:szCs w:val="21"/>
        </w:rPr>
        <w:t xml:space="preserve">Preserves optionality: if the market responds poorly, Arkova has spent $50-150K, not $700K+.</w:t>
      </w:r>
    </w:p>
    <w:p>
      <w:pPr>
        <w:pStyle w:val="ListParagraph"/>
        <w:numPr>
          <w:ilvl w:val="0"/>
          <w:numId w:val="3"/>
        </w:numPr>
        <w:spacing w:after="60"/>
      </w:pPr>
      <w:r>
        <w:rPr>
          <w:rFonts w:ascii="Arial" w:cs="Arial" w:eastAsia="Arial" w:hAnsi="Arial"/>
          <w:sz w:val="21"/>
          <w:szCs w:val="21"/>
        </w:rPr>
        <w:t xml:space="preserve">Builds the verified corpus in parallel, so the fine-tuning dataset is mature when Phase 2 begins.</w:t>
      </w:r>
    </w:p>
    <w:p>
      <w:pPr>
        <w:pStyle w:val="ListParagraph"/>
        <w:numPr>
          <w:ilvl w:val="0"/>
          <w:numId w:val="3"/>
        </w:numPr>
        <w:spacing w:after="60"/>
      </w:pPr>
      <w:r>
        <w:rPr>
          <w:rFonts w:ascii="Arial" w:cs="Arial" w:eastAsia="Arial" w:hAnsi="Arial"/>
          <w:sz w:val="21"/>
          <w:szCs w:val="21"/>
        </w:rPr>
        <w:t xml:space="preserve">Allows the ML team to be hired gradually as needs become clear.</w:t>
      </w:r>
    </w:p>
    <w:p>
      <w:r>
        <w:br w:type="page"/>
      </w:r>
    </w:p>
    <w:p>
      <w:pPr>
        <w:pStyle w:val="Heading1"/>
        <w:spacing w:after="200" w:before="360"/>
      </w:pPr>
      <w:r>
        <w:rPr>
          <w:rFonts w:ascii="Arial" w:cs="Arial" w:eastAsia="Arial" w:hAnsi="Arial"/>
          <w:b/>
          <w:bCs/>
          <w:color w:val="1B4F72"/>
          <w:sz w:val="32"/>
          <w:szCs w:val="32"/>
        </w:rPr>
        <w:t xml:space="preserve">9. Implementation Roadmap</w:t>
      </w:r>
    </w:p>
    <w:p>
      <w:pPr>
        <w:pStyle w:val="Heading2"/>
        <w:spacing w:after="160" w:before="280"/>
      </w:pPr>
      <w:r>
        <w:rPr>
          <w:rFonts w:ascii="Arial" w:cs="Arial" w:eastAsia="Arial" w:hAnsi="Arial"/>
          <w:b/>
          <w:bCs/>
          <w:color w:val="2E86C1"/>
          <w:sz w:val="26"/>
          <w:szCs w:val="26"/>
        </w:rPr>
        <w:t xml:space="preserve">9.1 Phase 1: Foundation (Months 1-3)</w:t>
      </w:r>
    </w:p>
    <w:p>
      <w:pPr>
        <w:spacing w:after="120"/>
      </w:pPr>
      <w:r>
        <w:rPr>
          <w:rFonts w:ascii="Arial" w:cs="Arial" w:eastAsia="Arial" w:hAnsi="Arial"/>
          <w:sz w:val="21"/>
          <w:szCs w:val="21"/>
        </w:rPr>
        <w:t xml:space="preserve">Goal: Launch RAG-powered verified intelligence on top of existing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200"/>
        <w:gridCol w:w="1000"/>
        <w:gridCol w:w="1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Milestone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M1: Corpus Bootstrap</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Begin anchoring SEC EDGAR, USPTO, OpenAlex documents (target: 5M docs)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 Eng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$5K infra</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M1: Embedding Pipeline</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Deploy Jina v3 embeddings + vector DB (Pinecone or Supabase pgvector)</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Backend</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$2K/mo</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M2: RAG API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Build retrieval endpoint returning verified citations with Bitcoin proof links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Backend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$3K infra</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M2: Gemini Integration</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Connect RAG pipeline to existing Gemini client-side processing</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Frontend</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Existing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M3: Alpha Launch</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Release to 50 beta users (researchers, compliance teams)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Product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$2K</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M3: Metrics Dashboard</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Track query volume, citation accuracy, user satisfaction</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Data Eng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$1K</w:t>
            </w:r>
          </w:p>
        </w:tc>
      </w:tr>
    </w:tbl>
    <w:p>
      <w:pPr>
        <w:spacing w:after="120"/>
      </w:pPr>
      <w:r>
        <w:rPr>
          <w:rFonts w:ascii="Arial" w:cs="Arial" w:eastAsia="Arial" w:hAnsi="Arial"/>
          <w:sz w:val="21"/>
          <w:szCs w:val="21"/>
        </w:rPr>
        <w:t xml:space="preserve">Phase 1 Team: 1 backend engineer, 1 data engineer, existing frontend team. Total Phase 1 cost: $30K-50K.</w:t>
      </w:r>
    </w:p>
    <w:p>
      <w:pPr>
        <w:spacing w:after="120"/>
      </w:pPr>
      <w:r>
        <w:rPr>
          <w:rFonts w:ascii="Arial" w:cs="Arial" w:eastAsia="Arial" w:hAnsi="Arial"/>
          <w:sz w:val="21"/>
          <w:szCs w:val="21"/>
        </w:rPr>
        <w:t xml:space="preserve">Decision Gate: If &gt;50K queries/month by end of Month 3, proceed to Phase 2. If &lt;50K, extend Phase 1 and focus on distribution.</w:t>
      </w:r>
    </w:p>
    <w:p>
      <w:pPr>
        <w:spacing w:after="80"/>
      </w:pPr>
    </w:p>
    <w:p>
      <w:pPr>
        <w:pStyle w:val="Heading2"/>
        <w:spacing w:after="160" w:before="280"/>
      </w:pPr>
      <w:r>
        <w:rPr>
          <w:rFonts w:ascii="Arial" w:cs="Arial" w:eastAsia="Arial" w:hAnsi="Arial"/>
          <w:b/>
          <w:bCs/>
          <w:color w:val="2E86C1"/>
          <w:sz w:val="26"/>
          <w:szCs w:val="26"/>
        </w:rPr>
        <w:t xml:space="preserve">9.2 Phase 2: Intelligence Layer (Months 4-8)</w:t>
      </w:r>
    </w:p>
    <w:p>
      <w:pPr>
        <w:spacing w:after="120"/>
      </w:pPr>
      <w:r>
        <w:rPr>
          <w:rFonts w:ascii="Arial" w:cs="Arial" w:eastAsia="Arial" w:hAnsi="Arial"/>
          <w:sz w:val="21"/>
          <w:szCs w:val="21"/>
        </w:rPr>
        <w:t xml:space="preserve">Goal: Fine-tune Nessie and build the verified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200"/>
        <w:gridCol w:w="1000"/>
        <w:gridCol w:w="1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Milestone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M4: ML Team Hire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Hire 1 ML engineer with NLP/fine-tuning experience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Founder</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$180K-300K/yr</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M4: Dataset Curation</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Prepare 10M anchored docs for fine-tuning (cleaning, formatting)</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ML Eng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M5: First LoRA Fine-Tune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Llama 3.1 8B on SEC corpus, evaluate domain performance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ML Eng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$2.5K</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M6: Multi-Adapter System</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Add USPTO, academic, regulatory LoRA adapters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ML Eng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M7: WebLLM Client Deploy</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Deploy quantized 3B model for in-browser document analysis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Frontend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$2K</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M8: Beta Launch</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Release to 500 users with full verified intelligence features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Product</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$5K</w:t>
            </w:r>
          </w:p>
        </w:tc>
      </w:tr>
    </w:tbl>
    <w:p>
      <w:pPr>
        <w:spacing w:after="120"/>
      </w:pPr>
      <w:r>
        <w:rPr>
          <w:rFonts w:ascii="Arial" w:cs="Arial" w:eastAsia="Arial" w:hAnsi="Arial"/>
          <w:sz w:val="21"/>
          <w:szCs w:val="21"/>
        </w:rPr>
        <w:t xml:space="preserve">Phase 2 Team: 1 ML engineer, 1 backend engineer. Synthetic data generation via Claude/Gemini APIs. Total Phase 2 cost: $100K-175K.</w:t>
      </w:r>
    </w:p>
    <w:p>
      <w:pPr>
        <w:spacing w:after="120"/>
      </w:pPr>
      <w:r>
        <w:rPr>
          <w:rFonts w:ascii="Arial" w:cs="Arial" w:eastAsia="Arial" w:hAnsi="Arial"/>
          <w:sz w:val="21"/>
          <w:szCs w:val="21"/>
        </w:rPr>
        <w:t xml:space="preserve">Decision Gate: If &gt;200K queries/month and &gt;10 enterprise leads by Month 8, proceed to Phase 3.</w:t>
      </w:r>
    </w:p>
    <w:p>
      <w:pPr>
        <w:spacing w:after="80"/>
      </w:pPr>
    </w:p>
    <w:p>
      <w:pPr>
        <w:pStyle w:val="Heading2"/>
        <w:spacing w:after="160" w:before="280"/>
      </w:pPr>
      <w:r>
        <w:rPr>
          <w:rFonts w:ascii="Arial" w:cs="Arial" w:eastAsia="Arial" w:hAnsi="Arial"/>
          <w:b/>
          <w:bCs/>
          <w:color w:val="2E86C1"/>
          <w:sz w:val="26"/>
          <w:szCs w:val="26"/>
        </w:rPr>
        <w:t xml:space="preserve">9.3 Phase 3: Scale &amp; Revenue (Months 9-12)</w:t>
      </w:r>
    </w:p>
    <w:p>
      <w:pPr>
        <w:spacing w:after="120"/>
      </w:pPr>
      <w:r>
        <w:rPr>
          <w:rFonts w:ascii="Arial" w:cs="Arial" w:eastAsia="Arial" w:hAnsi="Arial"/>
          <w:sz w:val="21"/>
          <w:szCs w:val="21"/>
        </w:rPr>
        <w:t xml:space="preserve">Goal: Production hardening, enterprise launch, and revenue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200"/>
        <w:gridCol w:w="1000"/>
        <w:gridCol w:w="1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Milestone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M9: Production Inference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Deploy vLLM + auto-scaling on RunPod/dedicated GPU</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ML Eng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$3K/mo</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M9: Agent API</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Launch MCP-compatible API for third-party AI agents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Backend</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M10: Enterprise Features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Custom adapters, SLA, SSO, audit logging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 team</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$20K</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M11: Enterprise Sales</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Close first 5-10 enterprise contracts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Founder</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Variable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M12: Continuous Training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Automated monthly LoRA refresh pipeline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ML Eng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$1.5K/mo</w:t>
            </w:r>
          </w:p>
        </w:tc>
      </w:tr>
    </w:tbl>
    <w:p>
      <w:pPr>
        <w:spacing w:after="120"/>
      </w:pPr>
      <w:r>
        <w:rPr>
          <w:rFonts w:ascii="Arial" w:cs="Arial" w:eastAsia="Arial" w:hAnsi="Arial"/>
          <w:sz w:val="21"/>
          <w:szCs w:val="21"/>
        </w:rPr>
        <w:t xml:space="preserve">Phase 3 Team: 1 ML engineer, 1 backend engineer, 1 sales/BD. Total Phase 3 cost: $100K-150K.</w:t>
      </w:r>
    </w:p>
    <w:p>
      <w:r>
        <w:br w:type="page"/>
      </w:r>
    </w:p>
    <w:p>
      <w:pPr>
        <w:pStyle w:val="Heading1"/>
        <w:spacing w:after="200" w:before="360"/>
      </w:pPr>
      <w:r>
        <w:rPr>
          <w:rFonts w:ascii="Arial" w:cs="Arial" w:eastAsia="Arial" w:hAnsi="Arial"/>
          <w:b/>
          <w:bCs/>
          <w:color w:val="1B4F72"/>
          <w:sz w:val="32"/>
          <w:szCs w:val="32"/>
        </w:rPr>
        <w:t xml:space="preserve">10. Financial Model</w:t>
      </w:r>
    </w:p>
    <w:p>
      <w:pPr>
        <w:pStyle w:val="Heading2"/>
        <w:spacing w:after="160" w:before="280"/>
      </w:pPr>
      <w:r>
        <w:rPr>
          <w:rFonts w:ascii="Arial" w:cs="Arial" w:eastAsia="Arial" w:hAnsi="Arial"/>
          <w:b/>
          <w:bCs/>
          <w:color w:val="2E86C1"/>
          <w:sz w:val="26"/>
          <w:szCs w:val="26"/>
        </w:rPr>
        <w:t xml:space="preserve">10.1 Development Costs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1600"/>
        <w:gridCol w:w="1800"/>
        <w:gridCol w:w="190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 Category</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 1 (M1-3)</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 2 (M4-8)</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 3 (M9-12)</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 Total</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Infrastructure (GPU, cloud)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$105K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ML Engineering (2 FTE from M4)</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$150K</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$120K</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$270K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 Engineering (1 FTE)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$45K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$75K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$180K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Backend Engineering</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$30K</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$25K</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$25K</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$80K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Tools &amp; Services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$25K</w:t>
            </w:r>
          </w:p>
        </w:tc>
      </w:tr>
      <w:tr>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Contingency (15%)</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$14K</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$47K</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$38K</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$99K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TOTAL</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$109K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$357K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$293K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$759K</w:t>
            </w:r>
          </w:p>
        </w:tc>
      </w:tr>
    </w:tbl>
    <w:p>
      <w:pPr>
        <w:spacing w:after="80"/>
      </w:pPr>
    </w:p>
    <w:p>
      <w:pPr>
        <w:pStyle w:val="Heading2"/>
        <w:spacing w:after="160" w:before="280"/>
      </w:pPr>
      <w:r>
        <w:rPr>
          <w:rFonts w:ascii="Arial" w:cs="Arial" w:eastAsia="Arial" w:hAnsi="Arial"/>
          <w:b/>
          <w:bCs/>
          <w:color w:val="2E86C1"/>
          <w:sz w:val="26"/>
          <w:szCs w:val="26"/>
        </w:rPr>
        <w:t xml:space="preserve">10.2 Monthly Infrastructure Costs (Steady State,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60"/>
        <w:gridCol w:w="410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Monthly Cost</w:t>
            </w:r>
          </w:p>
        </w:tc>
        <w:tc>
          <w:tcPr>
            <w:tcW w:type="dxa" w:w="4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GPU inference (RunPod/vLLM)</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$1,500-3,000</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Scales with query volume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Vector database (embeddings)</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$300-800</w:t>
            </w:r>
          </w:p>
        </w:tc>
        <w:tc>
          <w:tcPr>
            <w:tcW w:type="dxa" w:w="4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Pinecone or self-hosted pgvector</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Cloudflare Workers AI (edge)</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$200-500</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Overflow and light queries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Data pipeline (ETL, anchoring)</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$500-1,000</w:t>
            </w:r>
          </w:p>
        </w:tc>
        <w:tc>
          <w:tcPr>
            <w:tcW w:type="dxa" w:w="4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Continuous corpus growth</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Monitoring &amp; observability</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$200-400</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Datadog, custom dashboards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TOTAL MONTHLY</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$2,700-5,700</w:t>
            </w:r>
          </w:p>
        </w:tc>
        <w:tc>
          <w:tcPr>
            <w:tcW w:type="dxa" w:w="4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
            </w:r>
          </w:p>
        </w:tc>
      </w:tr>
    </w:tbl>
    <w:p>
      <w:pPr>
        <w:spacing w:after="80"/>
      </w:pPr>
    </w:p>
    <w:p>
      <w:pPr>
        <w:pStyle w:val="Heading2"/>
        <w:spacing w:after="160" w:before="280"/>
      </w:pPr>
      <w:r>
        <w:rPr>
          <w:rFonts w:ascii="Arial" w:cs="Arial" w:eastAsia="Arial" w:hAnsi="Arial"/>
          <w:b/>
          <w:bCs/>
          <w:color w:val="2E86C1"/>
          <w:sz w:val="26"/>
          <w:szCs w:val="26"/>
        </w:rPr>
        <w:t xml:space="preserve">10.3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Month</w:t>
            </w:r>
          </w:p>
        </w:tc>
        <w:tc>
          <w:tcPr>
            <w:tcW w:type="dxa" w:w="24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Conservative</w:t>
            </w:r>
          </w:p>
        </w:tc>
        <w:tc>
          <w:tcPr>
            <w:tcW w:type="dxa" w:w="24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Moderate</w:t>
            </w:r>
          </w:p>
        </w:tc>
        <w:tc>
          <w:tcPr>
            <w:tcW w:type="dxa" w:w="245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Aggressive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 3</w:t>
            </w:r>
          </w:p>
        </w:tc>
        <w:tc>
          <w:tcPr>
            <w:tcW w:type="dxa" w:w="24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$5K</w:t>
            </w:r>
          </w:p>
        </w:tc>
        <w:tc>
          <w:tcPr>
            <w:tcW w:type="dxa" w:w="24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$15K</w:t>
            </w:r>
          </w:p>
        </w:tc>
        <w:tc>
          <w:tcPr>
            <w:tcW w:type="dxa" w:w="24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$30K</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Month 6</w:t>
            </w:r>
          </w:p>
        </w:tc>
        <w:tc>
          <w:tcPr>
            <w:tcW w:type="dxa" w:w="24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$30K</w:t>
            </w:r>
          </w:p>
        </w:tc>
        <w:tc>
          <w:tcPr>
            <w:tcW w:type="dxa" w:w="24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$80K</w:t>
            </w:r>
          </w:p>
        </w:tc>
        <w:tc>
          <w:tcPr>
            <w:tcW w:type="dxa" w:w="245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$200K</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 9</w:t>
            </w:r>
          </w:p>
        </w:tc>
        <w:tc>
          <w:tcPr>
            <w:tcW w:type="dxa" w:w="24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$70K</w:t>
            </w:r>
          </w:p>
        </w:tc>
        <w:tc>
          <w:tcPr>
            <w:tcW w:type="dxa" w:w="24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$200K</w:t>
            </w:r>
          </w:p>
        </w:tc>
        <w:tc>
          <w:tcPr>
            <w:tcW w:type="dxa" w:w="24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$500K</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Month 12</w:t>
            </w:r>
          </w:p>
        </w:tc>
        <w:tc>
          <w:tcPr>
            <w:tcW w:type="dxa" w:w="24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$120K</w:t>
            </w:r>
          </w:p>
        </w:tc>
        <w:tc>
          <w:tcPr>
            <w:tcW w:type="dxa" w:w="2453"/>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$380K</w:t>
            </w:r>
          </w:p>
        </w:tc>
        <w:tc>
          <w:tcPr>
            <w:tcW w:type="dxa" w:w="245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$850K</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Year 1 Total</w:t>
            </w:r>
          </w:p>
        </w:tc>
        <w:tc>
          <w:tcPr>
            <w:tcW w:type="dxa" w:w="24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$1,210K</w:t>
            </w:r>
          </w:p>
        </w:tc>
        <w:tc>
          <w:tcPr>
            <w:tcW w:type="dxa" w:w="24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$3,380K</w:t>
            </w:r>
          </w:p>
        </w:tc>
        <w:tc>
          <w:tcPr>
            <w:tcW w:type="dxa" w:w="2454"/>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$8,340K</w:t>
            </w:r>
          </w:p>
        </w:tc>
      </w:tr>
    </w:tbl>
    <w:p>
      <w:pPr>
        <w:spacing w:after="80"/>
      </w:pPr>
    </w:p>
    <w:p>
      <w:pPr>
        <w:pStyle w:val="Heading2"/>
        <w:spacing w:after="160" w:before="280"/>
      </w:pPr>
      <w:r>
        <w:rPr>
          <w:rFonts w:ascii="Arial" w:cs="Arial" w:eastAsia="Arial" w:hAnsi="Arial"/>
          <w:b/>
          <w:bCs/>
          <w:color w:val="2E86C1"/>
          <w:sz w:val="26"/>
          <w:szCs w:val="26"/>
        </w:rPr>
        <w:t xml:space="preserve">10.4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60"/>
        <w:gridCol w:w="1900"/>
        <w:gridCol w:w="220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 Year 1 Investment</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 Revenue</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Break-Even Month</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2 Projected Profit</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Conservative</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$759K</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$1,210K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 18-22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$500K-1M</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Moderate</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$759K</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$3,380K</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Month 8-12</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$2-4M</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Aggressive</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$759K</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$8,340K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 5-7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$6-12M</w:t>
            </w:r>
          </w:p>
        </w:tc>
      </w:tr>
    </w:tbl>
    <w:p>
      <w:pPr>
        <w:spacing w:after="80"/>
      </w:pPr>
    </w:p>
    <w:p>
      <w:pPr>
        <w:pStyle w:val="Heading2"/>
        <w:spacing w:after="160" w:before="280"/>
      </w:pPr>
      <w:r>
        <w:rPr>
          <w:rFonts w:ascii="Arial" w:cs="Arial" w:eastAsia="Arial" w:hAnsi="Arial"/>
          <w:b/>
          <w:bCs/>
          <w:color w:val="2E86C1"/>
          <w:sz w:val="26"/>
          <w:szCs w:val="26"/>
        </w:rPr>
        <w:t xml:space="preserve">10.5 With Nessie vs. Without Nessie</w:t>
      </w:r>
    </w:p>
    <w:p>
      <w:pPr>
        <w:spacing w:after="120"/>
      </w:pPr>
      <w:r>
        <w:rPr>
          <w:rFonts w:ascii="Arial" w:cs="Arial" w:eastAsia="Arial" w:hAnsi="Arial"/>
          <w:sz w:val="21"/>
          <w:szCs w:val="21"/>
        </w:rPr>
        <w:t xml:space="preserve">The critical question: does Nessie accelerate Arkova’s overall revenue, or is the verification API sufficient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60"/>
        <w:gridCol w:w="190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Without Nessie (API Only)</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With Nessie (Verified Intelligence)</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Delta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Average Revenue Per User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$50/mo (verification only)</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$199/mo (AI + verification)</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+298%</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Addressable Use Cases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 (verify, timestamp, audit)</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 (analysis, compliance, search, agents)</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+167%</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Enterprise Contract Size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$12K/yr</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$24-36K/yr</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+100-200%</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Developer Adoption (Agent API)</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Low (commodity API)</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High (unique verified AI tool)</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Significant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Competitive Differentiation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Moderate (several timestamping services)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Strong (no verified AI competitor)</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change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Year 1 Revenue Estimate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$400K-600K</w:t>
            </w:r>
          </w:p>
        </w:tc>
        <w:tc>
          <w:tcPr>
            <w:tcW w:type="dxa" w:w="2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$1.2M-8.3M</w:t>
            </w:r>
          </w:p>
        </w:tc>
        <w:tc>
          <w:tcPr>
            <w:tcW w:type="dxa" w:w="1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+200-1,300%</w:t>
            </w:r>
          </w:p>
        </w:tc>
      </w:tr>
    </w:tbl>
    <w:p>
      <w:pPr>
        <w:spacing w:after="120"/>
      </w:pPr>
      <w:r>
        <w:rPr>
          <w:rFonts w:ascii="Arial" w:cs="Arial" w:eastAsia="Arial" w:hAnsi="Arial"/>
          <w:sz w:val="21"/>
          <w:szCs w:val="21"/>
        </w:rPr>
        <w:t xml:space="preserve">Nessie transforms Arkova from a utility infrastructure provider (verification API) into an intelligence platform with significantly higher per-user value, broader use cases, and stronger competitive differentiation. The incremental investment of $400K-600K (the difference between API-only and full Nessie development) unlocks 3-14x more Year 1 revenue.</w:t>
      </w:r>
    </w:p>
    <w:p>
      <w:r>
        <w:br w:type="page"/>
      </w:r>
    </w:p>
    <w:p>
      <w:pPr>
        <w:pStyle w:val="Heading1"/>
        <w:spacing w:after="200" w:before="360"/>
      </w:pPr>
      <w:r>
        <w:rPr>
          <w:rFonts w:ascii="Arial" w:cs="Arial" w:eastAsia="Arial" w:hAnsi="Arial"/>
          <w:b/>
          <w:bCs/>
          <w:color w:val="1B4F72"/>
          <w:sz w:val="32"/>
          <w:szCs w:val="32"/>
        </w:rPr>
        <w:t xml:space="preserve">11. Go/No-Go Recommendation</w:t>
      </w:r>
    </w:p>
    <w:p>
      <w:pPr>
        <w:pStyle w:val="Heading2"/>
        <w:spacing w:after="160" w:before="280"/>
      </w:pPr>
      <w:r>
        <w:rPr>
          <w:rFonts w:ascii="Arial" w:cs="Arial" w:eastAsia="Arial" w:hAnsi="Arial"/>
          <w:b/>
          <w:bCs/>
          <w:color w:val="2E86C1"/>
          <w:sz w:val="26"/>
          <w:szCs w:val="26"/>
        </w:rPr>
        <w:t xml:space="preserve">Recommendation: CONDITIONAL GO</w:t>
      </w:r>
    </w:p>
    <w:p>
      <w:pPr>
        <w:spacing w:after="80"/>
      </w:pPr>
    </w:p>
    <w:p>
      <w:pPr>
        <w:spacing w:after="120"/>
      </w:pPr>
      <w:r>
        <w:rPr>
          <w:rFonts w:ascii="Arial" w:cs="Arial" w:eastAsia="Arial" w:hAnsi="Arial"/>
          <w:sz w:val="21"/>
          <w:szCs w:val="21"/>
        </w:rPr>
        <w:t xml:space="preserve">Proceed with the phased hybrid approach. Nessie is strategically essential for Arkova's positioning and revenue growth, but the execution should be de-risked through careful phasing.</w:t>
      </w:r>
    </w:p>
    <w:p>
      <w:pPr>
        <w:spacing w:after="80"/>
      </w:pPr>
    </w:p>
    <w:p>
      <w:pPr>
        <w:pStyle w:val="Heading3"/>
        <w:spacing w:after="120" w:before="200"/>
      </w:pPr>
      <w:r>
        <w:rPr>
          <w:rFonts w:ascii="Arial" w:cs="Arial" w:eastAsia="Arial" w:hAnsi="Arial"/>
          <w:b/>
          <w:bCs/>
          <w:color w:val="2C3E50"/>
          <w:sz w:val="22"/>
          <w:szCs w:val="22"/>
        </w:rPr>
        <w:t xml:space="preserve">Why GO</w:t>
      </w:r>
    </w:p>
    <w:p>
      <w:pPr>
        <w:pStyle w:val="ListParagraph"/>
        <w:numPr>
          <w:ilvl w:val="0"/>
          <w:numId w:val="4"/>
        </w:numPr>
        <w:spacing w:after="60"/>
      </w:pPr>
      <w:r>
        <w:rPr>
          <w:rFonts w:ascii="Arial" w:cs="Arial" w:eastAsia="Arial" w:hAnsi="Arial"/>
          <w:sz w:val="21"/>
          <w:szCs w:val="21"/>
        </w:rPr>
        <w:t xml:space="preserve">The 'verified AI' positioning is genuinely unique with no direct competitor in the market.</w:t>
      </w:r>
    </w:p>
    <w:p>
      <w:pPr>
        <w:pStyle w:val="ListParagraph"/>
        <w:numPr>
          <w:ilvl w:val="0"/>
          <w:numId w:val="4"/>
        </w:numPr>
        <w:spacing w:after="60"/>
      </w:pPr>
      <w:r>
        <w:rPr>
          <w:rFonts w:ascii="Arial" w:cs="Arial" w:eastAsia="Arial" w:hAnsi="Arial"/>
          <w:sz w:val="21"/>
          <w:szCs w:val="21"/>
        </w:rPr>
        <w:t xml:space="preserve">Nessie unlocks 3-14x more revenue than the verification API alone.</w:t>
      </w:r>
    </w:p>
    <w:p>
      <w:pPr>
        <w:pStyle w:val="ListParagraph"/>
        <w:numPr>
          <w:ilvl w:val="0"/>
          <w:numId w:val="4"/>
        </w:numPr>
        <w:spacing w:after="60"/>
      </w:pPr>
      <w:r>
        <w:rPr>
          <w:rFonts w:ascii="Arial" w:cs="Arial" w:eastAsia="Arial" w:hAnsi="Arial"/>
          <w:sz w:val="21"/>
          <w:szCs w:val="21"/>
        </w:rPr>
        <w:t xml:space="preserve">The phased approach limits downside to $50-150K if Phase 1 underperforms.</w:t>
      </w:r>
    </w:p>
    <w:p>
      <w:pPr>
        <w:pStyle w:val="ListParagraph"/>
        <w:numPr>
          <w:ilvl w:val="0"/>
          <w:numId w:val="4"/>
        </w:numPr>
        <w:spacing w:after="60"/>
      </w:pPr>
      <w:r>
        <w:rPr>
          <w:rFonts w:ascii="Arial" w:cs="Arial" w:eastAsia="Arial" w:hAnsi="Arial"/>
          <w:sz w:val="21"/>
          <w:szCs w:val="21"/>
        </w:rPr>
        <w:t xml:space="preserve">The technical approach (RAG + LoRA fine-tuning on 7B model) is well-understood and achievable with a small team.</w:t>
      </w:r>
    </w:p>
    <w:p>
      <w:pPr>
        <w:pStyle w:val="ListParagraph"/>
        <w:numPr>
          <w:ilvl w:val="0"/>
          <w:numId w:val="4"/>
        </w:numPr>
        <w:spacing w:after="60"/>
      </w:pPr>
      <w:r>
        <w:rPr>
          <w:rFonts w:ascii="Arial" w:cs="Arial" w:eastAsia="Arial" w:hAnsi="Arial"/>
          <w:sz w:val="21"/>
          <w:szCs w:val="21"/>
        </w:rPr>
        <w:t xml:space="preserve">The 10M+ document bootstrap creates a time-locked corpus advantage that grows more defensible over time.</w:t>
      </w:r>
    </w:p>
    <w:p>
      <w:pPr>
        <w:pStyle w:val="ListParagraph"/>
        <w:numPr>
          <w:ilvl w:val="0"/>
          <w:numId w:val="4"/>
        </w:numPr>
        <w:spacing w:after="60"/>
      </w:pPr>
      <w:r>
        <w:rPr>
          <w:rFonts w:ascii="Arial" w:cs="Arial" w:eastAsia="Arial" w:hAnsi="Arial"/>
          <w:sz w:val="21"/>
          <w:szCs w:val="21"/>
        </w:rPr>
        <w:t xml:space="preserve">EU AI Act compliance requirements actually favor Arkova's transparent approach.</w:t>
      </w:r>
    </w:p>
    <w:p>
      <w:pPr>
        <w:pStyle w:val="ListParagraph"/>
        <w:numPr>
          <w:ilvl w:val="0"/>
          <w:numId w:val="4"/>
        </w:numPr>
        <w:spacing w:after="60"/>
      </w:pPr>
      <w:r>
        <w:rPr>
          <w:rFonts w:ascii="Arial" w:cs="Arial" w:eastAsia="Arial" w:hAnsi="Arial"/>
          <w:sz w:val="21"/>
          <w:szCs w:val="21"/>
        </w:rPr>
        <w:t xml:space="preserve">Client-side WebLLM deployment preserves the core privacy guarantee.</w:t>
      </w:r>
    </w:p>
    <w:p>
      <w:pPr>
        <w:spacing w:after="80"/>
      </w:pPr>
    </w:p>
    <w:p>
      <w:pPr>
        <w:pStyle w:val="Heading3"/>
        <w:spacing w:after="120" w:before="200"/>
      </w:pPr>
      <w:r>
        <w:rPr>
          <w:rFonts w:ascii="Arial" w:cs="Arial" w:eastAsia="Arial" w:hAnsi="Arial"/>
          <w:b/>
          <w:bCs/>
          <w:color w:val="2C3E50"/>
          <w:sz w:val="22"/>
          <w:szCs w:val="22"/>
        </w:rPr>
        <w:t xml:space="preserve">Why CONDITIONAL</w:t>
      </w:r>
    </w:p>
    <w:p>
      <w:pPr>
        <w:pStyle w:val="ListParagraph"/>
        <w:numPr>
          <w:ilvl w:val="0"/>
          <w:numId w:val="5"/>
        </w:numPr>
        <w:spacing w:after="60"/>
      </w:pPr>
      <w:r>
        <w:rPr>
          <w:rFonts w:ascii="Arial" w:cs="Arial" w:eastAsia="Arial" w:hAnsi="Arial"/>
          <w:sz w:val="21"/>
          <w:szCs w:val="21"/>
        </w:rPr>
        <w:t xml:space="preserve">Phase 1 must validate demand (&gt;50K queries/month) before committing to Phase 2 investment.</w:t>
      </w:r>
    </w:p>
    <w:p>
      <w:pPr>
        <w:pStyle w:val="ListParagraph"/>
        <w:numPr>
          <w:ilvl w:val="0"/>
          <w:numId w:val="5"/>
        </w:numPr>
        <w:spacing w:after="60"/>
      </w:pPr>
      <w:r>
        <w:rPr>
          <w:rFonts w:ascii="Arial" w:cs="Arial" w:eastAsia="Arial" w:hAnsi="Arial"/>
          <w:sz w:val="21"/>
          <w:szCs w:val="21"/>
        </w:rPr>
        <w:t xml:space="preserve">Hallucination risk requires careful positioning as 'verified retrieval' rather than 'verified generation.'</w:t>
      </w:r>
    </w:p>
    <w:p>
      <w:pPr>
        <w:pStyle w:val="ListParagraph"/>
        <w:numPr>
          <w:ilvl w:val="0"/>
          <w:numId w:val="5"/>
        </w:numPr>
        <w:spacing w:after="60"/>
      </w:pPr>
      <w:r>
        <w:rPr>
          <w:rFonts w:ascii="Arial" w:cs="Arial" w:eastAsia="Arial" w:hAnsi="Arial"/>
          <w:sz w:val="21"/>
          <w:szCs w:val="21"/>
        </w:rPr>
        <w:t xml:space="preserve">The moat has a 12-18 month window before larger players could replicate. Arkova must build network effects within that window.</w:t>
      </w:r>
    </w:p>
    <w:p>
      <w:pPr>
        <w:pStyle w:val="ListParagraph"/>
        <w:numPr>
          <w:ilvl w:val="0"/>
          <w:numId w:val="5"/>
        </w:numPr>
        <w:spacing w:after="60"/>
      </w:pPr>
      <w:r>
        <w:rPr>
          <w:rFonts w:ascii="Arial" w:cs="Arial" w:eastAsia="Arial" w:hAnsi="Arial"/>
          <w:sz w:val="21"/>
          <w:szCs w:val="21"/>
        </w:rPr>
        <w:t xml:space="preserve">ML talent hiring is the biggest execution risk. Consider managed services as a bridge.</w:t>
      </w:r>
    </w:p>
    <w:p>
      <w:pPr>
        <w:spacing w:after="80"/>
      </w:pPr>
    </w:p>
    <w:p>
      <w:pPr>
        <w:pStyle w:val="Heading3"/>
        <w:spacing w:after="120" w:before="200"/>
      </w:pPr>
      <w:r>
        <w:rPr>
          <w:rFonts w:ascii="Arial" w:cs="Arial" w:eastAsia="Arial" w:hAnsi="Arial"/>
          <w:b/>
          <w:bCs/>
          <w:color w:val="2C3E50"/>
          <w:sz w:val="22"/>
          <w:szCs w:val="22"/>
        </w:rPr>
        <w:t xml:space="preserve">Critical Success Factors</w:t>
      </w:r>
    </w:p>
    <w:p>
      <w:pPr>
        <w:pStyle w:val="ListParagraph"/>
        <w:numPr>
          <w:ilvl w:val="0"/>
          <w:numId w:val="6"/>
        </w:numPr>
        <w:spacing w:after="60"/>
      </w:pPr>
      <w:r>
        <w:rPr>
          <w:rFonts w:ascii="Arial" w:cs="Arial" w:eastAsia="Arial" w:hAnsi="Arial"/>
          <w:sz w:val="21"/>
          <w:szCs w:val="21"/>
        </w:rPr>
        <w:t xml:space="preserve">Corpus scale: Reach 10M+ anchored documents within 90 days of starting the bootstrap.</w:t>
      </w:r>
    </w:p>
    <w:p>
      <w:pPr>
        <w:pStyle w:val="ListParagraph"/>
        <w:numPr>
          <w:ilvl w:val="0"/>
          <w:numId w:val="6"/>
        </w:numPr>
        <w:spacing w:after="60"/>
      </w:pPr>
      <w:r>
        <w:rPr>
          <w:rFonts w:ascii="Arial" w:cs="Arial" w:eastAsia="Arial" w:hAnsi="Arial"/>
          <w:sz w:val="21"/>
          <w:szCs w:val="21"/>
        </w:rPr>
        <w:t xml:space="preserve">Product-market fit: Achieve &gt;50K queries/month by Month 3 to justify Phase 2.</w:t>
      </w:r>
    </w:p>
    <w:p>
      <w:pPr>
        <w:pStyle w:val="ListParagraph"/>
        <w:numPr>
          <w:ilvl w:val="0"/>
          <w:numId w:val="6"/>
        </w:numPr>
        <w:spacing w:after="60"/>
      </w:pPr>
      <w:r>
        <w:rPr>
          <w:rFonts w:ascii="Arial" w:cs="Arial" w:eastAsia="Arial" w:hAnsi="Arial"/>
          <w:sz w:val="21"/>
          <w:szCs w:val="21"/>
        </w:rPr>
        <w:t xml:space="preserve">Enterprise traction: Close 5+ enterprise pilots by Month 6.</w:t>
      </w:r>
    </w:p>
    <w:p>
      <w:pPr>
        <w:pStyle w:val="ListParagraph"/>
        <w:numPr>
          <w:ilvl w:val="0"/>
          <w:numId w:val="6"/>
        </w:numPr>
        <w:spacing w:after="60"/>
      </w:pPr>
      <w:r>
        <w:rPr>
          <w:rFonts w:ascii="Arial" w:cs="Arial" w:eastAsia="Arial" w:hAnsi="Arial"/>
          <w:sz w:val="21"/>
          <w:szCs w:val="21"/>
        </w:rPr>
        <w:t xml:space="preserve">Provenance integrity: Maintain end-to-end verifiable citation chain from training data to output.</w:t>
      </w:r>
    </w:p>
    <w:p>
      <w:pPr>
        <w:pStyle w:val="ListParagraph"/>
        <w:numPr>
          <w:ilvl w:val="0"/>
          <w:numId w:val="6"/>
        </w:numPr>
        <w:spacing w:after="60"/>
      </w:pPr>
      <w:r>
        <w:rPr>
          <w:rFonts w:ascii="Arial" w:cs="Arial" w:eastAsia="Arial" w:hAnsi="Arial"/>
          <w:sz w:val="21"/>
          <w:szCs w:val="21"/>
        </w:rPr>
        <w:t xml:space="preserve">Brand positioning: Establish 'Arkova = verified intelligence' before competitors can replicate.</w:t>
      </w:r>
    </w:p>
    <w:p>
      <w:pPr>
        <w:spacing w:after="80"/>
      </w:pPr>
    </w:p>
    <w:p>
      <w:pPr>
        <w:pStyle w:val="Heading2"/>
        <w:spacing w:after="160" w:before="280"/>
      </w:pPr>
      <w:r>
        <w:rPr>
          <w:rFonts w:ascii="Arial" w:cs="Arial" w:eastAsia="Arial" w:hAnsi="Arial"/>
          <w:b/>
          <w:bCs/>
          <w:color w:val="2E86C1"/>
          <w:sz w:val="26"/>
          <w:szCs w:val="26"/>
        </w:rPr>
        <w:t xml:space="preserve">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860"/>
        <w:gridCol w:w="2300"/>
        <w:gridCol w:w="22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Gate</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Timing</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Criteria</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If Yes</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If No</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Gate 1</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 3</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&gt;50K queries/mo, &gt;20 active beta users</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Proceed to Phase 2, hire ML team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Extend Phase 1, focus on distribution</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Gate 2</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Month 8</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&gt;200K queries/mo, &gt;10 enterprise leads</w:t>
            </w:r>
          </w:p>
        </w:tc>
        <w:tc>
          <w:tcPr>
            <w:tcW w:type="dxa" w:w="2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Proceed to Phase 3, scale inference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Optimize Phase 2, defer enterprise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Gate 3</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 12</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&gt;$100K MRR, positive unit economics</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Raise dedicated AI fund, expand team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Maintain current scale, optimize costs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120"/>
    </w:pPr>
    <w:r>
      <w:rPr>
        <w:rFonts w:ascii="Arial" w:cs="Arial" w:eastAsia="Arial" w:hAnsi="Arial"/>
        <w:color w:val="7F8C8D"/>
        <w:sz w:val="16"/>
        <w:szCs w:val="16"/>
      </w:rPr>
      <w:t xml:space="preserve">ARKOVA  |  Verified Intelligence SLM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2026-03-21T20:48:34.060Z</dcterms:created>
  <dcterms:modified xsi:type="dcterms:W3CDTF">2026-03-21T20:48:34.061Z</dcterms:modified>
</cp:coreProperties>
</file>

<file path=docProps/custom.xml><?xml version="1.0" encoding="utf-8"?>
<Properties xmlns="http://schemas.openxmlformats.org/officeDocument/2006/custom-properties" xmlns:vt="http://schemas.openxmlformats.org/officeDocument/2006/docPropsVTypes"/>
</file>