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1B2A4A"/>
          <w:sz w:val="56"/>
          <w:szCs w:val="56"/>
        </w:rPr>
        <w:t xml:space="preserve">ARKOVA</w:t>
      </w:r>
    </w:p>
    <w:p>
      <w:pPr>
        <w:pBdr>
          <w:bottom w:val="single" w:color="2E75B6" w:sz="6" w:space="8"/>
        </w:pBdr>
        <w:spacing w:after="100"/>
        <w:jc w:val="center"/>
      </w:pPr>
      <w:r>
        <w:rPr>
          <w:rFonts w:ascii="Arial" w:cs="Arial" w:eastAsia="Arial" w:hAnsi="Arial"/>
          <w:color w:val="2E75B6"/>
          <w:sz w:val="36"/>
          <w:szCs w:val="36"/>
        </w:rPr>
        <w:t xml:space="preserve">Bitcoin Anchoring Strategy</w:t>
      </w:r>
    </w:p>
    <w:p>
      <w:pPr>
        <w:spacing w:after="100" w:before="200"/>
        <w:jc w:val="center"/>
      </w:pPr>
      <w:r>
        <w:rPr>
          <w:rFonts w:ascii="Arial" w:cs="Arial" w:eastAsia="Arial" w:hAnsi="Arial"/>
          <w:color w:val="666666"/>
          <w:sz w:val="22"/>
          <w:szCs w:val="22"/>
        </w:rPr>
        <w:t xml:space="preserve">Technical Analysis &amp; Revenue Opportunities | March 2026</w:t>
      </w:r>
    </w:p>
    <w:p>
      <w:pPr>
        <w:spacing w:before="600"/>
        <w:jc w:val="center"/>
      </w:pPr>
      <w:r>
        <w:rPr>
          <w:rFonts w:ascii="Arial" w:cs="Arial" w:eastAsia="Arial" w:hAnsi="Arial"/>
          <w:color w:val="666666"/>
          <w:sz w:val="21"/>
          <w:szCs w:val="21"/>
        </w:rPr>
        <w:t xml:space="preserve">Prepared for: </w:t>
      </w:r>
      <w:r>
        <w:rPr>
          <w:rFonts w:ascii="Arial" w:cs="Arial" w:eastAsia="Arial" w:hAnsi="Arial"/>
          <w:b/>
          <w:bCs/>
          <w:color w:val="1B2A4A"/>
          <w:sz w:val="21"/>
          <w:szCs w:val="21"/>
        </w:rPr>
        <w:t xml:space="preserve">Carson, Arkova</w:t>
      </w:r>
    </w:p>
    <w:p>
      <w:pPr>
        <w:spacing w:after="100"/>
        <w:jc w:val="center"/>
      </w:pPr>
      <w:r>
        <w:rPr>
          <w:rFonts w:ascii="Arial" w:cs="Arial" w:eastAsia="Arial" w:hAnsi="Arial"/>
          <w:color w:val="666666"/>
          <w:sz w:val="21"/>
          <w:szCs w:val="21"/>
        </w:rPr>
        <w:t xml:space="preserve">Classification: </w:t>
      </w:r>
      <w:r>
        <w:rPr>
          <w:rFonts w:ascii="Arial" w:cs="Arial" w:eastAsia="Arial" w:hAnsi="Arial"/>
          <w:i/>
          <w:iCs/>
          <w:color w:val="666666"/>
          <w:sz w:val="21"/>
          <w:szCs w:val="21"/>
        </w:rPr>
        <w:t xml:space="preserve">Internal — Engineering Strategy</w:t>
      </w:r>
    </w:p>
    <w:p>
      <w:r>
        <w:br w:type="page"/>
      </w:r>
    </w:p>
    <w:p>
      <w:pPr>
        <w:pStyle w:val="Heading1"/>
        <w:spacing w:after="300"/>
      </w:pPr>
      <w:r>
        <w:rPr>
          <w:rFonts w:ascii="Arial" w:cs="Arial" w:eastAsia="Arial" w:hAnsi="Arial"/>
          <w:b/>
          <w:bCs/>
          <w:color w:val="1B2A4A"/>
          <w:sz w:val="28"/>
          <w:szCs w:val="28"/>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360"/>
      </w:pPr>
      <w:r>
        <w:rPr>
          <w:rFonts w:ascii="Arial" w:cs="Arial" w:eastAsia="Arial" w:hAnsi="Arial"/>
          <w:b/>
          <w:bCs/>
          <w:color w:val="1B2A4A"/>
          <w:sz w:val="28"/>
          <w:szCs w:val="28"/>
        </w:rPr>
        <w:t xml:space="preserve">1. Executive Summary</w:t>
      </w:r>
    </w:p>
    <w:p>
      <w:pPr>
        <w:spacing w:after="120"/>
      </w:pPr>
      <w:r>
        <w:rPr>
          <w:rFonts w:ascii="Arial" w:cs="Arial" w:eastAsia="Arial" w:hAnsi="Arial"/>
          <w:sz w:val="21"/>
          <w:szCs w:val="21"/>
        </w:rPr>
        <w:t xml:space="preserve">Arkova’s current approach — direct OP_RETURN with SHA-256 hashes via bitcoinjs-lib + AWS KMS — is technically sound but leaves significant cost and capability improvements on the table. The Bitcoin protocol landscape shifted materially in 2025, and Arkova should capitalize on these changes.</w:t>
      </w:r>
    </w:p>
    <w:p>
      <w:pPr>
        <w:spacing w:after="120"/>
      </w:pPr>
      <w:r>
        <w:rPr>
          <w:rFonts w:ascii="Arial" w:cs="Arial" w:eastAsia="Arial" w:hAnsi="Arial"/>
          <w:b/>
          <w:bCs/>
          <w:sz w:val="21"/>
          <w:szCs w:val="21"/>
        </w:rPr>
        <w:t xml:space="preserve">Three key findings:</w:t>
      </w:r>
    </w:p>
    <w:p>
      <w:pPr>
        <w:spacing w:after="120"/>
      </w:pPr>
      <w:r>
        <w:rPr>
          <w:rFonts w:ascii="Arial" w:cs="Arial" w:eastAsia="Arial" w:hAnsi="Arial"/>
          <w:b/>
          <w:bCs/>
          <w:sz w:val="21"/>
          <w:szCs w:val="21"/>
        </w:rPr>
        <w:t xml:space="preserve">First, Bitcoin Core v30 (October 2025) removed the 80-byte OP_RETURN limit</w:t>
      </w:r>
      <w:r>
        <w:rPr>
          <w:rFonts w:ascii="Arial" w:cs="Arial" w:eastAsia="Arial" w:hAnsi="Arial"/>
          <w:sz w:val="21"/>
          <w:szCs w:val="21"/>
        </w:rPr>
        <w:t xml:space="preserve">, raising the default to ~100KB and permitting multiple OP_RETURN outputs per transaction. This eliminates a long-standing constraint but doesn’t change Arkova’s optimal strategy since SHA-256 hashes fit in 32 bytes. The real significance is political: it validates OP_RETURN as the sanctioned data embedding method.</w:t>
      </w:r>
    </w:p>
    <w:p>
      <w:pPr>
        <w:spacing w:after="120"/>
      </w:pPr>
      <w:r>
        <w:rPr>
          <w:rFonts w:ascii="Arial" w:cs="Arial" w:eastAsia="Arial" w:hAnsi="Arial"/>
          <w:b/>
          <w:bCs/>
          <w:sz w:val="21"/>
          <w:szCs w:val="21"/>
        </w:rPr>
        <w:t xml:space="preserve">Second, Merkle tree batching is the single highest-ROI improvement</w:t>
      </w:r>
      <w:r>
        <w:rPr>
          <w:rFonts w:ascii="Arial" w:cs="Arial" w:eastAsia="Arial" w:hAnsi="Arial"/>
          <w:sz w:val="21"/>
          <w:szCs w:val="21"/>
        </w:rPr>
        <w:t xml:space="preserve">. At 10M anchors/year with batch sizes of 1,000, Arkova reduces per-anchor Bitcoin cost from ~$0.08 to ~$0.00008 — a 1,000x reduction. This is the planned approach, and this analysis provides the engineering specifics to execute it optimally.</w:t>
      </w:r>
    </w:p>
    <w:p>
      <w:pPr>
        <w:spacing w:after="120"/>
      </w:pPr>
      <w:r>
        <w:rPr>
          <w:rFonts w:ascii="Arial" w:cs="Arial" w:eastAsia="Arial" w:hAnsi="Arial"/>
          <w:b/>
          <w:bCs/>
          <w:sz w:val="21"/>
          <w:szCs w:val="21"/>
        </w:rPr>
        <w:t xml:space="preserve">Third, a hybrid Pay-to-Contract (P2C) + Merkle batching approach</w:t>
      </w:r>
      <w:r>
        <w:rPr>
          <w:rFonts w:ascii="Arial" w:cs="Arial" w:eastAsia="Arial" w:hAnsi="Arial"/>
          <w:sz w:val="21"/>
          <w:szCs w:val="21"/>
        </w:rPr>
        <w:t xml:space="preserve"> offers the best long-term architecture. P2C commitments (used by RGB protocol) embed the Merkle root in a tweaked Taproot public key, producing zero visible on-chain footprint. This is strictly superior to OP_RETURN for privacy, UTXO hygiene, and cost — at the expense of verification complexity that Arkova can abstract away.</w:t>
      </w:r>
    </w:p>
    <w:p>
      <w:pPr>
        <w:spacing w:after="120"/>
      </w:pPr>
      <w:r>
        <w:rPr>
          <w:rFonts w:ascii="Arial" w:cs="Arial" w:eastAsia="Arial" w:hAnsi="Arial"/>
          <w:b/>
          <w:bCs/>
          <w:sz w:val="21"/>
          <w:szCs w:val="21"/>
        </w:rPr>
        <w:t xml:space="preserve">Recommended architecture evolution:</w:t>
      </w:r>
    </w:p>
    <w:p>
      <w:pPr>
        <w:pStyle w:val="ListParagraph"/>
        <w:numPr>
          <w:ilvl w:val="0"/>
          <w:numId w:val="2"/>
        </w:numPr>
        <w:spacing w:after="80"/>
      </w:pPr>
      <w:r>
        <w:rPr>
          <w:rFonts w:ascii="Arial" w:cs="Arial" w:eastAsia="Arial" w:hAnsi="Arial"/>
          <w:b/>
          <w:bCs/>
          <w:sz w:val="21"/>
          <w:szCs w:val="21"/>
        </w:rPr>
        <w:t xml:space="preserve">Phase 1 (Now): </w:t>
      </w:r>
      <w:r>
        <w:rPr>
          <w:rFonts w:ascii="Arial" w:cs="Arial" w:eastAsia="Arial" w:hAnsi="Arial"/>
          <w:sz w:val="21"/>
          <w:szCs w:val="21"/>
        </w:rPr>
        <w:t xml:space="preserve">Ship Merkle tree batching with OP_RETURN. Immediate 100-1,000x cost reduction.</w:t>
      </w:r>
    </w:p>
    <w:p>
      <w:pPr>
        <w:pStyle w:val="ListParagraph"/>
        <w:numPr>
          <w:ilvl w:val="0"/>
          <w:numId w:val="2"/>
        </w:numPr>
        <w:spacing w:after="80"/>
      </w:pPr>
      <w:r>
        <w:rPr>
          <w:rFonts w:ascii="Arial" w:cs="Arial" w:eastAsia="Arial" w:hAnsi="Arial"/>
          <w:b/>
          <w:bCs/>
          <w:sz w:val="21"/>
          <w:szCs w:val="21"/>
        </w:rPr>
        <w:t xml:space="preserve">Phase 2 (Q3 2026): </w:t>
      </w:r>
      <w:r>
        <w:rPr>
          <w:rFonts w:ascii="Arial" w:cs="Arial" w:eastAsia="Arial" w:hAnsi="Arial"/>
          <w:sz w:val="21"/>
          <w:szCs w:val="21"/>
        </w:rPr>
        <w:t xml:space="preserve">Migrate commitment method from OP_RETURN to Pay-to-Contract via Taproot. Better privacy, lower cost, cleaner UTXO footprint.</w:t>
      </w:r>
    </w:p>
    <w:p>
      <w:pPr>
        <w:pStyle w:val="ListParagraph"/>
        <w:numPr>
          <w:ilvl w:val="0"/>
          <w:numId w:val="2"/>
        </w:numPr>
        <w:spacing w:after="80"/>
      </w:pPr>
      <w:r>
        <w:rPr>
          <w:rFonts w:ascii="Arial" w:cs="Arial" w:eastAsia="Arial" w:hAnsi="Arial"/>
          <w:b/>
          <w:bCs/>
          <w:sz w:val="21"/>
          <w:szCs w:val="21"/>
        </w:rPr>
        <w:t xml:space="preserve">Phase 3 (Q1 2027): </w:t>
      </w:r>
      <w:r>
        <w:rPr>
          <w:rFonts w:ascii="Arial" w:cs="Arial" w:eastAsia="Arial" w:hAnsi="Arial"/>
          <w:sz w:val="21"/>
          <w:szCs w:val="21"/>
        </w:rPr>
        <w:t xml:space="preserve">Add RFC 3161 wrapper for regulatory compliance. Target eIDAS 2.0 Electronic Ledger qualification.</w:t>
      </w:r>
    </w:p>
    <w:p>
      <w:r>
        <w:br w:type="page"/>
      </w:r>
    </w:p>
    <w:p>
      <w:pPr>
        <w:pStyle w:val="Heading1"/>
        <w:spacing w:after="200" w:before="360"/>
      </w:pPr>
      <w:r>
        <w:rPr>
          <w:rFonts w:ascii="Arial" w:cs="Arial" w:eastAsia="Arial" w:hAnsi="Arial"/>
          <w:b/>
          <w:bCs/>
          <w:color w:val="1B2A4A"/>
          <w:sz w:val="28"/>
          <w:szCs w:val="28"/>
        </w:rPr>
        <w:t xml:space="preserve">2. Current Landscape</w:t>
      </w:r>
    </w:p>
    <w:p>
      <w:pPr>
        <w:pStyle w:val="Heading2"/>
        <w:spacing w:after="160" w:before="280"/>
      </w:pPr>
      <w:r>
        <w:rPr>
          <w:rFonts w:ascii="Arial" w:cs="Arial" w:eastAsia="Arial" w:hAnsi="Arial"/>
          <w:b/>
          <w:bCs/>
          <w:color w:val="2E75B6"/>
          <w:sz w:val="24"/>
          <w:szCs w:val="24"/>
        </w:rPr>
        <w:t xml:space="preserve">2.1 Bitcoin Protocol State (March 2026)</w:t>
      </w:r>
    </w:p>
    <w:p>
      <w:pPr>
        <w:spacing w:after="120"/>
      </w:pPr>
      <w:r>
        <w:rPr>
          <w:rFonts w:ascii="Arial" w:cs="Arial" w:eastAsia="Arial" w:hAnsi="Arial"/>
          <w:b/>
          <w:bCs/>
          <w:sz w:val="21"/>
          <w:szCs w:val="21"/>
        </w:rPr>
        <w:t xml:space="preserve">OP_RETURN policy overhaul. </w:t>
      </w:r>
      <w:r>
        <w:rPr>
          <w:rFonts w:ascii="Arial" w:cs="Arial" w:eastAsia="Arial" w:hAnsi="Arial"/>
          <w:sz w:val="21"/>
          <w:szCs w:val="21"/>
        </w:rPr>
        <w:t xml:space="preserve">Bitcoin Core v30 (October 2025) merged PR #32406, increasing the default -datacarriersize from 83 bytes to 100,000 bytes and permitting multiple OP_RETURN outputs per transaction. This was driven by Gloria Zhao’s analysis that the 80-byte limit created perverse incentives — users bypassed it via Taproot witness data (which is worse for UTXO hygiene). The change was controversial: Bitcoin Core’s node share dropped from 98% to 88%, with Bitcoin Knots gaining share among operators who prefer stricter data policies. However, the change is now settled consensus among Core developers.</w:t>
      </w:r>
    </w:p>
    <w:p>
      <w:pPr>
        <w:spacing w:after="120"/>
      </w:pPr>
      <w:r>
        <w:rPr>
          <w:rFonts w:ascii="Arial" w:cs="Arial" w:eastAsia="Arial" w:hAnsi="Arial"/>
          <w:b/>
          <w:bCs/>
          <w:sz w:val="21"/>
          <w:szCs w:val="21"/>
        </w:rPr>
        <w:t xml:space="preserve">Full RBF is default. </w:t>
      </w:r>
      <w:r>
        <w:rPr>
          <w:rFonts w:ascii="Arial" w:cs="Arial" w:eastAsia="Arial" w:hAnsi="Arial"/>
          <w:sz w:val="21"/>
          <w:szCs w:val="21"/>
        </w:rPr>
        <w:t xml:space="preserve">Bitcoin Core v28 (early 2025) made mempoolfullrbf=1 the default. Any unconfirmed transaction can be replaced with a higher-fee version, regardless of signaling. This is net positive for anchoring: it guarantees fee-bumping capability if mempool conditions spike after broadcast.</w:t>
      </w:r>
    </w:p>
    <w:p>
      <w:pPr>
        <w:spacing w:after="120"/>
      </w:pPr>
      <w:r>
        <w:rPr>
          <w:rFonts w:ascii="Arial" w:cs="Arial" w:eastAsia="Arial" w:hAnsi="Arial"/>
          <w:b/>
          <w:bCs/>
          <w:sz w:val="21"/>
          <w:szCs w:val="21"/>
        </w:rPr>
        <w:t xml:space="preserve">Taproot adoption mature. </w:t>
      </w:r>
      <w:r>
        <w:rPr>
          <w:rFonts w:ascii="Arial" w:cs="Arial" w:eastAsia="Arial" w:hAnsi="Arial"/>
          <w:sz w:val="21"/>
          <w:szCs w:val="21"/>
        </w:rPr>
        <w:t xml:space="preserve">Taproot (activated November 2021) is now 4+ years old with broad wallet and service support. P2TR outputs are standard, Schnorr signatures are 64 bytes (vs. 71-72 for ECDSA), and the witness discount (4:1 weight ratio) makes witness-heavy transactions economically attractive.</w:t>
      </w:r>
    </w:p>
    <w:p>
      <w:pPr>
        <w:spacing w:after="120"/>
      </w:pPr>
      <w:r>
        <w:rPr>
          <w:rFonts w:ascii="Arial" w:cs="Arial" w:eastAsia="Arial" w:hAnsi="Arial"/>
          <w:b/>
          <w:bCs/>
          <w:sz w:val="21"/>
          <w:szCs w:val="21"/>
        </w:rPr>
        <w:t xml:space="preserve">OP_CAT progress. </w:t>
      </w:r>
      <w:r>
        <w:rPr>
          <w:rFonts w:ascii="Arial" w:cs="Arial" w:eastAsia="Arial" w:hAnsi="Arial"/>
          <w:sz w:val="21"/>
          <w:szCs w:val="21"/>
        </w:rPr>
        <w:t xml:space="preserve">BIP 347 formalizes OP_CAT for Tapscript. Taproot Wizards raised $30M in February 2025 to build the ecosystem. OP_CAT would enable on-chain Merkle tree verification, potentially allowing trustless proof validation in Script. However, activation is years away — don’t plan around it.</w:t>
      </w:r>
    </w:p>
    <w:p>
      <w:pPr>
        <w:spacing w:after="120"/>
      </w:pPr>
      <w:r>
        <w:rPr>
          <w:rFonts w:ascii="Arial" w:cs="Arial" w:eastAsia="Arial" w:hAnsi="Arial"/>
          <w:b/>
          <w:bCs/>
          <w:sz w:val="21"/>
          <w:szCs w:val="21"/>
        </w:rPr>
        <w:t xml:space="preserve">Ordinals normalized the data embedding debate. </w:t>
      </w:r>
      <w:r>
        <w:rPr>
          <w:rFonts w:ascii="Arial" w:cs="Arial" w:eastAsia="Arial" w:hAnsi="Arial"/>
          <w:sz w:val="21"/>
          <w:szCs w:val="21"/>
        </w:rPr>
        <w:t xml:space="preserve">With 75-80M inscriptions on-chain and non-financial data comprising 36% of blockspace by December 2025, the philosophical debate about whether Bitcoin should store data is effectively settled. The network handles it; policy now reflects reality.</w:t>
      </w:r>
    </w:p>
    <w:p>
      <w:pPr>
        <w:pStyle w:val="Heading2"/>
        <w:spacing w:after="160" w:before="280"/>
      </w:pPr>
      <w:r>
        <w:rPr>
          <w:rFonts w:ascii="Arial" w:cs="Arial" w:eastAsia="Arial" w:hAnsi="Arial"/>
          <w:b/>
          <w:bCs/>
          <w:color w:val="2E75B6"/>
          <w:sz w:val="24"/>
          <w:szCs w:val="24"/>
        </w:rPr>
        <w:t xml:space="preserve">2.2 Fee Market Conditions</w:t>
      </w:r>
    </w:p>
    <w:p>
      <w:pPr>
        <w:spacing w:after="120"/>
      </w:pPr>
      <w:r>
        <w:rPr>
          <w:rFonts w:ascii="Arial" w:cs="Arial" w:eastAsia="Arial" w:hAnsi="Arial"/>
          <w:sz w:val="21"/>
          <w:szCs w:val="21"/>
        </w:rPr>
        <w:t xml:space="preserve">Bitcoin transaction fees have been moderate through 2025-2026:</w:t>
      </w:r>
    </w:p>
    <w:p>
      <w:pPr>
        <w:pStyle w:val="ListParagraph"/>
        <w:numPr>
          <w:ilvl w:val="0"/>
          <w:numId w:val="2"/>
        </w:numPr>
        <w:spacing w:after="80"/>
      </w:pPr>
      <w:r>
        <w:rPr>
          <w:rFonts w:ascii="Arial" w:cs="Arial" w:eastAsia="Arial" w:hAnsi="Arial"/>
          <w:b/>
          <w:bCs/>
          <w:sz w:val="21"/>
          <w:szCs w:val="21"/>
        </w:rPr>
        <w:t xml:space="preserve">Quiet periods: </w:t>
      </w:r>
      <w:r>
        <w:rPr>
          <w:rFonts w:ascii="Arial" w:cs="Arial" w:eastAsia="Arial" w:hAnsi="Arial"/>
          <w:sz w:val="21"/>
          <w:szCs w:val="21"/>
        </w:rPr>
        <w:t xml:space="preserve">1-2 sat/vB (effectively free)</w:t>
      </w:r>
    </w:p>
    <w:p>
      <w:pPr>
        <w:pStyle w:val="ListParagraph"/>
        <w:numPr>
          <w:ilvl w:val="0"/>
          <w:numId w:val="2"/>
        </w:numPr>
        <w:spacing w:after="80"/>
      </w:pPr>
      <w:r>
        <w:rPr>
          <w:rFonts w:ascii="Arial" w:cs="Arial" w:eastAsia="Arial" w:hAnsi="Arial"/>
          <w:b/>
          <w:bCs/>
          <w:sz w:val="21"/>
          <w:szCs w:val="21"/>
        </w:rPr>
        <w:t xml:space="preserve">Normal load: </w:t>
      </w:r>
      <w:r>
        <w:rPr>
          <w:rFonts w:ascii="Arial" w:cs="Arial" w:eastAsia="Arial" w:hAnsi="Arial"/>
          <w:sz w:val="21"/>
          <w:szCs w:val="21"/>
        </w:rPr>
        <w:t xml:space="preserve">4-10 sat/vB</w:t>
      </w:r>
    </w:p>
    <w:p>
      <w:pPr>
        <w:pStyle w:val="ListParagraph"/>
        <w:numPr>
          <w:ilvl w:val="0"/>
          <w:numId w:val="2"/>
        </w:numPr>
        <w:spacing w:after="80"/>
      </w:pPr>
      <w:r>
        <w:rPr>
          <w:rFonts w:ascii="Arial" w:cs="Arial" w:eastAsia="Arial" w:hAnsi="Arial"/>
          <w:b/>
          <w:bCs/>
          <w:sz w:val="21"/>
          <w:szCs w:val="21"/>
        </w:rPr>
        <w:t xml:space="preserve">Peak congestion: </w:t>
      </w:r>
      <w:r>
        <w:rPr>
          <w:rFonts w:ascii="Arial" w:cs="Arial" w:eastAsia="Arial" w:hAnsi="Arial"/>
          <w:sz w:val="21"/>
          <w:szCs w:val="21"/>
        </w:rPr>
        <w:t xml:space="preserve">50-265 sat/vB (rare spikes, usually inscription-driven)</w:t>
      </w:r>
    </w:p>
    <w:p>
      <w:pPr>
        <w:pStyle w:val="ListParagraph"/>
        <w:numPr>
          <w:ilvl w:val="0"/>
          <w:numId w:val="2"/>
        </w:numPr>
        <w:spacing w:after="80"/>
      </w:pPr>
      <w:r>
        <w:rPr>
          <w:rFonts w:ascii="Arial" w:cs="Arial" w:eastAsia="Arial" w:hAnsi="Arial"/>
          <w:b/>
          <w:bCs/>
          <w:sz w:val="21"/>
          <w:szCs w:val="21"/>
        </w:rPr>
        <w:t xml:space="preserve">March 2026 average: </w:t>
      </w:r>
      <w:r>
        <w:rPr>
          <w:rFonts w:ascii="Arial" w:cs="Arial" w:eastAsia="Arial" w:hAnsi="Arial"/>
          <w:sz w:val="21"/>
          <w:szCs w:val="21"/>
        </w:rPr>
        <w:t xml:space="preserve">~$0.49 per transaction</w:t>
      </w:r>
    </w:p>
    <w:p>
      <w:pPr>
        <w:pStyle w:val="ListParagraph"/>
        <w:numPr>
          <w:ilvl w:val="0"/>
          <w:numId w:val="2"/>
        </w:numPr>
        <w:spacing w:after="80"/>
      </w:pPr>
      <w:r>
        <w:rPr>
          <w:rFonts w:ascii="Arial" w:cs="Arial" w:eastAsia="Arial" w:hAnsi="Arial"/>
          <w:b/>
          <w:bCs/>
          <w:sz w:val="21"/>
          <w:szCs w:val="21"/>
        </w:rPr>
        <w:t xml:space="preserve">Aggregate 2025 fees: </w:t>
      </w:r>
      <w:r>
        <w:rPr>
          <w:rFonts w:ascii="Arial" w:cs="Arial" w:eastAsia="Arial" w:hAnsi="Arial"/>
          <w:sz w:val="21"/>
          <w:szCs w:val="21"/>
        </w:rPr>
        <w:t xml:space="preserve">~$239M (down 45% from $439M in 2024)</w:t>
      </w:r>
    </w:p>
    <w:p>
      <w:pPr>
        <w:spacing w:after="120"/>
      </w:pPr>
      <w:r>
        <w:rPr>
          <w:rFonts w:ascii="Arial" w:cs="Arial" w:eastAsia="Arial" w:hAnsi="Arial"/>
          <w:sz w:val="21"/>
          <w:szCs w:val="21"/>
        </w:rPr>
        <w:t xml:space="preserve">Weekly patterns are pronounced: Saturday late afternoon UTC consistently shows 47% lower fees than Tuesday/Wednesday peaks. This is exploitable for batch anchoring.</w:t>
      </w:r>
    </w:p>
    <w:p>
      <w:pPr>
        <w:pStyle w:val="Heading2"/>
        <w:spacing w:after="160" w:before="280"/>
      </w:pPr>
      <w:r>
        <w:rPr>
          <w:rFonts w:ascii="Arial" w:cs="Arial" w:eastAsia="Arial" w:hAnsi="Arial"/>
          <w:b/>
          <w:bCs/>
          <w:color w:val="2E75B6"/>
          <w:sz w:val="24"/>
          <w:szCs w:val="24"/>
        </w:rPr>
        <w:t xml:space="preserve">2.3 Arkova’s Current Architecture</w:t>
      </w:r>
    </w:p>
    <w:p>
      <w:pPr>
        <w:pStyle w:val="ListParagraph"/>
        <w:numPr>
          <w:ilvl w:val="0"/>
          <w:numId w:val="2"/>
        </w:numPr>
        <w:spacing w:after="80"/>
      </w:pPr>
      <w:r>
        <w:rPr>
          <w:rFonts w:ascii="Arial" w:cs="Arial" w:eastAsia="Arial" w:hAnsi="Arial"/>
          <w:b/>
          <w:bCs/>
          <w:sz w:val="21"/>
          <w:szCs w:val="21"/>
        </w:rPr>
        <w:t xml:space="preserve">Commitment method: </w:t>
      </w:r>
      <w:r>
        <w:rPr>
          <w:rFonts w:ascii="Arial" w:cs="Arial" w:eastAsia="Arial" w:hAnsi="Arial"/>
          <w:sz w:val="21"/>
          <w:szCs w:val="21"/>
        </w:rPr>
        <w:t xml:space="preserve">OP_RETURN with SHA-256 document fingerprint (32 bytes)</w:t>
      </w:r>
    </w:p>
    <w:p>
      <w:pPr>
        <w:pStyle w:val="ListParagraph"/>
        <w:numPr>
          <w:ilvl w:val="0"/>
          <w:numId w:val="2"/>
        </w:numPr>
        <w:spacing w:after="80"/>
      </w:pPr>
      <w:r>
        <w:rPr>
          <w:rFonts w:ascii="Arial" w:cs="Arial" w:eastAsia="Arial" w:hAnsi="Arial"/>
          <w:b/>
          <w:bCs/>
          <w:sz w:val="21"/>
          <w:szCs w:val="21"/>
        </w:rPr>
        <w:t xml:space="preserve">Library: </w:t>
      </w:r>
      <w:r>
        <w:rPr>
          <w:rFonts w:ascii="Arial" w:cs="Arial" w:eastAsia="Arial" w:hAnsi="Arial"/>
          <w:sz w:val="21"/>
          <w:szCs w:val="21"/>
        </w:rPr>
        <w:t xml:space="preserve">bitcoinjs-lib</w:t>
      </w:r>
    </w:p>
    <w:p>
      <w:pPr>
        <w:pStyle w:val="ListParagraph"/>
        <w:numPr>
          <w:ilvl w:val="0"/>
          <w:numId w:val="2"/>
        </w:numPr>
        <w:spacing w:after="80"/>
      </w:pPr>
      <w:r>
        <w:rPr>
          <w:rFonts w:ascii="Arial" w:cs="Arial" w:eastAsia="Arial" w:hAnsi="Arial"/>
          <w:b/>
          <w:bCs/>
          <w:sz w:val="21"/>
          <w:szCs w:val="21"/>
        </w:rPr>
        <w:t xml:space="preserve">Key management: </w:t>
      </w:r>
      <w:r>
        <w:rPr>
          <w:rFonts w:ascii="Arial" w:cs="Arial" w:eastAsia="Arial" w:hAnsi="Arial"/>
          <w:sz w:val="21"/>
          <w:szCs w:val="21"/>
        </w:rPr>
        <w:t xml:space="preserve">AWS KMS (target, provisioning pending)</w:t>
      </w:r>
    </w:p>
    <w:p>
      <w:pPr>
        <w:pStyle w:val="ListParagraph"/>
        <w:numPr>
          <w:ilvl w:val="0"/>
          <w:numId w:val="2"/>
        </w:numPr>
        <w:spacing w:after="80"/>
      </w:pPr>
      <w:r>
        <w:rPr>
          <w:rFonts w:ascii="Arial" w:cs="Arial" w:eastAsia="Arial" w:hAnsi="Arial"/>
          <w:b/>
          <w:bCs/>
          <w:sz w:val="21"/>
          <w:szCs w:val="21"/>
        </w:rPr>
        <w:t xml:space="preserve">Network: </w:t>
      </w:r>
      <w:r>
        <w:rPr>
          <w:rFonts w:ascii="Arial" w:cs="Arial" w:eastAsia="Arial" w:hAnsi="Arial"/>
          <w:sz w:val="21"/>
          <w:szCs w:val="21"/>
        </w:rPr>
        <w:t xml:space="preserve">Signet (mainnet pending KMS)</w:t>
      </w:r>
    </w:p>
    <w:p>
      <w:pPr>
        <w:pStyle w:val="ListParagraph"/>
        <w:numPr>
          <w:ilvl w:val="0"/>
          <w:numId w:val="2"/>
        </w:numPr>
        <w:spacing w:after="80"/>
      </w:pPr>
      <w:r>
        <w:rPr>
          <w:rFonts w:ascii="Arial" w:cs="Arial" w:eastAsia="Arial" w:hAnsi="Arial"/>
          <w:b/>
          <w:bCs/>
          <w:sz w:val="21"/>
          <w:szCs w:val="21"/>
        </w:rPr>
        <w:t xml:space="preserve">Model: </w:t>
      </w:r>
      <w:r>
        <w:rPr>
          <w:rFonts w:ascii="Arial" w:cs="Arial" w:eastAsia="Arial" w:hAnsi="Arial"/>
          <w:sz w:val="21"/>
          <w:szCs w:val="21"/>
        </w:rPr>
        <w:t xml:space="preserve">Non-custodial; on-chain fees from corporate fee account</w:t>
      </w:r>
    </w:p>
    <w:p>
      <w:pPr>
        <w:pStyle w:val="ListParagraph"/>
        <w:numPr>
          <w:ilvl w:val="0"/>
          <w:numId w:val="2"/>
        </w:numPr>
        <w:spacing w:after="80"/>
      </w:pPr>
      <w:r>
        <w:rPr>
          <w:rFonts w:ascii="Arial" w:cs="Arial" w:eastAsia="Arial" w:hAnsi="Arial"/>
          <w:b/>
          <w:bCs/>
          <w:sz w:val="21"/>
          <w:szCs w:val="21"/>
        </w:rPr>
        <w:t xml:space="preserve">Batching: </w:t>
      </w:r>
      <w:r>
        <w:rPr>
          <w:rFonts w:ascii="Arial" w:cs="Arial" w:eastAsia="Arial" w:hAnsi="Arial"/>
          <w:sz w:val="21"/>
          <w:szCs w:val="21"/>
        </w:rPr>
        <w:t xml:space="preserve">Planned (Merkle trees) but not yet implemented</w:t>
      </w:r>
    </w:p>
    <w:p>
      <w:pPr>
        <w:spacing w:after="120"/>
      </w:pPr>
      <w:r>
        <w:rPr>
          <w:rFonts w:ascii="Arial" w:cs="Arial" w:eastAsia="Arial" w:hAnsi="Arial"/>
          <w:sz w:val="21"/>
          <w:szCs w:val="21"/>
        </w:rPr>
        <w:t xml:space="preserve">This is a clean, correct starting point. The improvements below build on it without requiring architectural rewrites.</w:t>
      </w:r>
    </w:p>
    <w:p>
      <w:r>
        <w:br w:type="page"/>
      </w:r>
    </w:p>
    <w:p>
      <w:pPr>
        <w:pStyle w:val="Heading1"/>
        <w:spacing w:after="200" w:before="360"/>
      </w:pPr>
      <w:r>
        <w:rPr>
          <w:rFonts w:ascii="Arial" w:cs="Arial" w:eastAsia="Arial" w:hAnsi="Arial"/>
          <w:b/>
          <w:bCs/>
          <w:color w:val="1B2A4A"/>
          <w:sz w:val="28"/>
          <w:szCs w:val="28"/>
        </w:rPr>
        <w:t xml:space="preserve">3. Technical Evaluation of Anchoring Approaches</w:t>
      </w:r>
    </w:p>
    <w:p>
      <w:pPr>
        <w:pStyle w:val="Heading2"/>
        <w:spacing w:after="160" w:before="280"/>
      </w:pPr>
      <w:r>
        <w:rPr>
          <w:rFonts w:ascii="Arial" w:cs="Arial" w:eastAsia="Arial" w:hAnsi="Arial"/>
          <w:b/>
          <w:bCs/>
          <w:color w:val="2E75B6"/>
          <w:sz w:val="24"/>
          <w:szCs w:val="24"/>
        </w:rPr>
        <w:t xml:space="preserve">3.1 Raw OP_RETURN (Current Approach)</w:t>
      </w:r>
    </w:p>
    <w:p>
      <w:pPr>
        <w:spacing w:after="120"/>
      </w:pPr>
      <w:r>
        <w:rPr>
          <w:rFonts w:ascii="Arial" w:cs="Arial" w:eastAsia="Arial" w:hAnsi="Arial"/>
          <w:b/>
          <w:bCs/>
          <w:sz w:val="21"/>
          <w:szCs w:val="21"/>
        </w:rPr>
        <w:t xml:space="preserve">Mechanism: </w:t>
      </w:r>
      <w:r>
        <w:rPr>
          <w:rFonts w:ascii="Arial" w:cs="Arial" w:eastAsia="Arial" w:hAnsi="Arial"/>
          <w:sz w:val="21"/>
          <w:szCs w:val="21"/>
        </w:rPr>
        <w:t xml:space="preserve">Create a transaction with one OP_RETURN output containing the SHA-256 hash (32 bytes). The output is provably unspendable and never enters the UTXO 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Arial" w:cs="Arial" w:eastAsia="Arial" w:hAnsi="Arial"/>
                <w:b/>
                <w:bCs/>
                <w:color w:val="FFFFFF"/>
                <w:sz w:val="18"/>
                <w:szCs w:val="18"/>
              </w:rPr>
              <w:t xml:space="preserve">Dimension</w:t>
            </w:r>
          </w:p>
        </w:tc>
        <w:tc>
          <w:tcPr>
            <w:tcW w:type="dxa" w:w="696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Arial" w:cs="Arial" w:eastAsia="Arial" w:hAnsi="Arial"/>
                <w:b/>
                <w:bCs/>
                <w:color w:val="FFFFFF"/>
                <w:sz w:val="18"/>
                <w:szCs w:val="18"/>
              </w:rPr>
              <w:t xml:space="preserve">Assessment</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Data capacity</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32 bytes (SHA-256 hash). Sufficient. Now up to ~100KB with Core v30.</w:t>
            </w:r>
          </w:p>
        </w:tc>
      </w:tr>
      <w:tr>
        <w:tc>
          <w:tcPr>
            <w:tcW w:type="dxa" w:w="240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b/>
                <w:bCs/>
                <w:sz w:val="18"/>
                <w:szCs w:val="18"/>
              </w:rPr>
              <w:t xml:space="preserve">Transaction size</w:t>
            </w:r>
          </w:p>
        </w:tc>
        <w:tc>
          <w:tcPr>
            <w:tcW w:type="dxa" w:w="696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sz w:val="18"/>
                <w:szCs w:val="18"/>
              </w:rPr>
              <w:t xml:space="preserve">~150-180 vB (SegWit, 1 input + 1 change + 1 OP_RETURN)</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Cost at 10 sat/vB</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~$0.08 per anchor (at $84K BTC)</w:t>
            </w:r>
          </w:p>
        </w:tc>
      </w:tr>
      <w:tr>
        <w:tc>
          <w:tcPr>
            <w:tcW w:type="dxa" w:w="240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b/>
                <w:bCs/>
                <w:sz w:val="18"/>
                <w:szCs w:val="18"/>
              </w:rPr>
              <w:t xml:space="preserve">Verification</w:t>
            </w:r>
          </w:p>
        </w:tc>
        <w:tc>
          <w:tcPr>
            <w:tcW w:type="dxa" w:w="696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sz w:val="18"/>
                <w:szCs w:val="18"/>
              </w:rPr>
              <w:t xml:space="preserve">Trivial: find tx, extract OP_RETURN data, compare hash</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Privacy</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Poor: hash is visible on-chain to anyone scanning OP_RETURN outputs</w:t>
            </w:r>
          </w:p>
        </w:tc>
      </w:tr>
      <w:tr>
        <w:tc>
          <w:tcPr>
            <w:tcW w:type="dxa" w:w="240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b/>
                <w:bCs/>
                <w:sz w:val="18"/>
                <w:szCs w:val="18"/>
              </w:rPr>
              <w:t xml:space="preserve">UTXO impact</w:t>
            </w:r>
          </w:p>
        </w:tc>
        <w:tc>
          <w:tcPr>
            <w:tcW w:type="dxa" w:w="696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sz w:val="18"/>
                <w:szCs w:val="18"/>
              </w:rPr>
              <w:t xml:space="preserve">Clean: OP_RETURN outputs don’t enter UTXO set</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Reliability</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High: standard transaction type, universally relayed</w:t>
            </w:r>
          </w:p>
        </w:tc>
      </w:tr>
    </w:tbl>
    <w:p>
      <w:pPr>
        <w:spacing w:after="120"/>
      </w:pPr>
      <w:r>
        <w:rPr>
          <w:rFonts w:ascii="Arial" w:cs="Arial" w:eastAsia="Arial" w:hAnsi="Arial"/>
          <w:b/>
          <w:bCs/>
          <w:sz w:val="21"/>
          <w:szCs w:val="21"/>
        </w:rPr>
        <w:t xml:space="preserve">Verdict: </w:t>
      </w:r>
      <w:r>
        <w:rPr>
          <w:rFonts w:ascii="Arial" w:cs="Arial" w:eastAsia="Arial" w:hAnsi="Arial"/>
          <w:sz w:val="21"/>
          <w:szCs w:val="21"/>
        </w:rPr>
        <w:t xml:space="preserve">Solid baseline. Simple, well-understood, universally compatible. But expensive at scale (one tx per document) and offers no privacy.</w:t>
      </w:r>
    </w:p>
    <w:p>
      <w:pPr>
        <w:pStyle w:val="Heading2"/>
        <w:spacing w:after="160" w:before="280"/>
      </w:pPr>
      <w:r>
        <w:rPr>
          <w:rFonts w:ascii="Arial" w:cs="Arial" w:eastAsia="Arial" w:hAnsi="Arial"/>
          <w:b/>
          <w:bCs/>
          <w:color w:val="2E75B6"/>
          <w:sz w:val="24"/>
          <w:szCs w:val="24"/>
        </w:rPr>
        <w:t xml:space="preserve">3.2 Merkle Tree Batching + OP_RETURN (Planned)</w:t>
      </w:r>
    </w:p>
    <w:p>
      <w:pPr>
        <w:spacing w:after="120"/>
      </w:pPr>
      <w:r>
        <w:rPr>
          <w:rFonts w:ascii="Arial" w:cs="Arial" w:eastAsia="Arial" w:hAnsi="Arial"/>
          <w:b/>
          <w:bCs/>
          <w:sz w:val="21"/>
          <w:szCs w:val="21"/>
        </w:rPr>
        <w:t xml:space="preserve">Mechanism: </w:t>
      </w:r>
      <w:r>
        <w:rPr>
          <w:rFonts w:ascii="Arial" w:cs="Arial" w:eastAsia="Arial" w:hAnsi="Arial"/>
          <w:sz w:val="21"/>
          <w:szCs w:val="21"/>
        </w:rPr>
        <w:t xml:space="preserve">Collect N document hashes over a batch interval. Build a Merkle tree. Write the Merkle root (32 bytes) to a single OP_RETURN. Store Merkle proofs off-chain for each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Arial" w:cs="Arial" w:eastAsia="Arial" w:hAnsi="Arial"/>
                <w:b/>
                <w:bCs/>
                <w:color w:val="FFFFFF"/>
                <w:sz w:val="18"/>
                <w:szCs w:val="18"/>
              </w:rPr>
              <w:t xml:space="preserve">Dimension</w:t>
            </w:r>
          </w:p>
        </w:tc>
        <w:tc>
          <w:tcPr>
            <w:tcW w:type="dxa" w:w="696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Arial" w:cs="Arial" w:eastAsia="Arial" w:hAnsi="Arial"/>
                <w:b/>
                <w:bCs/>
                <w:color w:val="FFFFFF"/>
                <w:sz w:val="18"/>
                <w:szCs w:val="18"/>
              </w:rPr>
              <w:t xml:space="preserve">Assessment</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Data capacity</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Unlimited documents per batch (32-byte root on-chain)</w:t>
            </w:r>
          </w:p>
        </w:tc>
      </w:tr>
      <w:tr>
        <w:tc>
          <w:tcPr>
            <w:tcW w:type="dxa" w:w="240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b/>
                <w:bCs/>
                <w:sz w:val="18"/>
                <w:szCs w:val="18"/>
              </w:rPr>
              <w:t xml:space="preserve">Transaction size</w:t>
            </w:r>
          </w:p>
        </w:tc>
        <w:tc>
          <w:tcPr>
            <w:tcW w:type="dxa" w:w="696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sz w:val="18"/>
                <w:szCs w:val="18"/>
              </w:rPr>
              <w:t xml:space="preserve">Same ~150-180 vB regardless of batch size</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Cost at 10 sat/vB</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~$0.08 / N per anchor</w:t>
            </w:r>
          </w:p>
        </w:tc>
      </w:tr>
      <w:tr>
        <w:tc>
          <w:tcPr>
            <w:tcW w:type="dxa" w:w="240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b/>
                <w:bCs/>
                <w:sz w:val="18"/>
                <w:szCs w:val="18"/>
              </w:rPr>
              <w:t xml:space="preserve">Verification</w:t>
            </w:r>
          </w:p>
        </w:tc>
        <w:tc>
          <w:tcPr>
            <w:tcW w:type="dxa" w:w="696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sz w:val="18"/>
                <w:szCs w:val="18"/>
              </w:rPr>
              <w:t xml:space="preserve">Moderate: verify Merkle proof (log₂N hashes) against on-chain root</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Privacy</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Marginal improvement: individual hashes not on-chain, but root is visible</w:t>
            </w:r>
          </w:p>
        </w:tc>
      </w:tr>
      <w:tr>
        <w:tc>
          <w:tcPr>
            <w:tcW w:type="dxa" w:w="240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b/>
                <w:bCs/>
                <w:sz w:val="18"/>
                <w:szCs w:val="18"/>
              </w:rPr>
              <w:t xml:space="preserve">UTXO impact</w:t>
            </w:r>
          </w:p>
        </w:tc>
        <w:tc>
          <w:tcPr>
            <w:tcW w:type="dxa" w:w="696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sz w:val="18"/>
                <w:szCs w:val="18"/>
              </w:rPr>
              <w:t xml:space="preserve">Clean</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Proof size</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32 × log₂(N) bytes per document. N=1024 → 320 bytes per proof</w:t>
            </w:r>
          </w:p>
        </w:tc>
      </w:tr>
    </w:tbl>
    <w:p>
      <w:pPr>
        <w:spacing w:after="120"/>
      </w:pPr>
      <w:r>
        <w:rPr>
          <w:rFonts w:ascii="Arial" w:cs="Arial" w:eastAsia="Arial" w:hAnsi="Arial"/>
          <w:b/>
          <w:bCs/>
          <w:sz w:val="21"/>
          <w:szCs w:val="21"/>
        </w:rPr>
        <w:t xml:space="preserve">Optimal batch parameters:</w:t>
      </w:r>
    </w:p>
    <w:p>
      <w:pPr>
        <w:pStyle w:val="ListParagraph"/>
        <w:numPr>
          <w:ilvl w:val="0"/>
          <w:numId w:val="2"/>
        </w:numPr>
        <w:spacing w:after="80"/>
      </w:pPr>
      <w:r>
        <w:rPr>
          <w:rFonts w:ascii="Arial" w:cs="Arial" w:eastAsia="Arial" w:hAnsi="Arial"/>
          <w:b/>
          <w:bCs/>
          <w:sz w:val="21"/>
          <w:szCs w:val="21"/>
        </w:rPr>
        <w:t xml:space="preserve">Batch interval: </w:t>
      </w:r>
      <w:r>
        <w:rPr>
          <w:rFonts w:ascii="Arial" w:cs="Arial" w:eastAsia="Arial" w:hAnsi="Arial"/>
          <w:sz w:val="21"/>
          <w:szCs w:val="21"/>
        </w:rPr>
        <w:t xml:space="preserve">10-60 minutes for credential use cases (balance latency vs. cost)</w:t>
      </w:r>
    </w:p>
    <w:p>
      <w:pPr>
        <w:pStyle w:val="ListParagraph"/>
        <w:numPr>
          <w:ilvl w:val="0"/>
          <w:numId w:val="2"/>
        </w:numPr>
        <w:spacing w:after="80"/>
      </w:pPr>
      <w:r>
        <w:rPr>
          <w:rFonts w:ascii="Arial" w:cs="Arial" w:eastAsia="Arial" w:hAnsi="Arial"/>
          <w:b/>
          <w:bCs/>
          <w:sz w:val="21"/>
          <w:szCs w:val="21"/>
        </w:rPr>
        <w:t xml:space="preserve">Batch size target: </w:t>
      </w:r>
      <w:r>
        <w:rPr>
          <w:rFonts w:ascii="Arial" w:cs="Arial" w:eastAsia="Arial" w:hAnsi="Arial"/>
          <w:sz w:val="21"/>
          <w:szCs w:val="21"/>
        </w:rPr>
        <w:t xml:space="preserve">100-10,000 documents per batch</w:t>
      </w:r>
    </w:p>
    <w:p>
      <w:pPr>
        <w:pStyle w:val="ListParagraph"/>
        <w:numPr>
          <w:ilvl w:val="0"/>
          <w:numId w:val="2"/>
        </w:numPr>
        <w:spacing w:after="80"/>
      </w:pPr>
      <w:r>
        <w:rPr>
          <w:rFonts w:ascii="Arial" w:cs="Arial" w:eastAsia="Arial" w:hAnsi="Arial"/>
          <w:b/>
          <w:bCs/>
          <w:sz w:val="21"/>
          <w:szCs w:val="21"/>
        </w:rPr>
        <w:t xml:space="preserve">Tree depth: </w:t>
      </w:r>
      <w:r>
        <w:rPr>
          <w:rFonts w:ascii="Arial" w:cs="Arial" w:eastAsia="Arial" w:hAnsi="Arial"/>
          <w:sz w:val="21"/>
          <w:szCs w:val="21"/>
        </w:rPr>
        <w:t xml:space="preserve">10-14 levels (1,024 to 16,384 leaves)</w:t>
      </w:r>
    </w:p>
    <w:p>
      <w:pPr>
        <w:pStyle w:val="ListParagraph"/>
        <w:numPr>
          <w:ilvl w:val="0"/>
          <w:numId w:val="2"/>
        </w:numPr>
        <w:spacing w:after="80"/>
      </w:pPr>
      <w:r>
        <w:rPr>
          <w:rFonts w:ascii="Arial" w:cs="Arial" w:eastAsia="Arial" w:hAnsi="Arial"/>
          <w:b/>
          <w:bCs/>
          <w:sz w:val="21"/>
          <w:szCs w:val="21"/>
        </w:rPr>
        <w:t xml:space="preserve">Proof size: </w:t>
      </w:r>
      <w:r>
        <w:rPr>
          <w:rFonts w:ascii="Arial" w:cs="Arial" w:eastAsia="Arial" w:hAnsi="Arial"/>
          <w:sz w:val="21"/>
          <w:szCs w:val="21"/>
        </w:rPr>
        <w:t xml:space="preserve">320-448 bytes per document</w:t>
      </w:r>
    </w:p>
    <w:p>
      <w:pPr>
        <w:pStyle w:val="ListParagraph"/>
        <w:numPr>
          <w:ilvl w:val="0"/>
          <w:numId w:val="2"/>
        </w:numPr>
        <w:spacing w:after="80"/>
      </w:pPr>
      <w:r>
        <w:rPr>
          <w:rFonts w:ascii="Arial" w:cs="Arial" w:eastAsia="Arial" w:hAnsi="Arial"/>
          <w:b/>
          <w:bCs/>
          <w:sz w:val="21"/>
          <w:szCs w:val="21"/>
        </w:rPr>
        <w:t xml:space="preserve">Deterministic ordering: </w:t>
      </w:r>
      <w:r>
        <w:rPr>
          <w:rFonts w:ascii="Arial" w:cs="Arial" w:eastAsia="Arial" w:hAnsi="Arial"/>
          <w:sz w:val="21"/>
          <w:szCs w:val="21"/>
        </w:rPr>
        <w:t xml:space="preserve">Sort leaves lexicographically for reproducible tree construction</w:t>
      </w:r>
    </w:p>
    <w:p>
      <w:pPr>
        <w:spacing w:after="120"/>
      </w:pPr>
      <w:r>
        <w:rPr>
          <w:rFonts w:ascii="Arial" w:cs="Arial" w:eastAsia="Arial" w:hAnsi="Arial"/>
          <w:b/>
          <w:bCs/>
          <w:sz w:val="21"/>
          <w:szCs w:val="21"/>
        </w:rPr>
        <w:t xml:space="preserve">Implementation notes:</w:t>
      </w:r>
    </w:p>
    <w:p>
      <w:pPr>
        <w:pStyle w:val="ListParagraph"/>
        <w:numPr>
          <w:ilvl w:val="0"/>
          <w:numId w:val="2"/>
        </w:numPr>
        <w:spacing w:after="80"/>
      </w:pPr>
      <w:r>
        <w:rPr>
          <w:rFonts w:ascii="Arial" w:cs="Arial" w:eastAsia="Arial" w:hAnsi="Arial"/>
          <w:sz w:val="21"/>
          <w:szCs w:val="21"/>
        </w:rPr>
        <w:t xml:space="preserve">Use SHA-256 for internal nodes (consistent with document hashing)</w:t>
      </w:r>
    </w:p>
    <w:p>
      <w:pPr>
        <w:pStyle w:val="ListParagraph"/>
        <w:numPr>
          <w:ilvl w:val="0"/>
          <w:numId w:val="2"/>
        </w:numPr>
        <w:spacing w:after="80"/>
      </w:pPr>
      <w:r>
        <w:rPr>
          <w:rFonts w:ascii="Arial" w:cs="Arial" w:eastAsia="Arial" w:hAnsi="Arial"/>
          <w:sz w:val="21"/>
          <w:szCs w:val="21"/>
        </w:rPr>
        <w:t xml:space="preserve">Prepend 0x00 to leaf hashes and 0x01 to internal node hashes (second preimage resistance)</w:t>
      </w:r>
    </w:p>
    <w:p>
      <w:pPr>
        <w:pStyle w:val="ListParagraph"/>
        <w:numPr>
          <w:ilvl w:val="0"/>
          <w:numId w:val="2"/>
        </w:numPr>
        <w:spacing w:after="80"/>
      </w:pPr>
      <w:r>
        <w:rPr>
          <w:rFonts w:ascii="Arial" w:cs="Arial" w:eastAsia="Arial" w:hAnsi="Arial"/>
          <w:sz w:val="21"/>
          <w:szCs w:val="21"/>
        </w:rPr>
        <w:t xml:space="preserve">Store proofs in DynamoDB or S3 alongside credential metadata</w:t>
      </w:r>
    </w:p>
    <w:p>
      <w:pPr>
        <w:pStyle w:val="ListParagraph"/>
        <w:numPr>
          <w:ilvl w:val="0"/>
          <w:numId w:val="2"/>
        </w:numPr>
        <w:spacing w:after="80"/>
      </w:pPr>
      <w:r>
        <w:rPr>
          <w:rFonts w:ascii="Arial" w:cs="Arial" w:eastAsia="Arial" w:hAnsi="Arial"/>
          <w:sz w:val="21"/>
          <w:szCs w:val="21"/>
        </w:rPr>
        <w:t xml:space="preserve">If batch has only 1 document, degrade gracefully to direct OP_RETURN (root = hash)</w:t>
      </w:r>
    </w:p>
    <w:p>
      <w:pPr>
        <w:spacing w:after="120"/>
      </w:pPr>
      <w:r>
        <w:rPr>
          <w:rFonts w:ascii="Arial" w:cs="Arial" w:eastAsia="Arial" w:hAnsi="Arial"/>
          <w:b/>
          <w:bCs/>
          <w:sz w:val="21"/>
          <w:szCs w:val="21"/>
        </w:rPr>
        <w:t xml:space="preserve">Verdict: </w:t>
      </w:r>
      <w:r>
        <w:rPr>
          <w:rFonts w:ascii="Arial" w:cs="Arial" w:eastAsia="Arial" w:hAnsi="Arial"/>
          <w:sz w:val="21"/>
          <w:szCs w:val="21"/>
        </w:rPr>
        <w:t xml:space="preserve">Highest-ROI improvement. Implement this first.</w:t>
      </w:r>
    </w:p>
    <w:p>
      <w:pPr>
        <w:pStyle w:val="Heading2"/>
        <w:spacing w:after="160" w:before="280"/>
      </w:pPr>
      <w:r>
        <w:rPr>
          <w:rFonts w:ascii="Arial" w:cs="Arial" w:eastAsia="Arial" w:hAnsi="Arial"/>
          <w:b/>
          <w:bCs/>
          <w:color w:val="2E75B6"/>
          <w:sz w:val="24"/>
          <w:szCs w:val="24"/>
        </w:rPr>
        <w:t xml:space="preserve">3.3 Pay-to-Contract (P2C) via Taproot</w:t>
      </w:r>
    </w:p>
    <w:p>
      <w:pPr>
        <w:spacing w:after="120"/>
      </w:pPr>
      <w:r>
        <w:rPr>
          <w:rFonts w:ascii="Arial" w:cs="Arial" w:eastAsia="Arial" w:hAnsi="Arial"/>
          <w:b/>
          <w:bCs/>
          <w:sz w:val="21"/>
          <w:szCs w:val="21"/>
        </w:rPr>
        <w:t xml:space="preserve">Mechanism: </w:t>
      </w:r>
      <w:r>
        <w:rPr>
          <w:rFonts w:ascii="Arial" w:cs="Arial" w:eastAsia="Arial" w:hAnsi="Arial"/>
          <w:sz w:val="21"/>
          <w:szCs w:val="21"/>
        </w:rPr>
        <w:t xml:space="preserve">Tweak the internal Taproot public key P with the commitment data c to produce output key Q = P + H(P||c)·G. The resulting P2TR output looks identical to any other Taproot output. To verify, a party needs the original P and the commitment 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Arial" w:cs="Arial" w:eastAsia="Arial" w:hAnsi="Arial"/>
                <w:b/>
                <w:bCs/>
                <w:color w:val="FFFFFF"/>
                <w:sz w:val="18"/>
                <w:szCs w:val="18"/>
              </w:rPr>
              <w:t xml:space="preserve">Dimension</w:t>
            </w:r>
          </w:p>
        </w:tc>
        <w:tc>
          <w:tcPr>
            <w:tcW w:type="dxa" w:w="696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Arial" w:cs="Arial" w:eastAsia="Arial" w:hAnsi="Arial"/>
                <w:b/>
                <w:bCs/>
                <w:color w:val="FFFFFF"/>
                <w:sz w:val="18"/>
                <w:szCs w:val="18"/>
              </w:rPr>
              <w:t xml:space="preserve">Assessment</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Data capacity</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32 bytes (hash input to tweak function)</w:t>
            </w:r>
          </w:p>
        </w:tc>
      </w:tr>
      <w:tr>
        <w:tc>
          <w:tcPr>
            <w:tcW w:type="dxa" w:w="240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b/>
                <w:bCs/>
                <w:sz w:val="18"/>
                <w:szCs w:val="18"/>
              </w:rPr>
              <w:t xml:space="preserve">Transaction size</w:t>
            </w:r>
          </w:p>
        </w:tc>
        <w:tc>
          <w:tcPr>
            <w:tcW w:type="dxa" w:w="696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sz w:val="18"/>
                <w:szCs w:val="18"/>
              </w:rPr>
              <w:t xml:space="preserve">~110 vB (standard P2TR spend, no extra outputs)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Cost at 10 sat/vB</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~$0.046 per anchor</w:t>
            </w:r>
          </w:p>
        </w:tc>
      </w:tr>
      <w:tr>
        <w:tc>
          <w:tcPr>
            <w:tcW w:type="dxa" w:w="240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b/>
                <w:bCs/>
                <w:sz w:val="18"/>
                <w:szCs w:val="18"/>
              </w:rPr>
              <w:t xml:space="preserve">Verification</w:t>
            </w:r>
          </w:p>
        </w:tc>
        <w:tc>
          <w:tcPr>
            <w:tcW w:type="dxa" w:w="696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sz w:val="18"/>
                <w:szCs w:val="18"/>
              </w:rPr>
              <w:t xml:space="preserve">Moderate: requires original public key P and commitment c</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Privacy</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Excellent: indistinguishable from normal Taproot spend</w:t>
            </w:r>
          </w:p>
        </w:tc>
      </w:tr>
      <w:tr>
        <w:tc>
          <w:tcPr>
            <w:tcW w:type="dxa" w:w="240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b/>
                <w:bCs/>
                <w:sz w:val="18"/>
                <w:szCs w:val="18"/>
              </w:rPr>
              <w:t xml:space="preserve">UTXO impact</w:t>
            </w:r>
          </w:p>
        </w:tc>
        <w:tc>
          <w:tcPr>
            <w:tcW w:type="dxa" w:w="696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sz w:val="18"/>
                <w:szCs w:val="18"/>
              </w:rPr>
              <w:t xml:space="preserve">Neutral: creates a normal spendable UTXO (can be spent later)</w:t>
            </w:r>
          </w:p>
        </w:tc>
      </w:tr>
    </w:tbl>
    <w:p>
      <w:pPr>
        <w:spacing w:after="120"/>
      </w:pPr>
      <w:r>
        <w:rPr>
          <w:rFonts w:ascii="Arial" w:cs="Arial" w:eastAsia="Arial" w:hAnsi="Arial"/>
          <w:b/>
          <w:bCs/>
          <w:sz w:val="21"/>
          <w:szCs w:val="21"/>
        </w:rPr>
        <w:t xml:space="preserve">How Arkova would use this:</w:t>
      </w:r>
    </w:p>
    <w:p>
      <w:pPr>
        <w:pStyle w:val="ListParagraph"/>
        <w:numPr>
          <w:ilvl w:val="0"/>
          <w:numId w:val="3"/>
        </w:numPr>
        <w:spacing w:after="80"/>
      </w:pPr>
      <w:r>
        <w:rPr>
          <w:rFonts w:ascii="Arial" w:cs="Arial" w:eastAsia="Arial" w:hAnsi="Arial"/>
          <w:sz w:val="21"/>
          <w:szCs w:val="21"/>
        </w:rPr>
        <w:t xml:space="preserve">Arkova holds an internal key P (derived from AWS KMS)</w:t>
      </w:r>
    </w:p>
    <w:p>
      <w:pPr>
        <w:pStyle w:val="ListParagraph"/>
        <w:numPr>
          <w:ilvl w:val="0"/>
          <w:numId w:val="3"/>
        </w:numPr>
        <w:spacing w:after="80"/>
      </w:pPr>
      <w:r>
        <w:rPr>
          <w:rFonts w:ascii="Arial" w:cs="Arial" w:eastAsia="Arial" w:hAnsi="Arial"/>
          <w:sz w:val="21"/>
          <w:szCs w:val="21"/>
        </w:rPr>
        <w:t xml:space="preserve">For each batch, compute Merkle root R of document hashes</w:t>
      </w:r>
    </w:p>
    <w:p>
      <w:pPr>
        <w:pStyle w:val="ListParagraph"/>
        <w:numPr>
          <w:ilvl w:val="0"/>
          <w:numId w:val="3"/>
        </w:numPr>
        <w:spacing w:after="80"/>
      </w:pPr>
      <w:r>
        <w:rPr>
          <w:rFonts w:ascii="Arial" w:cs="Arial" w:eastAsia="Arial" w:hAnsi="Arial"/>
          <w:sz w:val="21"/>
          <w:szCs w:val="21"/>
        </w:rPr>
        <w:t xml:space="preserve">Compute tweaked key: Q = P + H(P||R)·G</w:t>
      </w:r>
    </w:p>
    <w:p>
      <w:pPr>
        <w:pStyle w:val="ListParagraph"/>
        <w:numPr>
          <w:ilvl w:val="0"/>
          <w:numId w:val="3"/>
        </w:numPr>
        <w:spacing w:after="80"/>
      </w:pPr>
      <w:r>
        <w:rPr>
          <w:rFonts w:ascii="Arial" w:cs="Arial" w:eastAsia="Arial" w:hAnsi="Arial"/>
          <w:sz w:val="21"/>
          <w:szCs w:val="21"/>
        </w:rPr>
        <w:t xml:space="preserve">Create a P2TR output paying to Q</w:t>
      </w:r>
    </w:p>
    <w:p>
      <w:pPr>
        <w:pStyle w:val="ListParagraph"/>
        <w:numPr>
          <w:ilvl w:val="0"/>
          <w:numId w:val="3"/>
        </w:numPr>
        <w:spacing w:after="80"/>
      </w:pPr>
      <w:r>
        <w:rPr>
          <w:rFonts w:ascii="Arial" w:cs="Arial" w:eastAsia="Arial" w:hAnsi="Arial"/>
          <w:sz w:val="21"/>
          <w:szCs w:val="21"/>
        </w:rPr>
        <w:t xml:space="preserve">The output is spendable by Arkova (using the tweaked private key), so funds are recoverable</w:t>
      </w:r>
    </w:p>
    <w:p>
      <w:pPr>
        <w:pStyle w:val="ListParagraph"/>
        <w:numPr>
          <w:ilvl w:val="0"/>
          <w:numId w:val="3"/>
        </w:numPr>
        <w:spacing w:after="80"/>
      </w:pPr>
      <w:r>
        <w:rPr>
          <w:rFonts w:ascii="Arial" w:cs="Arial" w:eastAsia="Arial" w:hAnsi="Arial"/>
          <w:sz w:val="21"/>
          <w:szCs w:val="21"/>
        </w:rPr>
        <w:t xml:space="preserve">To verify: Arkova publishes P and provides R + Merkle proof. Verifier checks Q = P + H(P||R)·G against the on-chain output</w:t>
      </w:r>
    </w:p>
    <w:p>
      <w:pPr>
        <w:spacing w:after="120"/>
      </w:pPr>
      <w:r>
        <w:rPr>
          <w:rFonts w:ascii="Arial" w:cs="Arial" w:eastAsia="Arial" w:hAnsi="Arial"/>
          <w:b/>
          <w:bCs/>
          <w:sz w:val="21"/>
          <w:szCs w:val="21"/>
        </w:rPr>
        <w:t xml:space="preserve">Key advantage: </w:t>
      </w:r>
      <w:r>
        <w:rPr>
          <w:rFonts w:ascii="Arial" w:cs="Arial" w:eastAsia="Arial" w:hAnsi="Arial"/>
          <w:sz w:val="21"/>
          <w:szCs w:val="21"/>
        </w:rPr>
        <w:t xml:space="preserve">The anchoring transaction is also a normal payment to yourself. No wasted OP_RETURN output. Funds cycle back. The on-chain footprint is zero — no observer can distinguish Arkova’s anchoring transactions from normal Taproot payments.</w:t>
      </w:r>
    </w:p>
    <w:p>
      <w:pPr>
        <w:spacing w:after="120"/>
      </w:pPr>
      <w:r>
        <w:rPr>
          <w:rFonts w:ascii="Arial" w:cs="Arial" w:eastAsia="Arial" w:hAnsi="Arial"/>
          <w:b/>
          <w:bCs/>
          <w:sz w:val="21"/>
          <w:szCs w:val="21"/>
        </w:rPr>
        <w:t xml:space="preserve">Key disadvantage: </w:t>
      </w:r>
      <w:r>
        <w:rPr>
          <w:rFonts w:ascii="Arial" w:cs="Arial" w:eastAsia="Arial" w:hAnsi="Arial"/>
          <w:sz w:val="21"/>
          <w:szCs w:val="21"/>
        </w:rPr>
        <w:t xml:space="preserve">Verification requires Arkova to publish the internal key P and cooperate in the verification process. If Arkova disappears, verifiers need P to confirm the commitment. This can be mitigated by publishing P in a transparency log or including it in the credential proof format.</w:t>
      </w:r>
    </w:p>
    <w:p>
      <w:pPr>
        <w:spacing w:after="120"/>
      </w:pPr>
      <w:r>
        <w:rPr>
          <w:rFonts w:ascii="Arial" w:cs="Arial" w:eastAsia="Arial" w:hAnsi="Arial"/>
          <w:b/>
          <w:bCs/>
          <w:sz w:val="21"/>
          <w:szCs w:val="21"/>
        </w:rPr>
        <w:t xml:space="preserve">Verdict: </w:t>
      </w:r>
      <w:r>
        <w:rPr>
          <w:rFonts w:ascii="Arial" w:cs="Arial" w:eastAsia="Arial" w:hAnsi="Arial"/>
          <w:sz w:val="21"/>
          <w:szCs w:val="21"/>
        </w:rPr>
        <w:t xml:space="preserve">Best long-term approach for privacy and cost. Combine with Merkle batching for the optimal architecture.</w:t>
      </w:r>
    </w:p>
    <w:p>
      <w:pPr>
        <w:pStyle w:val="Heading2"/>
        <w:spacing w:after="160" w:before="280"/>
      </w:pPr>
      <w:r>
        <w:rPr>
          <w:rFonts w:ascii="Arial" w:cs="Arial" w:eastAsia="Arial" w:hAnsi="Arial"/>
          <w:b/>
          <w:bCs/>
          <w:color w:val="2E75B6"/>
          <w:sz w:val="24"/>
          <w:szCs w:val="24"/>
        </w:rPr>
        <w:t xml:space="preserve">3.4 Taproot Script Path Commitments (MAST)</w:t>
      </w:r>
    </w:p>
    <w:p>
      <w:pPr>
        <w:spacing w:after="120"/>
      </w:pPr>
      <w:r>
        <w:rPr>
          <w:rFonts w:ascii="Arial" w:cs="Arial" w:eastAsia="Arial" w:hAnsi="Arial"/>
          <w:b/>
          <w:bCs/>
          <w:sz w:val="21"/>
          <w:szCs w:val="21"/>
        </w:rPr>
        <w:t xml:space="preserve">Mechanism: </w:t>
      </w:r>
      <w:r>
        <w:rPr>
          <w:rFonts w:ascii="Arial" w:cs="Arial" w:eastAsia="Arial" w:hAnsi="Arial"/>
          <w:sz w:val="21"/>
          <w:szCs w:val="21"/>
        </w:rPr>
        <w:t xml:space="preserve">Embed commitment data in an unexecuted Taproot script path. The data only appears on-chain if that path is spent (which it never would be for anchoring).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Arial" w:cs="Arial" w:eastAsia="Arial" w:hAnsi="Arial"/>
                <w:b/>
                <w:bCs/>
                <w:color w:val="FFFFFF"/>
                <w:sz w:val="18"/>
                <w:szCs w:val="18"/>
              </w:rPr>
              <w:t xml:space="preserve">Dimension</w:t>
            </w:r>
          </w:p>
        </w:tc>
        <w:tc>
          <w:tcPr>
            <w:tcW w:type="dxa" w:w="696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Arial" w:cs="Arial" w:eastAsia="Arial" w:hAnsi="Arial"/>
                <w:b/>
                <w:bCs/>
                <w:color w:val="FFFFFF"/>
                <w:sz w:val="18"/>
                <w:szCs w:val="18"/>
              </w:rPr>
              <w:t xml:space="preserve">Assessment</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Data capacity</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High (multiple script paths, each with substantial data)</w:t>
            </w:r>
          </w:p>
        </w:tc>
      </w:tr>
      <w:tr>
        <w:tc>
          <w:tcPr>
            <w:tcW w:type="dxa" w:w="240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b/>
                <w:bCs/>
                <w:sz w:val="18"/>
                <w:szCs w:val="18"/>
              </w:rPr>
              <w:t xml:space="preserve">Cost</w:t>
            </w:r>
          </w:p>
        </w:tc>
        <w:tc>
          <w:tcPr>
            <w:tcW w:type="dxa" w:w="696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sz w:val="18"/>
                <w:szCs w:val="18"/>
              </w:rPr>
              <w:t xml:space="preserve">Low during commitment (key path spend). Higher if script path revealed.</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Verification</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Complex: requires revealing the script path and Merkle proof</w:t>
            </w:r>
          </w:p>
        </w:tc>
      </w:tr>
      <w:tr>
        <w:tc>
          <w:tcPr>
            <w:tcW w:type="dxa" w:w="240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b/>
                <w:bCs/>
                <w:sz w:val="18"/>
                <w:szCs w:val="18"/>
              </w:rPr>
              <w:t xml:space="preserve">Privacy</w:t>
            </w:r>
          </w:p>
        </w:tc>
        <w:tc>
          <w:tcPr>
            <w:tcW w:type="dxa" w:w="696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sz w:val="18"/>
                <w:szCs w:val="18"/>
              </w:rPr>
              <w:t xml:space="preserve">Excellent during commitment; lost if script path is revealed</w:t>
            </w:r>
          </w:p>
        </w:tc>
      </w:tr>
    </w:tbl>
    <w:p>
      <w:pPr>
        <w:spacing w:after="120"/>
      </w:pPr>
      <w:r>
        <w:rPr>
          <w:rFonts w:ascii="Arial" w:cs="Arial" w:eastAsia="Arial" w:hAnsi="Arial"/>
          <w:b/>
          <w:bCs/>
          <w:sz w:val="21"/>
          <w:szCs w:val="21"/>
        </w:rPr>
        <w:t xml:space="preserve">Verdict: </w:t>
      </w:r>
      <w:r>
        <w:rPr>
          <w:rFonts w:ascii="Arial" w:cs="Arial" w:eastAsia="Arial" w:hAnsi="Arial"/>
          <w:sz w:val="21"/>
          <w:szCs w:val="21"/>
        </w:rPr>
        <w:t xml:space="preserve">Over-engineered for Arkova’s use case. P2C is simpler and achieves the same privacy properties. MAST is better suited for complex smart contracts with multiple execution paths.</w:t>
      </w:r>
    </w:p>
    <w:p>
      <w:pPr>
        <w:pStyle w:val="Heading2"/>
        <w:spacing w:after="160" w:before="280"/>
      </w:pPr>
      <w:r>
        <w:rPr>
          <w:rFonts w:ascii="Arial" w:cs="Arial" w:eastAsia="Arial" w:hAnsi="Arial"/>
          <w:b/>
          <w:bCs/>
          <w:color w:val="2E75B6"/>
          <w:sz w:val="24"/>
          <w:szCs w:val="24"/>
        </w:rPr>
        <w:t xml:space="preserve">3.5 OP_FALSE OP_IF Envelope (Ordinals Pattern)</w:t>
      </w:r>
    </w:p>
    <w:p>
      <w:pPr>
        <w:spacing w:after="120"/>
      </w:pPr>
      <w:r>
        <w:rPr>
          <w:rFonts w:ascii="Arial" w:cs="Arial" w:eastAsia="Arial" w:hAnsi="Arial"/>
          <w:b/>
          <w:bCs/>
          <w:sz w:val="21"/>
          <w:szCs w:val="21"/>
        </w:rPr>
        <w:t xml:space="preserve">Mechanism: </w:t>
      </w:r>
      <w:r>
        <w:rPr>
          <w:rFonts w:ascii="Arial" w:cs="Arial" w:eastAsia="Arial" w:hAnsi="Arial"/>
          <w:sz w:val="21"/>
          <w:szCs w:val="21"/>
        </w:rPr>
        <w:t xml:space="preserve">Wrap data in witness using OP_FALSE OP_IF ... OP_ENDIF. Data benefits from witness discount but is fully visible on-chain.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Arial" w:cs="Arial" w:eastAsia="Arial" w:hAnsi="Arial"/>
                <w:b/>
                <w:bCs/>
                <w:color w:val="FFFFFF"/>
                <w:sz w:val="18"/>
                <w:szCs w:val="18"/>
              </w:rPr>
              <w:t xml:space="preserve">Dimension</w:t>
            </w:r>
          </w:p>
        </w:tc>
        <w:tc>
          <w:tcPr>
            <w:tcW w:type="dxa" w:w="696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Arial" w:cs="Arial" w:eastAsia="Arial" w:hAnsi="Arial"/>
                <w:b/>
                <w:bCs/>
                <w:color w:val="FFFFFF"/>
                <w:sz w:val="18"/>
                <w:szCs w:val="18"/>
              </w:rPr>
              <w:t xml:space="preserve">Assessment</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Data capacity</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Very high (~4MB per transaction)</w:t>
            </w:r>
          </w:p>
        </w:tc>
      </w:tr>
      <w:tr>
        <w:tc>
          <w:tcPr>
            <w:tcW w:type="dxa" w:w="240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b/>
                <w:bCs/>
                <w:sz w:val="18"/>
                <w:szCs w:val="18"/>
              </w:rPr>
              <w:t xml:space="preserve">Cost</w:t>
            </w:r>
          </w:p>
        </w:tc>
        <w:tc>
          <w:tcPr>
            <w:tcW w:type="dxa" w:w="696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sz w:val="18"/>
                <w:szCs w:val="18"/>
              </w:rPr>
              <w:t xml:space="preserve">Witness discount (1/4 weight), but large absolute size</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Privacy</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None: all data visible in witness</w:t>
            </w:r>
          </w:p>
        </w:tc>
      </w:tr>
    </w:tbl>
    <w:p>
      <w:pPr>
        <w:spacing w:after="120"/>
      </w:pPr>
      <w:r>
        <w:rPr>
          <w:rFonts w:ascii="Arial" w:cs="Arial" w:eastAsia="Arial" w:hAnsi="Arial"/>
          <w:b/>
          <w:bCs/>
          <w:sz w:val="21"/>
          <w:szCs w:val="21"/>
        </w:rPr>
        <w:t xml:space="preserve">Verdict: </w:t>
      </w:r>
      <w:r>
        <w:rPr>
          <w:rFonts w:ascii="Arial" w:cs="Arial" w:eastAsia="Arial" w:hAnsi="Arial"/>
          <w:sz w:val="21"/>
          <w:szCs w:val="21"/>
        </w:rPr>
        <w:t xml:space="preserve">Wrong tool for Arkova. Designed for large content inscription (images, HTML), not compact hash anchoring. More expensive than OP_RETURN for 32-byte hashes and offers no privacy benefit.</w:t>
      </w:r>
    </w:p>
    <w:p>
      <w:pPr>
        <w:pStyle w:val="Heading2"/>
        <w:spacing w:after="160" w:before="280"/>
      </w:pPr>
      <w:r>
        <w:rPr>
          <w:rFonts w:ascii="Arial" w:cs="Arial" w:eastAsia="Arial" w:hAnsi="Arial"/>
          <w:b/>
          <w:bCs/>
          <w:color w:val="2E75B6"/>
          <w:sz w:val="24"/>
          <w:szCs w:val="24"/>
        </w:rPr>
        <w:t xml:space="preserve">3.6 Bare Multisig Data Embedding</w:t>
      </w:r>
    </w:p>
    <w:p>
      <w:pPr>
        <w:spacing w:after="120"/>
      </w:pPr>
      <w:r>
        <w:rPr>
          <w:rFonts w:ascii="Arial" w:cs="Arial" w:eastAsia="Arial" w:hAnsi="Arial"/>
          <w:b/>
          <w:bCs/>
          <w:sz w:val="21"/>
          <w:szCs w:val="21"/>
        </w:rPr>
        <w:t xml:space="preserve">Mechanism: </w:t>
      </w:r>
      <w:r>
        <w:rPr>
          <w:rFonts w:ascii="Arial" w:cs="Arial" w:eastAsia="Arial" w:hAnsi="Arial"/>
          <w:sz w:val="21"/>
          <w:szCs w:val="21"/>
        </w:rPr>
        <w:t xml:space="preserve">Encode data as fake public keys in a bare multisig script.</w:t>
      </w:r>
    </w:p>
    <w:p>
      <w:pPr>
        <w:spacing w:after="120"/>
      </w:pPr>
      <w:r>
        <w:rPr>
          <w:rFonts w:ascii="Arial" w:cs="Arial" w:eastAsia="Arial" w:hAnsi="Arial"/>
          <w:b/>
          <w:bCs/>
          <w:sz w:val="21"/>
          <w:szCs w:val="21"/>
        </w:rPr>
        <w:t xml:space="preserve">Verdict: </w:t>
      </w:r>
      <w:r>
        <w:rPr>
          <w:rFonts w:ascii="Arial" w:cs="Arial" w:eastAsia="Arial" w:hAnsi="Arial"/>
          <w:sz w:val="21"/>
          <w:szCs w:val="21"/>
        </w:rPr>
        <w:t xml:space="preserve">Do not use. Creates permanent UTXO set bloat (unspendable outputs that nodes must track forever). Historically used by Counterparty (created 112K unspendable UTXOs). Considered antisocial by the Bitcoin developer community. OP_RETURN was specifically created to replace this pattern.</w:t>
      </w:r>
    </w:p>
    <w:p>
      <w:pPr>
        <w:pStyle w:val="Heading2"/>
        <w:spacing w:after="160" w:before="280"/>
      </w:pPr>
      <w:r>
        <w:rPr>
          <w:rFonts w:ascii="Arial" w:cs="Arial" w:eastAsia="Arial" w:hAnsi="Arial"/>
          <w:b/>
          <w:bCs/>
          <w:color w:val="2E75B6"/>
          <w:sz w:val="24"/>
          <w:szCs w:val="24"/>
        </w:rPr>
        <w:t xml:space="preserve">3.7 Sidechain Anchoring (Liquid, Stacks)</w:t>
      </w:r>
    </w:p>
    <w:p>
      <w:pPr>
        <w:spacing w:after="120"/>
      </w:pPr>
      <w:r>
        <w:rPr>
          <w:rFonts w:ascii="Arial" w:cs="Arial" w:eastAsia="Arial" w:hAnsi="Arial"/>
          <w:b/>
          <w:bCs/>
          <w:sz w:val="21"/>
          <w:szCs w:val="21"/>
        </w:rPr>
        <w:t xml:space="preserve">Mechanism: </w:t>
      </w:r>
      <w:r>
        <w:rPr>
          <w:rFonts w:ascii="Arial" w:cs="Arial" w:eastAsia="Arial" w:hAnsi="Arial"/>
          <w:sz w:val="21"/>
          <w:szCs w:val="21"/>
        </w:rPr>
        <w:t xml:space="preserve">Anchor credentials to a sidechain, periodically checkpoint the sidechain to Bitcoin mainnet.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Arial" w:cs="Arial" w:eastAsia="Arial" w:hAnsi="Arial"/>
                <w:b/>
                <w:bCs/>
                <w:color w:val="FFFFFF"/>
                <w:sz w:val="18"/>
                <w:szCs w:val="18"/>
              </w:rPr>
              <w:t xml:space="preserve">Dimension</w:t>
            </w:r>
          </w:p>
        </w:tc>
        <w:tc>
          <w:tcPr>
            <w:tcW w:type="dxa" w:w="696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Arial" w:cs="Arial" w:eastAsia="Arial" w:hAnsi="Arial"/>
                <w:b/>
                <w:bCs/>
                <w:color w:val="FFFFFF"/>
                <w:sz w:val="18"/>
                <w:szCs w:val="18"/>
              </w:rPr>
              <w:t xml:space="preserve">Assessment</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Cost</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Very low per anchor (sidechain fees + amortized Bitcoin checkpoints)</w:t>
            </w:r>
          </w:p>
        </w:tc>
      </w:tr>
      <w:tr>
        <w:tc>
          <w:tcPr>
            <w:tcW w:type="dxa" w:w="240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b/>
                <w:bCs/>
                <w:sz w:val="18"/>
                <w:szCs w:val="18"/>
              </w:rPr>
              <w:t xml:space="preserve">Verification</w:t>
            </w:r>
          </w:p>
        </w:tc>
        <w:tc>
          <w:tcPr>
            <w:tcW w:type="dxa" w:w="696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sz w:val="18"/>
                <w:szCs w:val="18"/>
              </w:rPr>
              <w:t xml:space="preserve">Two-step: verify on sidechain, verify sidechain checkpoint on Bitcoin</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Trust model</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Depends on sidechain consensus (federated for Liquid, PoX for Stacks)</w:t>
            </w:r>
          </w:p>
        </w:tc>
      </w:tr>
    </w:tbl>
    <w:p>
      <w:pPr>
        <w:spacing w:after="120"/>
      </w:pPr>
      <w:r>
        <w:rPr>
          <w:rFonts w:ascii="Arial" w:cs="Arial" w:eastAsia="Arial" w:hAnsi="Arial"/>
          <w:b/>
          <w:bCs/>
          <w:sz w:val="21"/>
          <w:szCs w:val="21"/>
        </w:rPr>
        <w:t xml:space="preserve">Verdict: </w:t>
      </w:r>
      <w:r>
        <w:rPr>
          <w:rFonts w:ascii="Arial" w:cs="Arial" w:eastAsia="Arial" w:hAnsi="Arial"/>
          <w:sz w:val="21"/>
          <w:szCs w:val="21"/>
        </w:rPr>
        <w:t xml:space="preserve">Adds unnecessary trust assumptions and complexity for Arkova’s use case. Arkova’s value proposition is direct Bitcoin anchoring. Introducing a sidechain layer dilutes the security story. Only consider if anchoring volume exceeds 100M/year and cost becomes prohibitive even with Merkle batching.</w:t>
      </w:r>
    </w:p>
    <w:p>
      <w:pPr>
        <w:pStyle w:val="Heading2"/>
        <w:spacing w:after="160" w:before="280"/>
      </w:pPr>
      <w:r>
        <w:rPr>
          <w:rFonts w:ascii="Arial" w:cs="Arial" w:eastAsia="Arial" w:hAnsi="Arial"/>
          <w:b/>
          <w:bCs/>
          <w:color w:val="2E75B6"/>
          <w:sz w:val="24"/>
          <w:szCs w:val="24"/>
        </w:rPr>
        <w:t xml:space="preserve">3.8 BitVM-Style Commitments</w:t>
      </w:r>
    </w:p>
    <w:p>
      <w:pPr>
        <w:spacing w:after="120"/>
      </w:pPr>
      <w:r>
        <w:rPr>
          <w:rFonts w:ascii="Arial" w:cs="Arial" w:eastAsia="Arial" w:hAnsi="Arial"/>
          <w:b/>
          <w:bCs/>
          <w:sz w:val="21"/>
          <w:szCs w:val="21"/>
        </w:rPr>
        <w:t xml:space="preserve">Mechanism: </w:t>
      </w:r>
      <w:r>
        <w:rPr>
          <w:rFonts w:ascii="Arial" w:cs="Arial" w:eastAsia="Arial" w:hAnsi="Arial"/>
          <w:sz w:val="21"/>
          <w:szCs w:val="21"/>
        </w:rPr>
        <w:t xml:space="preserve">Bit-commitment scheme with challenge-response verification.</w:t>
      </w:r>
    </w:p>
    <w:p>
      <w:pPr>
        <w:spacing w:after="120"/>
      </w:pPr>
      <w:r>
        <w:rPr>
          <w:rFonts w:ascii="Arial" w:cs="Arial" w:eastAsia="Arial" w:hAnsi="Arial"/>
          <w:b/>
          <w:bCs/>
          <w:sz w:val="21"/>
          <w:szCs w:val="21"/>
        </w:rPr>
        <w:t xml:space="preserve">Verdict: </w:t>
      </w:r>
      <w:r>
        <w:rPr>
          <w:rFonts w:ascii="Arial" w:cs="Arial" w:eastAsia="Arial" w:hAnsi="Arial"/>
          <w:sz w:val="21"/>
          <w:szCs w:val="21"/>
        </w:rPr>
        <w:t xml:space="preserve">Not applicable. BitVM is designed for verifiable computation (proving a program executed correctly), not data anchoring. The commitment overhead (Lamport signatures, pre-signed transaction trees) is dramatically disproportionate to Arkova’s needs.</w:t>
      </w:r>
    </w:p>
    <w:p>
      <w:pPr>
        <w:pStyle w:val="Heading2"/>
        <w:spacing w:after="160" w:before="280"/>
      </w:pPr>
      <w:r>
        <w:rPr>
          <w:rFonts w:ascii="Arial" w:cs="Arial" w:eastAsia="Arial" w:hAnsi="Arial"/>
          <w:b/>
          <w:bCs/>
          <w:color w:val="2E75B6"/>
          <w:sz w:val="24"/>
          <w:szCs w:val="24"/>
        </w:rPr>
        <w:t xml:space="preserve">3.9 Comparison Matrix</w:t>
      </w:r>
    </w:p>
    <w:tbl>
      <w:tblPr>
        <w:tblW w:type="dxa" w:w="85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1100"/>
        <w:gridCol w:w="1600"/>
        <w:gridCol w:w="1200"/>
        <w:gridCol w:w="1260"/>
      </w:tblGrid>
      <w:tr>
        <w:tc>
          <w:tcPr>
            <w:tcW w:type="dxa" w:w="18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Arial" w:cs="Arial" w:eastAsia="Arial" w:hAnsi="Arial"/>
                <w:b/>
                <w:bCs/>
                <w:color w:val="FFFFFF"/>
                <w:sz w:val="18"/>
                <w:szCs w:val="18"/>
              </w:rPr>
              <w:t xml:space="preserve">Approach</w:t>
            </w:r>
          </w:p>
        </w:tc>
        <w:tc>
          <w:tcPr>
            <w:tcW w:type="dxa" w:w="16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Arial" w:cs="Arial" w:eastAsia="Arial" w:hAnsi="Arial"/>
                <w:b/>
                <w:bCs/>
                <w:color w:val="FFFFFF"/>
                <w:sz w:val="18"/>
                <w:szCs w:val="18"/>
              </w:rPr>
              <w:t xml:space="preserve">Cost/Anchor</w:t>
            </w:r>
          </w:p>
        </w:tc>
        <w:tc>
          <w:tcPr>
            <w:tcW w:type="dxa" w:w="11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Arial" w:cs="Arial" w:eastAsia="Arial" w:hAnsi="Arial"/>
                <w:b/>
                <w:bCs/>
                <w:color w:val="FFFFFF"/>
                <w:sz w:val="18"/>
                <w:szCs w:val="18"/>
              </w:rPr>
              <w:t xml:space="preserve">Privacy</w:t>
            </w:r>
          </w:p>
        </w:tc>
        <w:tc>
          <w:tcPr>
            <w:tcW w:type="dxa" w:w="16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Arial" w:cs="Arial" w:eastAsia="Arial" w:hAnsi="Arial"/>
                <w:b/>
                <w:bCs/>
                <w:color w:val="FFFFFF"/>
                <w:sz w:val="18"/>
                <w:szCs w:val="18"/>
              </w:rPr>
              <w:t xml:space="preserve">Verification</w:t>
            </w:r>
          </w:p>
        </w:tc>
        <w:tc>
          <w:tcPr>
            <w:tcW w:type="dxa" w:w="12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Arial" w:cs="Arial" w:eastAsia="Arial" w:hAnsi="Arial"/>
                <w:b/>
                <w:bCs/>
                <w:color w:val="FFFFFF"/>
                <w:sz w:val="18"/>
                <w:szCs w:val="18"/>
              </w:rPr>
              <w:t xml:space="preserve">UTXO Impact</w:t>
            </w:r>
          </w:p>
        </w:tc>
        <w:tc>
          <w:tcPr>
            <w:tcW w:type="dxa" w:w="126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Arial" w:cs="Arial" w:eastAsia="Arial" w:hAnsi="Arial"/>
                <w:b/>
                <w:bCs/>
                <w:color w:val="FFFFFF"/>
                <w:sz w:val="18"/>
                <w:szCs w:val="18"/>
              </w:rPr>
              <w:t xml:space="preserve">Recommended?</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Raw OP_RETURN</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$0.08</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None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Trivial</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Clean</w:t>
            </w:r>
          </w:p>
        </w:tc>
        <w:tc>
          <w:tcPr>
            <w:tcW w:type="dxa" w:w="1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Baseline only</w:t>
            </w:r>
          </w:p>
        </w:tc>
      </w:tr>
      <w:tr>
        <w:tc>
          <w:tcPr>
            <w:tcW w:type="dxa" w:w="180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b/>
                <w:bCs/>
                <w:sz w:val="18"/>
                <w:szCs w:val="18"/>
              </w:rPr>
              <w:t xml:space="preserve">Merkle + OP_RETURN</w:t>
            </w:r>
          </w:p>
        </w:tc>
        <w:tc>
          <w:tcPr>
            <w:tcW w:type="dxa" w:w="160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sz w:val="18"/>
                <w:szCs w:val="18"/>
              </w:rPr>
              <w:t xml:space="preserve">$0.08/N</w:t>
            </w:r>
          </w:p>
        </w:tc>
        <w:tc>
          <w:tcPr>
            <w:tcW w:type="dxa" w:w="110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sz w:val="18"/>
                <w:szCs w:val="18"/>
              </w:rPr>
              <w:t xml:space="preserve">Low</w:t>
            </w:r>
          </w:p>
        </w:tc>
        <w:tc>
          <w:tcPr>
            <w:tcW w:type="dxa" w:w="160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sz w:val="18"/>
                <w:szCs w:val="18"/>
              </w:rPr>
              <w:t xml:space="preserve">Moderate</w:t>
            </w:r>
          </w:p>
        </w:tc>
        <w:tc>
          <w:tcPr>
            <w:tcW w:type="dxa" w:w="120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sz w:val="18"/>
                <w:szCs w:val="18"/>
              </w:rPr>
              <w:t xml:space="preserve">Clean</w:t>
            </w:r>
          </w:p>
        </w:tc>
        <w:tc>
          <w:tcPr>
            <w:tcW w:type="dxa" w:w="126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sz w:val="18"/>
                <w:szCs w:val="18"/>
              </w:rPr>
              <w:t xml:space="preserve">Yes — Phase 1</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P2C + Merkle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$0.046/N</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Excellent</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Moderate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Neutral</w:t>
            </w:r>
          </w:p>
        </w:tc>
        <w:tc>
          <w:tcPr>
            <w:tcW w:type="dxa" w:w="1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Yes — Phase 2</w:t>
            </w:r>
          </w:p>
        </w:tc>
      </w:tr>
      <w:tr>
        <w:tc>
          <w:tcPr>
            <w:tcW w:type="dxa" w:w="180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b/>
                <w:bCs/>
                <w:sz w:val="18"/>
                <w:szCs w:val="18"/>
              </w:rPr>
              <w:t xml:space="preserve">Taproot MAST</w:t>
            </w:r>
          </w:p>
        </w:tc>
        <w:tc>
          <w:tcPr>
            <w:tcW w:type="dxa" w:w="160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sz w:val="18"/>
                <w:szCs w:val="18"/>
              </w:rPr>
              <w:t xml:space="preserve">$0.046/N</w:t>
            </w:r>
          </w:p>
        </w:tc>
        <w:tc>
          <w:tcPr>
            <w:tcW w:type="dxa" w:w="110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sz w:val="18"/>
                <w:szCs w:val="18"/>
              </w:rPr>
              <w:t xml:space="preserve">Excellent</w:t>
            </w:r>
          </w:p>
        </w:tc>
        <w:tc>
          <w:tcPr>
            <w:tcW w:type="dxa" w:w="160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sz w:val="18"/>
                <w:szCs w:val="18"/>
              </w:rPr>
              <w:t xml:space="preserve">High</w:t>
            </w:r>
          </w:p>
        </w:tc>
        <w:tc>
          <w:tcPr>
            <w:tcW w:type="dxa" w:w="120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sz w:val="18"/>
                <w:szCs w:val="18"/>
              </w:rPr>
              <w:t xml:space="preserve">Neutral</w:t>
            </w:r>
          </w:p>
        </w:tc>
        <w:tc>
          <w:tcPr>
            <w:tcW w:type="dxa" w:w="126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sz w:val="18"/>
                <w:szCs w:val="18"/>
              </w:rPr>
              <w:t xml:space="preserve">Over-engineered</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Inscription envelope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$0.02+ (var)</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None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Low</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Clean</w:t>
            </w:r>
          </w:p>
        </w:tc>
        <w:tc>
          <w:tcPr>
            <w:tcW w:type="dxa" w:w="1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Wrong tool</w:t>
            </w:r>
          </w:p>
        </w:tc>
      </w:tr>
      <w:tr>
        <w:tc>
          <w:tcPr>
            <w:tcW w:type="dxa" w:w="180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b/>
                <w:bCs/>
                <w:sz w:val="18"/>
                <w:szCs w:val="18"/>
              </w:rPr>
              <w:t xml:space="preserve">Bare multisig</w:t>
            </w:r>
          </w:p>
        </w:tc>
        <w:tc>
          <w:tcPr>
            <w:tcW w:type="dxa" w:w="160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sz w:val="18"/>
                <w:szCs w:val="18"/>
              </w:rPr>
              <w:t xml:space="preserve">$0.10+</w:t>
            </w:r>
          </w:p>
        </w:tc>
        <w:tc>
          <w:tcPr>
            <w:tcW w:type="dxa" w:w="110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sz w:val="18"/>
                <w:szCs w:val="18"/>
              </w:rPr>
              <w:t xml:space="preserve">None</w:t>
            </w:r>
          </w:p>
        </w:tc>
        <w:tc>
          <w:tcPr>
            <w:tcW w:type="dxa" w:w="160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sz w:val="18"/>
                <w:szCs w:val="18"/>
              </w:rPr>
              <w:t xml:space="preserve">Low</w:t>
            </w:r>
          </w:p>
        </w:tc>
        <w:tc>
          <w:tcPr>
            <w:tcW w:type="dxa" w:w="120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sz w:val="18"/>
                <w:szCs w:val="18"/>
              </w:rPr>
              <w:t xml:space="preserve">Harmful</w:t>
            </w:r>
          </w:p>
        </w:tc>
        <w:tc>
          <w:tcPr>
            <w:tcW w:type="dxa" w:w="126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sz w:val="18"/>
                <w:szCs w:val="18"/>
              </w:rPr>
              <w:t xml:space="preserve">Never</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Sidechain</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Very low</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Varies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High</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N/A</w:t>
            </w:r>
          </w:p>
        </w:tc>
        <w:tc>
          <w:tcPr>
            <w:tcW w:type="dxa" w:w="1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Extreme scale only</w:t>
            </w:r>
          </w:p>
        </w:tc>
      </w:tr>
    </w:tbl>
    <w:p>
      <w:r>
        <w:br w:type="page"/>
      </w:r>
    </w:p>
    <w:p>
      <w:pPr>
        <w:pStyle w:val="Heading1"/>
        <w:spacing w:after="200" w:before="360"/>
      </w:pPr>
      <w:r>
        <w:rPr>
          <w:rFonts w:ascii="Arial" w:cs="Arial" w:eastAsia="Arial" w:hAnsi="Arial"/>
          <w:b/>
          <w:bCs/>
          <w:color w:val="1B2A4A"/>
          <w:sz w:val="28"/>
          <w:szCs w:val="28"/>
        </w:rPr>
        <w:t xml:space="preserve">4. Cost Modeling</w:t>
      </w:r>
    </w:p>
    <w:p>
      <w:pPr>
        <w:pStyle w:val="Heading2"/>
        <w:spacing w:after="160" w:before="280"/>
      </w:pPr>
      <w:r>
        <w:rPr>
          <w:rFonts w:ascii="Arial" w:cs="Arial" w:eastAsia="Arial" w:hAnsi="Arial"/>
          <w:b/>
          <w:bCs/>
          <w:color w:val="2E75B6"/>
          <w:sz w:val="24"/>
          <w:szCs w:val="24"/>
        </w:rPr>
        <w:t xml:space="preserve">4.1 Transaction Size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1500"/>
        <w:gridCol w:w="4060"/>
      </w:tblGrid>
      <w:tr>
        <w:tc>
          <w:tcPr>
            <w:tcW w:type="dxa" w:w="38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Arial" w:cs="Arial" w:eastAsia="Arial" w:hAnsi="Arial"/>
                <w:b/>
                <w:bCs/>
                <w:color w:val="FFFFFF"/>
                <w:sz w:val="18"/>
                <w:szCs w:val="18"/>
              </w:rPr>
              <w:t xml:space="preserve">Transaction Type</w:t>
            </w:r>
          </w:p>
        </w:tc>
        <w:tc>
          <w:tcPr>
            <w:tcW w:type="dxa" w:w="15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Arial" w:cs="Arial" w:eastAsia="Arial" w:hAnsi="Arial"/>
                <w:b/>
                <w:bCs/>
                <w:color w:val="FFFFFF"/>
                <w:sz w:val="18"/>
                <w:szCs w:val="18"/>
              </w:rPr>
              <w:t xml:space="preserve">Size (vB)</w:t>
            </w:r>
          </w:p>
        </w:tc>
        <w:tc>
          <w:tcPr>
            <w:tcW w:type="dxa" w:w="406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Arial" w:cs="Arial" w:eastAsia="Arial" w:hAnsi="Arial"/>
                <w:b/>
                <w:bCs/>
                <w:color w:val="FFFFFF"/>
                <w:sz w:val="18"/>
                <w:szCs w:val="18"/>
              </w:rPr>
              <w:t xml:space="preserve">Notes</w:t>
            </w:r>
          </w:p>
        </w:tc>
      </w:tr>
      <w:tr>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OP_RETURN (1-in, 1-change, 1-OP_RETURN)</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~170 vB</w:t>
            </w:r>
          </w:p>
        </w:tc>
        <w:tc>
          <w:tcPr>
            <w:tcW w:type="dxa" w:w="4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SegWit P2WPKH input</w:t>
            </w:r>
          </w:p>
        </w:tc>
      </w:tr>
      <w:tr>
        <w:tc>
          <w:tcPr>
            <w:tcW w:type="dxa" w:w="380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b/>
                <w:bCs/>
                <w:sz w:val="18"/>
                <w:szCs w:val="18"/>
              </w:rPr>
              <w:t xml:space="preserve">P2TR key-path spend (1-in, 1-out)</w:t>
            </w:r>
          </w:p>
        </w:tc>
        <w:tc>
          <w:tcPr>
            <w:tcW w:type="dxa" w:w="150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sz w:val="18"/>
                <w:szCs w:val="18"/>
              </w:rPr>
              <w:t xml:space="preserve">~110 vB</w:t>
            </w:r>
          </w:p>
        </w:tc>
        <w:tc>
          <w:tcPr>
            <w:tcW w:type="dxa" w:w="406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sz w:val="18"/>
                <w:szCs w:val="18"/>
              </w:rPr>
              <w:t xml:space="preserve">Schnorr signature, witness discount</w:t>
            </w:r>
          </w:p>
        </w:tc>
      </w:tr>
      <w:tr>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P2TR key-path spend (1-in, 2-out)</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~140 vB</w:t>
            </w:r>
          </w:p>
        </w:tc>
        <w:tc>
          <w:tcPr>
            <w:tcW w:type="dxa" w:w="4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With change output</w:t>
            </w:r>
          </w:p>
        </w:tc>
      </w:tr>
    </w:tbl>
    <w:p>
      <w:pPr>
        <w:pStyle w:val="Heading2"/>
        <w:spacing w:after="160" w:before="280"/>
      </w:pPr>
      <w:r>
        <w:rPr>
          <w:rFonts w:ascii="Arial" w:cs="Arial" w:eastAsia="Arial" w:hAnsi="Arial"/>
          <w:b/>
          <w:bCs/>
          <w:color w:val="2E75B6"/>
          <w:sz w:val="24"/>
          <w:szCs w:val="24"/>
        </w:rPr>
        <w:t xml:space="preserve">4.2 Cost Per Anchor at Various Fee Rates</w:t>
      </w:r>
    </w:p>
    <w:p>
      <w:pPr>
        <w:spacing w:after="120"/>
      </w:pPr>
      <w:r>
        <w:rPr>
          <w:rFonts w:ascii="Arial" w:cs="Arial" w:eastAsia="Arial" w:hAnsi="Arial"/>
          <w:sz w:val="21"/>
          <w:szCs w:val="21"/>
        </w:rPr>
        <w:t xml:space="preserve">Assuming BTC = $84,000 (March 2026).</w:t>
      </w:r>
    </w:p>
    <w:p>
      <w:pPr>
        <w:spacing w:after="120"/>
      </w:pPr>
      <w:r>
        <w:rPr>
          <w:rFonts w:ascii="Arial" w:cs="Arial" w:eastAsia="Arial" w:hAnsi="Arial"/>
          <w:b/>
          <w:bCs/>
          <w:sz w:val="21"/>
          <w:szCs w:val="21"/>
        </w:rPr>
        <w:t xml:space="preserve">Without batching (1 document per transaction):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Arial" w:cs="Arial" w:eastAsia="Arial" w:hAnsi="Arial"/>
                <w:b/>
                <w:bCs/>
                <w:color w:val="FFFFFF"/>
                <w:sz w:val="18"/>
                <w:szCs w:val="18"/>
              </w:rPr>
              <w:t xml:space="preserve">Fee Rate</w:t>
            </w:r>
          </w:p>
        </w:tc>
        <w:tc>
          <w:tcPr>
            <w:tcW w:type="dxa" w:w="328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Arial" w:cs="Arial" w:eastAsia="Arial" w:hAnsi="Arial"/>
                <w:b/>
                <w:bCs/>
                <w:color w:val="FFFFFF"/>
                <w:sz w:val="18"/>
                <w:szCs w:val="18"/>
              </w:rPr>
              <w:t xml:space="preserve">OP_RETURN (170 vB)</w:t>
            </w:r>
          </w:p>
        </w:tc>
        <w:tc>
          <w:tcPr>
            <w:tcW w:type="dxa" w:w="328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Arial" w:cs="Arial" w:eastAsia="Arial" w:hAnsi="Arial"/>
                <w:b/>
                <w:bCs/>
                <w:color w:val="FFFFFF"/>
                <w:sz w:val="18"/>
                <w:szCs w:val="18"/>
              </w:rPr>
              <w:t xml:space="preserve">P2TR (140 vB)</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2 sat/vB</w:t>
            </w:r>
          </w:p>
        </w:tc>
        <w:tc>
          <w:tcPr>
            <w:tcW w:type="dxa" w:w="32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$0.029</w:t>
            </w:r>
          </w:p>
        </w:tc>
        <w:tc>
          <w:tcPr>
            <w:tcW w:type="dxa" w:w="32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$0.024</w:t>
            </w:r>
          </w:p>
        </w:tc>
      </w:tr>
      <w:tr>
        <w:tc>
          <w:tcPr>
            <w:tcW w:type="dxa" w:w="280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b/>
                <w:bCs/>
                <w:sz w:val="18"/>
                <w:szCs w:val="18"/>
              </w:rPr>
              <w:t xml:space="preserve">5 sat/vB</w:t>
            </w:r>
          </w:p>
        </w:tc>
        <w:tc>
          <w:tcPr>
            <w:tcW w:type="dxa" w:w="328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sz w:val="18"/>
                <w:szCs w:val="18"/>
              </w:rPr>
              <w:t xml:space="preserve">$0.071</w:t>
            </w:r>
          </w:p>
        </w:tc>
        <w:tc>
          <w:tcPr>
            <w:tcW w:type="dxa" w:w="328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sz w:val="18"/>
                <w:szCs w:val="18"/>
              </w:rPr>
              <w:t xml:space="preserve">$0.059</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10 sat/vB</w:t>
            </w:r>
          </w:p>
        </w:tc>
        <w:tc>
          <w:tcPr>
            <w:tcW w:type="dxa" w:w="32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$0.143</w:t>
            </w:r>
          </w:p>
        </w:tc>
        <w:tc>
          <w:tcPr>
            <w:tcW w:type="dxa" w:w="32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$0.118</w:t>
            </w:r>
          </w:p>
        </w:tc>
      </w:tr>
      <w:tr>
        <w:tc>
          <w:tcPr>
            <w:tcW w:type="dxa" w:w="280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b/>
                <w:bCs/>
                <w:sz w:val="18"/>
                <w:szCs w:val="18"/>
              </w:rPr>
              <w:t xml:space="preserve">20 sat/vB</w:t>
            </w:r>
          </w:p>
        </w:tc>
        <w:tc>
          <w:tcPr>
            <w:tcW w:type="dxa" w:w="328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sz w:val="18"/>
                <w:szCs w:val="18"/>
              </w:rPr>
              <w:t xml:space="preserve">$0.286</w:t>
            </w:r>
          </w:p>
        </w:tc>
        <w:tc>
          <w:tcPr>
            <w:tcW w:type="dxa" w:w="328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sz w:val="18"/>
                <w:szCs w:val="18"/>
              </w:rPr>
              <w:t xml:space="preserve">$0.235</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50 sat/vB</w:t>
            </w:r>
          </w:p>
        </w:tc>
        <w:tc>
          <w:tcPr>
            <w:tcW w:type="dxa" w:w="32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$0.714</w:t>
            </w:r>
          </w:p>
        </w:tc>
        <w:tc>
          <w:tcPr>
            <w:tcW w:type="dxa" w:w="32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$0.588</w:t>
            </w:r>
          </w:p>
        </w:tc>
      </w:tr>
    </w:tbl>
    <w:p>
      <w:pPr>
        <w:spacing w:after="120"/>
      </w:pPr>
      <w:r>
        <w:rPr>
          <w:rFonts w:ascii="Arial" w:cs="Arial" w:eastAsia="Arial" w:hAnsi="Arial"/>
          <w:b/>
          <w:bCs/>
          <w:sz w:val="21"/>
          <w:szCs w:val="21"/>
        </w:rPr>
        <w:t xml:space="preserve">With Merkle batching (N documents per transaction):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Arial" w:cs="Arial" w:eastAsia="Arial" w:hAnsi="Arial"/>
                <w:b/>
                <w:bCs/>
                <w:color w:val="FFFFFF"/>
                <w:sz w:val="18"/>
                <w:szCs w:val="18"/>
              </w:rPr>
              <w:t xml:space="preserve">Fee Rate</w:t>
            </w:r>
          </w:p>
        </w:tc>
        <w:tc>
          <w:tcPr>
            <w:tcW w:type="dxa" w:w="234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Arial" w:cs="Arial" w:eastAsia="Arial" w:hAnsi="Arial"/>
                <w:b/>
                <w:bCs/>
                <w:color w:val="FFFFFF"/>
                <w:sz w:val="18"/>
                <w:szCs w:val="18"/>
              </w:rPr>
              <w:t xml:space="preserve">N=100</w:t>
            </w:r>
          </w:p>
        </w:tc>
        <w:tc>
          <w:tcPr>
            <w:tcW w:type="dxa" w:w="234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Arial" w:cs="Arial" w:eastAsia="Arial" w:hAnsi="Arial"/>
                <w:b/>
                <w:bCs/>
                <w:color w:val="FFFFFF"/>
                <w:sz w:val="18"/>
                <w:szCs w:val="18"/>
              </w:rPr>
              <w:t xml:space="preserve">N=1,000</w:t>
            </w:r>
          </w:p>
        </w:tc>
        <w:tc>
          <w:tcPr>
            <w:tcW w:type="dxa" w:w="234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Arial" w:cs="Arial" w:eastAsia="Arial" w:hAnsi="Arial"/>
                <w:b/>
                <w:bCs/>
                <w:color w:val="FFFFFF"/>
                <w:sz w:val="18"/>
                <w:szCs w:val="18"/>
              </w:rPr>
              <w:t xml:space="preserve">N=10,000</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2 sat/vB</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$0.00029</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$0.000029</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$0.0000029</w:t>
            </w:r>
          </w:p>
        </w:tc>
      </w:tr>
      <w:tr>
        <w:tc>
          <w:tcPr>
            <w:tcW w:type="dxa" w:w="234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b/>
                <w:bCs/>
                <w:sz w:val="18"/>
                <w:szCs w:val="18"/>
              </w:rPr>
              <w:t xml:space="preserve">5 sat/vB</w:t>
            </w:r>
          </w:p>
        </w:tc>
        <w:tc>
          <w:tcPr>
            <w:tcW w:type="dxa" w:w="234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sz w:val="18"/>
                <w:szCs w:val="18"/>
              </w:rPr>
              <w:t xml:space="preserve">$0.00071</w:t>
            </w:r>
          </w:p>
        </w:tc>
        <w:tc>
          <w:tcPr>
            <w:tcW w:type="dxa" w:w="234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sz w:val="18"/>
                <w:szCs w:val="18"/>
              </w:rPr>
              <w:t xml:space="preserve">$0.000071</w:t>
            </w:r>
          </w:p>
        </w:tc>
        <w:tc>
          <w:tcPr>
            <w:tcW w:type="dxa" w:w="234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sz w:val="18"/>
                <w:szCs w:val="18"/>
              </w:rPr>
              <w:t xml:space="preserve">$0.0000071</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10 sat/vB</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$0.00143</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$0.000143</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$0.0000143</w:t>
            </w:r>
          </w:p>
        </w:tc>
      </w:tr>
      <w:tr>
        <w:tc>
          <w:tcPr>
            <w:tcW w:type="dxa" w:w="234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b/>
                <w:bCs/>
                <w:sz w:val="18"/>
                <w:szCs w:val="18"/>
              </w:rPr>
              <w:t xml:space="preserve">20 sat/vB</w:t>
            </w:r>
          </w:p>
        </w:tc>
        <w:tc>
          <w:tcPr>
            <w:tcW w:type="dxa" w:w="234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sz w:val="18"/>
                <w:szCs w:val="18"/>
              </w:rPr>
              <w:t xml:space="preserve">$0.00286</w:t>
            </w:r>
          </w:p>
        </w:tc>
        <w:tc>
          <w:tcPr>
            <w:tcW w:type="dxa" w:w="234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sz w:val="18"/>
                <w:szCs w:val="18"/>
              </w:rPr>
              <w:t xml:space="preserve">$0.000286</w:t>
            </w:r>
          </w:p>
        </w:tc>
        <w:tc>
          <w:tcPr>
            <w:tcW w:type="dxa" w:w="234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sz w:val="18"/>
                <w:szCs w:val="18"/>
              </w:rPr>
              <w:t xml:space="preserve">$0.0000286</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50 sat/vB</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$0.00714</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$0.000714</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$0.0000714</w:t>
            </w:r>
          </w:p>
        </w:tc>
      </w:tr>
    </w:tbl>
    <w:p>
      <w:pPr>
        <w:pStyle w:val="Heading2"/>
        <w:spacing w:after="160" w:before="280"/>
      </w:pPr>
      <w:r>
        <w:rPr>
          <w:rFonts w:ascii="Arial" w:cs="Arial" w:eastAsia="Arial" w:hAnsi="Arial"/>
          <w:b/>
          <w:bCs/>
          <w:color w:val="2E75B6"/>
          <w:sz w:val="24"/>
          <w:szCs w:val="24"/>
        </w:rPr>
        <w:t xml:space="preserve">4.3 Annual Cost Projections</w:t>
      </w:r>
    </w:p>
    <w:p>
      <w:pPr>
        <w:spacing w:after="120"/>
      </w:pPr>
      <w:r>
        <w:rPr>
          <w:rFonts w:ascii="Arial" w:cs="Arial" w:eastAsia="Arial" w:hAnsi="Arial"/>
          <w:sz w:val="21"/>
          <w:szCs w:val="21"/>
        </w:rPr>
        <w:t xml:space="preserve">Assuming 10 sat/vB average (achievable by targeting weekend/off-peak broadcast) and OP_RETURN at 170 vB.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1500"/>
        <w:gridCol w:w="2180"/>
        <w:gridCol w:w="2180"/>
      </w:tblGrid>
      <w:tr>
        <w:tc>
          <w:tcPr>
            <w:tcW w:type="dxa" w:w="20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Arial" w:cs="Arial" w:eastAsia="Arial" w:hAnsi="Arial"/>
                <w:b/>
                <w:bCs/>
                <w:color w:val="FFFFFF"/>
                <w:sz w:val="18"/>
                <w:szCs w:val="18"/>
              </w:rPr>
              <w:t xml:space="preserve">Annual Volume</w:t>
            </w:r>
          </w:p>
        </w:tc>
        <w:tc>
          <w:tcPr>
            <w:tcW w:type="dxa" w:w="15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Arial" w:cs="Arial" w:eastAsia="Arial" w:hAnsi="Arial"/>
                <w:b/>
                <w:bCs/>
                <w:color w:val="FFFFFF"/>
                <w:sz w:val="18"/>
                <w:szCs w:val="18"/>
              </w:rPr>
              <w:t xml:space="preserve">Batch Size</w:t>
            </w:r>
          </w:p>
        </w:tc>
        <w:tc>
          <w:tcPr>
            <w:tcW w:type="dxa" w:w="15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Arial" w:cs="Arial" w:eastAsia="Arial" w:hAnsi="Arial"/>
                <w:b/>
                <w:bCs/>
                <w:color w:val="FFFFFF"/>
                <w:sz w:val="18"/>
                <w:szCs w:val="18"/>
              </w:rPr>
              <w:t xml:space="preserve">Txs/Year</w:t>
            </w:r>
          </w:p>
        </w:tc>
        <w:tc>
          <w:tcPr>
            <w:tcW w:type="dxa" w:w="218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Arial" w:cs="Arial" w:eastAsia="Arial" w:hAnsi="Arial"/>
                <w:b/>
                <w:bCs/>
                <w:color w:val="FFFFFF"/>
                <w:sz w:val="18"/>
                <w:szCs w:val="18"/>
              </w:rPr>
              <w:t xml:space="preserve">Annual BTC Cost</w:t>
            </w:r>
          </w:p>
        </w:tc>
        <w:tc>
          <w:tcPr>
            <w:tcW w:type="dxa" w:w="218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Arial" w:cs="Arial" w:eastAsia="Arial" w:hAnsi="Arial"/>
                <w:b/>
                <w:bCs/>
                <w:color w:val="FFFFFF"/>
                <w:sz w:val="18"/>
                <w:szCs w:val="18"/>
              </w:rPr>
              <w:t xml:space="preserve">Annual USD Cost</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1M anchors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100</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10,000</w:t>
            </w:r>
          </w:p>
        </w:tc>
        <w:tc>
          <w:tcPr>
            <w:tcW w:type="dxa" w:w="21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0.0170 BTC</w:t>
            </w:r>
          </w:p>
        </w:tc>
        <w:tc>
          <w:tcPr>
            <w:tcW w:type="dxa" w:w="21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$1,428</w:t>
            </w:r>
          </w:p>
        </w:tc>
      </w:tr>
      <w:tr>
        <w:tc>
          <w:tcPr>
            <w:tcW w:type="dxa" w:w="200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b/>
                <w:bCs/>
                <w:sz w:val="18"/>
                <w:szCs w:val="18"/>
              </w:rPr>
              <w:t xml:space="preserve">1M anchors</w:t>
            </w:r>
          </w:p>
        </w:tc>
        <w:tc>
          <w:tcPr>
            <w:tcW w:type="dxa" w:w="150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sz w:val="18"/>
                <w:szCs w:val="18"/>
              </w:rPr>
              <w:t xml:space="preserve">1,000</w:t>
            </w:r>
          </w:p>
        </w:tc>
        <w:tc>
          <w:tcPr>
            <w:tcW w:type="dxa" w:w="150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sz w:val="18"/>
                <w:szCs w:val="18"/>
              </w:rPr>
              <w:t xml:space="preserve">1,000</w:t>
            </w:r>
          </w:p>
        </w:tc>
        <w:tc>
          <w:tcPr>
            <w:tcW w:type="dxa" w:w="218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sz w:val="18"/>
                <w:szCs w:val="18"/>
              </w:rPr>
              <w:t xml:space="preserve">0.0017 BTC</w:t>
            </w:r>
          </w:p>
        </w:tc>
        <w:tc>
          <w:tcPr>
            <w:tcW w:type="dxa" w:w="218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sz w:val="18"/>
                <w:szCs w:val="18"/>
              </w:rPr>
              <w:t xml:space="preserve">$143</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10M anchors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1,000</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10,000</w:t>
            </w:r>
          </w:p>
        </w:tc>
        <w:tc>
          <w:tcPr>
            <w:tcW w:type="dxa" w:w="21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0.0170 BTC</w:t>
            </w:r>
          </w:p>
        </w:tc>
        <w:tc>
          <w:tcPr>
            <w:tcW w:type="dxa" w:w="21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$1,428</w:t>
            </w:r>
          </w:p>
        </w:tc>
      </w:tr>
      <w:tr>
        <w:tc>
          <w:tcPr>
            <w:tcW w:type="dxa" w:w="200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b/>
                <w:bCs/>
                <w:sz w:val="18"/>
                <w:szCs w:val="18"/>
              </w:rPr>
              <w:t xml:space="preserve">10M anchors</w:t>
            </w:r>
          </w:p>
        </w:tc>
        <w:tc>
          <w:tcPr>
            <w:tcW w:type="dxa" w:w="150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sz w:val="18"/>
                <w:szCs w:val="18"/>
              </w:rPr>
              <w:t xml:space="preserve">10,000</w:t>
            </w:r>
          </w:p>
        </w:tc>
        <w:tc>
          <w:tcPr>
            <w:tcW w:type="dxa" w:w="150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sz w:val="18"/>
                <w:szCs w:val="18"/>
              </w:rPr>
              <w:t xml:space="preserve">1,000</w:t>
            </w:r>
          </w:p>
        </w:tc>
        <w:tc>
          <w:tcPr>
            <w:tcW w:type="dxa" w:w="218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sz w:val="18"/>
                <w:szCs w:val="18"/>
              </w:rPr>
              <w:t xml:space="preserve">0.0017 BTC</w:t>
            </w:r>
          </w:p>
        </w:tc>
        <w:tc>
          <w:tcPr>
            <w:tcW w:type="dxa" w:w="218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sz w:val="18"/>
                <w:szCs w:val="18"/>
              </w:rPr>
              <w:t xml:space="preserve">$143</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100M anchors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10,000</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10,000</w:t>
            </w:r>
          </w:p>
        </w:tc>
        <w:tc>
          <w:tcPr>
            <w:tcW w:type="dxa" w:w="21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0.0170 BTC</w:t>
            </w:r>
          </w:p>
        </w:tc>
        <w:tc>
          <w:tcPr>
            <w:tcW w:type="dxa" w:w="21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$1,428</w:t>
            </w:r>
          </w:p>
        </w:tc>
      </w:tr>
      <w:tr>
        <w:tc>
          <w:tcPr>
            <w:tcW w:type="dxa" w:w="200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b/>
                <w:bCs/>
                <w:sz w:val="18"/>
                <w:szCs w:val="18"/>
              </w:rPr>
              <w:t xml:space="preserve">100M anchors</w:t>
            </w:r>
          </w:p>
        </w:tc>
        <w:tc>
          <w:tcPr>
            <w:tcW w:type="dxa" w:w="150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sz w:val="18"/>
                <w:szCs w:val="18"/>
              </w:rPr>
              <w:t xml:space="preserve">100,000</w:t>
            </w:r>
          </w:p>
        </w:tc>
        <w:tc>
          <w:tcPr>
            <w:tcW w:type="dxa" w:w="150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sz w:val="18"/>
                <w:szCs w:val="18"/>
              </w:rPr>
              <w:t xml:space="preserve">1,000</w:t>
            </w:r>
          </w:p>
        </w:tc>
        <w:tc>
          <w:tcPr>
            <w:tcW w:type="dxa" w:w="218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sz w:val="18"/>
                <w:szCs w:val="18"/>
              </w:rPr>
              <w:t xml:space="preserve">0.0017 BTC</w:t>
            </w:r>
          </w:p>
        </w:tc>
        <w:tc>
          <w:tcPr>
            <w:tcW w:type="dxa" w:w="218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sz w:val="18"/>
                <w:szCs w:val="18"/>
              </w:rPr>
              <w:t xml:space="preserve">$143</w:t>
            </w:r>
          </w:p>
        </w:tc>
      </w:tr>
    </w:tbl>
    <w:p>
      <w:pPr>
        <w:spacing w:after="120"/>
      </w:pPr>
      <w:r>
        <w:rPr>
          <w:rFonts w:ascii="Arial" w:cs="Arial" w:eastAsia="Arial" w:hAnsi="Arial"/>
          <w:i/>
          <w:iCs/>
          <w:sz w:val="21"/>
          <w:szCs w:val="21"/>
        </w:rPr>
        <w:t xml:space="preserve">The key insight: with sufficient batching, Bitcoin anchoring costs are negligible at any volume. The dominant cost becomes infrastructure (KMS, storage, compute) not on-chain fees.</w:t>
      </w:r>
    </w:p>
    <w:p>
      <w:pPr>
        <w:pStyle w:val="Heading2"/>
        <w:spacing w:after="160" w:before="280"/>
      </w:pPr>
      <w:r>
        <w:rPr>
          <w:rFonts w:ascii="Arial" w:cs="Arial" w:eastAsia="Arial" w:hAnsi="Arial"/>
          <w:b/>
          <w:bCs/>
          <w:color w:val="2E75B6"/>
          <w:sz w:val="24"/>
          <w:szCs w:val="24"/>
        </w:rPr>
        <w:t xml:space="preserve">4.4 Latency vs. Cost Tradeoff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680"/>
        <w:gridCol w:w="2680"/>
      </w:tblGrid>
      <w:tr>
        <w:tc>
          <w:tcPr>
            <w:tcW w:type="dxa" w:w="20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Arial" w:cs="Arial" w:eastAsia="Arial" w:hAnsi="Arial"/>
                <w:b/>
                <w:bCs/>
                <w:color w:val="FFFFFF"/>
                <w:sz w:val="18"/>
                <w:szCs w:val="18"/>
              </w:rPr>
              <w:t xml:space="preserve">Batch Interval</w:t>
            </w:r>
          </w:p>
        </w:tc>
        <w:tc>
          <w:tcPr>
            <w:tcW w:type="dxa" w:w="20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Arial" w:cs="Arial" w:eastAsia="Arial" w:hAnsi="Arial"/>
                <w:b/>
                <w:bCs/>
                <w:color w:val="FFFFFF"/>
                <w:sz w:val="18"/>
                <w:szCs w:val="18"/>
              </w:rPr>
              <w:t xml:space="preserve">Typical Batch Size</w:t>
            </w:r>
          </w:p>
        </w:tc>
        <w:tc>
          <w:tcPr>
            <w:tcW w:type="dxa" w:w="268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Arial" w:cs="Arial" w:eastAsia="Arial" w:hAnsi="Arial"/>
                <w:b/>
                <w:bCs/>
                <w:color w:val="FFFFFF"/>
                <w:sz w:val="18"/>
                <w:szCs w:val="18"/>
              </w:rPr>
              <w:t xml:space="preserve">Cost/Anchor (10 sat/vB)</w:t>
            </w:r>
          </w:p>
        </w:tc>
        <w:tc>
          <w:tcPr>
            <w:tcW w:type="dxa" w:w="268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Arial" w:cs="Arial" w:eastAsia="Arial" w:hAnsi="Arial"/>
                <w:b/>
                <w:bCs/>
                <w:color w:val="FFFFFF"/>
                <w:sz w:val="18"/>
                <w:szCs w:val="18"/>
              </w:rPr>
              <w:t xml:space="preserve">Max Latency</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1 minute</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1-10</w:t>
            </w:r>
          </w:p>
        </w:tc>
        <w:tc>
          <w:tcPr>
            <w:tcW w:type="dxa" w:w="2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$0.014-$0.143</w:t>
            </w:r>
          </w:p>
        </w:tc>
        <w:tc>
          <w:tcPr>
            <w:tcW w:type="dxa" w:w="2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~11 min</w:t>
            </w:r>
          </w:p>
        </w:tc>
      </w:tr>
      <w:tr>
        <w:tc>
          <w:tcPr>
            <w:tcW w:type="dxa" w:w="200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b/>
                <w:bCs/>
                <w:sz w:val="18"/>
                <w:szCs w:val="18"/>
              </w:rPr>
              <w:t xml:space="preserve">10 minutes</w:t>
            </w:r>
          </w:p>
        </w:tc>
        <w:tc>
          <w:tcPr>
            <w:tcW w:type="dxa" w:w="200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sz w:val="18"/>
                <w:szCs w:val="18"/>
              </w:rPr>
              <w:t xml:space="preserve">10-100</w:t>
            </w:r>
          </w:p>
        </w:tc>
        <w:tc>
          <w:tcPr>
            <w:tcW w:type="dxa" w:w="268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sz w:val="18"/>
                <w:szCs w:val="18"/>
              </w:rPr>
              <w:t xml:space="preserve">$0.0014-$0.014</w:t>
            </w:r>
          </w:p>
        </w:tc>
        <w:tc>
          <w:tcPr>
            <w:tcW w:type="dxa" w:w="268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sz w:val="18"/>
                <w:szCs w:val="18"/>
              </w:rPr>
              <w:t xml:space="preserve">~20 min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1 hour</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100-1,000</w:t>
            </w:r>
          </w:p>
        </w:tc>
        <w:tc>
          <w:tcPr>
            <w:tcW w:type="dxa" w:w="2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$0.00014-$0.0014</w:t>
            </w:r>
          </w:p>
        </w:tc>
        <w:tc>
          <w:tcPr>
            <w:tcW w:type="dxa" w:w="2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~70 min</w:t>
            </w:r>
          </w:p>
        </w:tc>
      </w:tr>
      <w:tr>
        <w:tc>
          <w:tcPr>
            <w:tcW w:type="dxa" w:w="200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b/>
                <w:bCs/>
                <w:sz w:val="18"/>
                <w:szCs w:val="18"/>
              </w:rPr>
              <w:t xml:space="preserve">6 hours</w:t>
            </w:r>
          </w:p>
        </w:tc>
        <w:tc>
          <w:tcPr>
            <w:tcW w:type="dxa" w:w="200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sz w:val="18"/>
                <w:szCs w:val="18"/>
              </w:rPr>
              <w:t xml:space="preserve">1,000-10,000</w:t>
            </w:r>
          </w:p>
        </w:tc>
        <w:tc>
          <w:tcPr>
            <w:tcW w:type="dxa" w:w="268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sz w:val="18"/>
                <w:szCs w:val="18"/>
              </w:rPr>
              <w:t xml:space="preserve">$0.000014-$0.00014</w:t>
            </w:r>
          </w:p>
        </w:tc>
        <w:tc>
          <w:tcPr>
            <w:tcW w:type="dxa" w:w="268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sz w:val="18"/>
                <w:szCs w:val="18"/>
              </w:rPr>
              <w:t xml:space="preserve">~6.2 hours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24 hours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10,000-100,000</w:t>
            </w:r>
          </w:p>
        </w:tc>
        <w:tc>
          <w:tcPr>
            <w:tcW w:type="dxa" w:w="2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$0.0000014-$0.000014</w:t>
            </w:r>
          </w:p>
        </w:tc>
        <w:tc>
          <w:tcPr>
            <w:tcW w:type="dxa" w:w="2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~24.2 hours</w:t>
            </w:r>
          </w:p>
        </w:tc>
      </w:tr>
    </w:tbl>
    <w:p>
      <w:pPr>
        <w:spacing w:after="120"/>
      </w:pPr>
      <w:r>
        <w:rPr>
          <w:rFonts w:ascii="Arial" w:cs="Arial" w:eastAsia="Arial" w:hAnsi="Arial"/>
          <w:b/>
          <w:bCs/>
          <w:sz w:val="21"/>
          <w:szCs w:val="21"/>
        </w:rPr>
        <w:t xml:space="preserve">Recommendation: </w:t>
      </w:r>
      <w:r>
        <w:rPr>
          <w:rFonts w:ascii="Arial" w:cs="Arial" w:eastAsia="Arial" w:hAnsi="Arial"/>
          <w:sz w:val="21"/>
          <w:szCs w:val="21"/>
        </w:rPr>
        <w:t xml:space="preserve">Default to 10-minute batch intervals. Credentials don’t need sub-minute anchoring — a 20-minute end-to-end latency is acceptable for virtually all credential verification use cases. Offer configurable intervals for enterprise customers who want faster anchoring.</w:t>
      </w:r>
    </w:p>
    <w:p>
      <w:pPr>
        <w:pStyle w:val="Heading2"/>
        <w:spacing w:after="160" w:before="280"/>
      </w:pPr>
      <w:r>
        <w:rPr>
          <w:rFonts w:ascii="Arial" w:cs="Arial" w:eastAsia="Arial" w:hAnsi="Arial"/>
          <w:b/>
          <w:bCs/>
          <w:color w:val="2E75B6"/>
          <w:sz w:val="24"/>
          <w:szCs w:val="24"/>
        </w:rPr>
        <w:t xml:space="preserve">4.5 Fee Optimization Strategy</w:t>
      </w:r>
    </w:p>
    <w:p>
      <w:pPr>
        <w:spacing w:after="120"/>
      </w:pPr>
      <w:r>
        <w:rPr>
          <w:rFonts w:ascii="Arial" w:cs="Arial" w:eastAsia="Arial" w:hAnsi="Arial"/>
          <w:b/>
          <w:bCs/>
          <w:sz w:val="21"/>
          <w:szCs w:val="21"/>
        </w:rPr>
        <w:t xml:space="preserve">Weekend targeting. </w:t>
      </w:r>
      <w:r>
        <w:rPr>
          <w:rFonts w:ascii="Arial" w:cs="Arial" w:eastAsia="Arial" w:hAnsi="Arial"/>
          <w:sz w:val="21"/>
          <w:szCs w:val="21"/>
        </w:rPr>
        <w:t xml:space="preserve">Fees are consistently 47% lower on Saturdays vs. Tuesday/Wednesday. For batch anchoring where 24-hour latency is acceptable, accumulate during the week and broadcast Saturday afternoon UTC.</w:t>
      </w:r>
    </w:p>
    <w:p>
      <w:pPr>
        <w:spacing w:after="120"/>
      </w:pPr>
      <w:r>
        <w:rPr>
          <w:rFonts w:ascii="Arial" w:cs="Arial" w:eastAsia="Arial" w:hAnsi="Arial"/>
          <w:b/>
          <w:bCs/>
          <w:sz w:val="21"/>
          <w:szCs w:val="21"/>
        </w:rPr>
        <w:t xml:space="preserve">Time-of-day targeting. </w:t>
      </w:r>
      <w:r>
        <w:rPr>
          <w:rFonts w:ascii="Arial" w:cs="Arial" w:eastAsia="Arial" w:hAnsi="Arial"/>
          <w:sz w:val="21"/>
          <w:szCs w:val="21"/>
        </w:rPr>
        <w:t xml:space="preserve">Late night / early morning EST (when US and EU markets are quiet) typically sees 2-3 sat/vB vs. 5+ during business hours.</w:t>
      </w:r>
    </w:p>
    <w:p>
      <w:pPr>
        <w:spacing w:after="120"/>
      </w:pPr>
      <w:r>
        <w:rPr>
          <w:rFonts w:ascii="Arial" w:cs="Arial" w:eastAsia="Arial" w:hAnsi="Arial"/>
          <w:b/>
          <w:bCs/>
          <w:sz w:val="21"/>
          <w:szCs w:val="21"/>
        </w:rPr>
        <w:t xml:space="preserve">RBF-first approach. </w:t>
      </w:r>
      <w:r>
        <w:rPr>
          <w:rFonts w:ascii="Arial" w:cs="Arial" w:eastAsia="Arial" w:hAnsi="Arial"/>
          <w:sz w:val="21"/>
          <w:szCs w:val="21"/>
        </w:rPr>
        <w:t xml:space="preserve">Broadcast at low fee rate (1-2 sat/vB). If not confirmed within target window, bump via RBF. This captures the frequent “near-free block” opportunities while maintaining a confirmation ceiling.</w:t>
      </w:r>
    </w:p>
    <w:p>
      <w:pPr>
        <w:spacing w:after="120"/>
      </w:pPr>
      <w:r>
        <w:rPr>
          <w:rFonts w:ascii="Arial" w:cs="Arial" w:eastAsia="Arial" w:hAnsi="Arial"/>
          <w:b/>
          <w:bCs/>
          <w:sz w:val="21"/>
          <w:szCs w:val="21"/>
        </w:rPr>
        <w:t xml:space="preserve">UTXO consolidation. </w:t>
      </w:r>
      <w:r>
        <w:rPr>
          <w:rFonts w:ascii="Arial" w:cs="Arial" w:eastAsia="Arial" w:hAnsi="Arial"/>
          <w:sz w:val="21"/>
          <w:szCs w:val="21"/>
        </w:rPr>
        <w:t xml:space="preserve">Periodically consolidate small change UTXOs during low-fee periods to maintain a clean UTXO set for the fee account.</w:t>
      </w:r>
    </w:p>
    <w:p>
      <w:r>
        <w:br w:type="page"/>
      </w:r>
    </w:p>
    <w:p>
      <w:pPr>
        <w:pStyle w:val="Heading1"/>
        <w:spacing w:after="200" w:before="360"/>
      </w:pPr>
      <w:r>
        <w:rPr>
          <w:rFonts w:ascii="Arial" w:cs="Arial" w:eastAsia="Arial" w:hAnsi="Arial"/>
          <w:b/>
          <w:bCs/>
          <w:color w:val="1B2A4A"/>
          <w:sz w:val="28"/>
          <w:szCs w:val="28"/>
        </w:rPr>
        <w:t xml:space="preserve">5. Competitive Positioning</w:t>
      </w:r>
    </w:p>
    <w:p>
      <w:pPr>
        <w:pStyle w:val="Heading2"/>
        <w:spacing w:after="160" w:before="280"/>
      </w:pPr>
      <w:r>
        <w:rPr>
          <w:rFonts w:ascii="Arial" w:cs="Arial" w:eastAsia="Arial" w:hAnsi="Arial"/>
          <w:b/>
          <w:bCs/>
          <w:color w:val="2E75B6"/>
          <w:sz w:val="24"/>
          <w:szCs w:val="24"/>
        </w:rPr>
        <w:t xml:space="preserve">5.1 OpenTimestamps</w:t>
      </w:r>
    </w:p>
    <w:p>
      <w:pPr>
        <w:spacing w:after="120"/>
      </w:pPr>
      <w:r>
        <w:rPr>
          <w:rFonts w:ascii="Arial" w:cs="Arial" w:eastAsia="Arial" w:hAnsi="Arial"/>
          <w:b/>
          <w:bCs/>
          <w:sz w:val="21"/>
          <w:szCs w:val="21"/>
        </w:rPr>
        <w:t xml:space="preserve">How it works: </w:t>
      </w:r>
      <w:r>
        <w:rPr>
          <w:rFonts w:ascii="Arial" w:cs="Arial" w:eastAsia="Arial" w:hAnsi="Arial"/>
          <w:sz w:val="21"/>
          <w:szCs w:val="21"/>
        </w:rPr>
        <w:t xml:space="preserve">Client hashes data locally. Calendar servers aggregate hashes into Merkle trees. One Bitcoin transaction per batch. Free, open-source, maintained by Peter Todd.</w:t>
      </w:r>
    </w:p>
    <w:p>
      <w:pPr>
        <w:spacing w:after="120"/>
      </w:pPr>
      <w:r>
        <w:rPr>
          <w:rFonts w:ascii="Arial" w:cs="Arial" w:eastAsia="Arial" w:hAnsi="Arial"/>
          <w:b/>
          <w:bCs/>
          <w:sz w:val="21"/>
          <w:szCs w:val="21"/>
        </w:rPr>
        <w:t xml:space="preserve">Why Arkova rejected it: </w:t>
      </w:r>
      <w:r>
        <w:rPr>
          <w:rFonts w:ascii="Arial" w:cs="Arial" w:eastAsia="Arial" w:hAnsi="Arial"/>
          <w:sz w:val="21"/>
          <w:szCs w:val="21"/>
        </w:rPr>
        <w:t xml:space="preserve">Calendar server dependency. The initial proof requires the calendar server to be online and cooperating. Proofs can be “upgraded” to be self-contained after Bitcoin confirmation, but the initial dependency introduces a trust/availability assumption.</w:t>
      </w:r>
    </w:p>
    <w:p>
      <w:pPr>
        <w:spacing w:after="120"/>
      </w:pPr>
      <w:r>
        <w:rPr>
          <w:rFonts w:ascii="Arial" w:cs="Arial" w:eastAsia="Arial" w:hAnsi="Arial"/>
          <w:b/>
          <w:bCs/>
          <w:sz w:val="21"/>
          <w:szCs w:val="21"/>
        </w:rPr>
        <w:t xml:space="preserve">What Arkova should learn from it:</w:t>
      </w:r>
    </w:p>
    <w:p>
      <w:pPr>
        <w:pStyle w:val="ListParagraph"/>
        <w:numPr>
          <w:ilvl w:val="0"/>
          <w:numId w:val="2"/>
        </w:numPr>
        <w:spacing w:after="80"/>
      </w:pPr>
      <w:r>
        <w:rPr>
          <w:rFonts w:ascii="Arial" w:cs="Arial" w:eastAsia="Arial" w:hAnsi="Arial"/>
          <w:sz w:val="21"/>
          <w:szCs w:val="21"/>
        </w:rPr>
        <w:t xml:space="preserve">OTS’s Merkle tree aggregation model is the right cost architecture — adopt the batching pattern.</w:t>
      </w:r>
    </w:p>
    <w:p>
      <w:pPr>
        <w:pStyle w:val="ListParagraph"/>
        <w:numPr>
          <w:ilvl w:val="0"/>
          <w:numId w:val="2"/>
        </w:numPr>
        <w:spacing w:after="80"/>
      </w:pPr>
      <w:r>
        <w:rPr>
          <w:rFonts w:ascii="Arial" w:cs="Arial" w:eastAsia="Arial" w:hAnsi="Arial"/>
          <w:sz w:val="21"/>
          <w:szCs w:val="21"/>
        </w:rPr>
        <w:t xml:space="preserve">OTS’s proof format (.ots files) is well-designed: compact, self-contained after upgrade, includes the full verification path. Arkova’s proof format should be at least as good.</w:t>
      </w:r>
    </w:p>
    <w:p>
      <w:pPr>
        <w:pStyle w:val="ListParagraph"/>
        <w:numPr>
          <w:ilvl w:val="0"/>
          <w:numId w:val="2"/>
        </w:numPr>
        <w:spacing w:after="80"/>
      </w:pPr>
      <w:r>
        <w:rPr>
          <w:rFonts w:ascii="Arial" w:cs="Arial" w:eastAsia="Arial" w:hAnsi="Arial"/>
          <w:sz w:val="21"/>
          <w:szCs w:val="21"/>
        </w:rPr>
        <w:t xml:space="preserve">OTS’s multi-layer Merkle tree approach (trees of trees) enables sub-second aggregation latency while maintaining batch economics. Worth studying for Arkova’s batch scheduler.</w:t>
      </w:r>
    </w:p>
    <w:p>
      <w:pPr>
        <w:spacing w:after="120"/>
      </w:pPr>
      <w:r>
        <w:rPr>
          <w:rFonts w:ascii="Arial" w:cs="Arial" w:eastAsia="Arial" w:hAnsi="Arial"/>
          <w:b/>
          <w:bCs/>
          <w:sz w:val="21"/>
          <w:szCs w:val="21"/>
        </w:rPr>
        <w:t xml:space="preserve">Arkova’s differentiation: </w:t>
      </w:r>
      <w:r>
        <w:rPr>
          <w:rFonts w:ascii="Arial" w:cs="Arial" w:eastAsia="Arial" w:hAnsi="Arial"/>
          <w:sz w:val="21"/>
          <w:szCs w:val="21"/>
        </w:rPr>
        <w:t xml:space="preserve">Direct anchoring (no calendar server dependency), AWS KMS key management (enterprise-grade), credential-specific metadata in proofs, SLA-backed service vs. community-run calendars.</w:t>
      </w:r>
    </w:p>
    <w:p>
      <w:pPr>
        <w:pStyle w:val="Heading2"/>
        <w:spacing w:after="160" w:before="280"/>
      </w:pPr>
      <w:r>
        <w:rPr>
          <w:rFonts w:ascii="Arial" w:cs="Arial" w:eastAsia="Arial" w:hAnsi="Arial"/>
          <w:b/>
          <w:bCs/>
          <w:color w:val="2E75B6"/>
          <w:sz w:val="24"/>
          <w:szCs w:val="24"/>
        </w:rPr>
        <w:t xml:space="preserve">5.2 OriginStamp</w:t>
      </w:r>
    </w:p>
    <w:p>
      <w:pPr>
        <w:spacing w:after="120"/>
      </w:pPr>
      <w:r>
        <w:rPr>
          <w:rFonts w:ascii="Arial" w:cs="Arial" w:eastAsia="Arial" w:hAnsi="Arial"/>
          <w:b/>
          <w:bCs/>
          <w:sz w:val="21"/>
          <w:szCs w:val="21"/>
        </w:rPr>
        <w:t xml:space="preserve">How it works: </w:t>
      </w:r>
      <w:r>
        <w:rPr>
          <w:rFonts w:ascii="Arial" w:cs="Arial" w:eastAsia="Arial" w:hAnsi="Arial"/>
          <w:sz w:val="21"/>
          <w:szCs w:val="21"/>
        </w:rPr>
        <w:t xml:space="preserve">Hashes data, anchors to Bitcoin (and Ethereum) via Merkle trees. Novel approach: treats Merkle root as a Bitcoin private key, sending funds to the resulting address. Active since 2013, millions of proofs generated.</w:t>
      </w:r>
    </w:p>
    <w:p>
      <w:pPr>
        <w:spacing w:after="120"/>
      </w:pPr>
      <w:r>
        <w:rPr>
          <w:rFonts w:ascii="Arial" w:cs="Arial" w:eastAsia="Arial" w:hAnsi="Arial"/>
          <w:b/>
          <w:bCs/>
          <w:sz w:val="21"/>
          <w:szCs w:val="21"/>
        </w:rPr>
        <w:t xml:space="preserve">Competitive position: </w:t>
      </w:r>
      <w:r>
        <w:rPr>
          <w:rFonts w:ascii="Arial" w:cs="Arial" w:eastAsia="Arial" w:hAnsi="Arial"/>
          <w:sz w:val="21"/>
          <w:szCs w:val="21"/>
        </w:rPr>
        <w:t xml:space="preserve">OriginStamp is the closest direct competitor. They’re actively marketing anti-deepfake use cases (dashcam evidence, legal/insurance). Enterprise/academic adoption.</w:t>
      </w:r>
    </w:p>
    <w:p>
      <w:pPr>
        <w:spacing w:after="120"/>
      </w:pPr>
      <w:r>
        <w:rPr>
          <w:rFonts w:ascii="Arial" w:cs="Arial" w:eastAsia="Arial" w:hAnsi="Arial"/>
          <w:b/>
          <w:bCs/>
          <w:sz w:val="21"/>
          <w:szCs w:val="21"/>
        </w:rPr>
        <w:t xml:space="preserve">Arkova’s differentiation: </w:t>
      </w:r>
      <w:r>
        <w:rPr>
          <w:rFonts w:ascii="Arial" w:cs="Arial" w:eastAsia="Arial" w:hAnsi="Arial"/>
          <w:sz w:val="21"/>
          <w:szCs w:val="21"/>
        </w:rPr>
        <w:t xml:space="preserve">Arkova is credential-specific (not generic timestamping). The credential anchoring use case has different requirements: revocation support, schema binding, issuer identity binding. OriginStamp timestamps arbitrary data; Arkova anchors structured credentials with lifecycle management.</w:t>
      </w:r>
    </w:p>
    <w:p>
      <w:pPr>
        <w:pStyle w:val="Heading2"/>
        <w:spacing w:after="160" w:before="280"/>
      </w:pPr>
      <w:r>
        <w:rPr>
          <w:rFonts w:ascii="Arial" w:cs="Arial" w:eastAsia="Arial" w:hAnsi="Arial"/>
          <w:b/>
          <w:bCs/>
          <w:color w:val="2E75B6"/>
          <w:sz w:val="24"/>
          <w:szCs w:val="24"/>
        </w:rPr>
        <w:t xml:space="preserve">5.3 Chainpoint / Tierion</w:t>
      </w:r>
    </w:p>
    <w:p>
      <w:pPr>
        <w:spacing w:after="120"/>
      </w:pPr>
      <w:r>
        <w:rPr>
          <w:rFonts w:ascii="Arial" w:cs="Arial" w:eastAsia="Arial" w:hAnsi="Arial"/>
          <w:b/>
          <w:bCs/>
          <w:sz w:val="21"/>
          <w:szCs w:val="21"/>
        </w:rPr>
        <w:t xml:space="preserve">Status: </w:t>
      </w:r>
      <w:r>
        <w:rPr>
          <w:rFonts w:ascii="Arial" w:cs="Arial" w:eastAsia="Arial" w:hAnsi="Arial"/>
          <w:sz w:val="21"/>
          <w:szCs w:val="21"/>
        </w:rPr>
        <w:t xml:space="preserve">Effectively dead as an independent project. Tierion was acquired by IPwe in October 2021. The protocol spec exists but active development has stalled. Microsoft’s Chainpoint connector is deprecated.</w:t>
      </w:r>
    </w:p>
    <w:p>
      <w:pPr>
        <w:spacing w:after="120"/>
      </w:pPr>
      <w:r>
        <w:rPr>
          <w:rFonts w:ascii="Arial" w:cs="Arial" w:eastAsia="Arial" w:hAnsi="Arial"/>
          <w:b/>
          <w:bCs/>
          <w:sz w:val="21"/>
          <w:szCs w:val="21"/>
        </w:rPr>
        <w:t xml:space="preserve">Lesson for Arkova: </w:t>
      </w:r>
      <w:r>
        <w:rPr>
          <w:rFonts w:ascii="Arial" w:cs="Arial" w:eastAsia="Arial" w:hAnsi="Arial"/>
          <w:sz w:val="21"/>
          <w:szCs w:val="21"/>
        </w:rPr>
        <w:t xml:space="preserve">Don’t build on protocols maintained by a single company. Arkova’s anchoring layer should be self-contained — no dependency on external infrastructure that could be acquired, sunset, or pivoted.</w:t>
      </w:r>
    </w:p>
    <w:p>
      <w:pPr>
        <w:pStyle w:val="Heading2"/>
        <w:spacing w:after="160" w:before="280"/>
      </w:pPr>
      <w:r>
        <w:rPr>
          <w:rFonts w:ascii="Arial" w:cs="Arial" w:eastAsia="Arial" w:hAnsi="Arial"/>
          <w:b/>
          <w:bCs/>
          <w:color w:val="2E75B6"/>
          <w:sz w:val="24"/>
          <w:szCs w:val="24"/>
        </w:rPr>
        <w:t xml:space="preserve">5.4 Proof of Existence</w:t>
      </w:r>
    </w:p>
    <w:p>
      <w:pPr>
        <w:spacing w:after="120"/>
      </w:pPr>
      <w:r>
        <w:rPr>
          <w:rFonts w:ascii="Arial" w:cs="Arial" w:eastAsia="Arial" w:hAnsi="Arial"/>
          <w:b/>
          <w:bCs/>
          <w:sz w:val="21"/>
          <w:szCs w:val="21"/>
        </w:rPr>
        <w:t xml:space="preserve">Status: </w:t>
      </w:r>
      <w:r>
        <w:rPr>
          <w:rFonts w:ascii="Arial" w:cs="Arial" w:eastAsia="Arial" w:hAnsi="Arial"/>
          <w:sz w:val="21"/>
          <w:szCs w:val="21"/>
        </w:rPr>
        <w:t xml:space="preserve">Still operational. The original Bitcoin timestamping service. Simple: one hash, one OP_RETURN, one transaction.</w:t>
      </w:r>
    </w:p>
    <w:p>
      <w:pPr>
        <w:spacing w:after="120"/>
      </w:pPr>
      <w:r>
        <w:rPr>
          <w:rFonts w:ascii="Arial" w:cs="Arial" w:eastAsia="Arial" w:hAnsi="Arial"/>
          <w:b/>
          <w:bCs/>
          <w:sz w:val="21"/>
          <w:szCs w:val="21"/>
        </w:rPr>
        <w:t xml:space="preserve">Lesson for Arkova: </w:t>
      </w:r>
      <w:r>
        <w:rPr>
          <w:rFonts w:ascii="Arial" w:cs="Arial" w:eastAsia="Arial" w:hAnsi="Arial"/>
          <w:sz w:val="21"/>
          <w:szCs w:val="21"/>
        </w:rPr>
        <w:t xml:space="preserve">Simplicity is a feature. Proof of Existence has survived 10+ years precisely because it’s trivial to verify. Arkova’s verification path should be similarly straightforward — don’t over-engineer the proof format.</w:t>
      </w:r>
    </w:p>
    <w:p>
      <w:pPr>
        <w:pStyle w:val="Heading2"/>
        <w:spacing w:after="160" w:before="280"/>
      </w:pPr>
      <w:r>
        <w:rPr>
          <w:rFonts w:ascii="Arial" w:cs="Arial" w:eastAsia="Arial" w:hAnsi="Arial"/>
          <w:b/>
          <w:bCs/>
          <w:color w:val="2E75B6"/>
          <w:sz w:val="24"/>
          <w:szCs w:val="24"/>
        </w:rPr>
        <w:t xml:space="preserve">5.5 Mainstay (CommerceBlock)</w:t>
      </w:r>
    </w:p>
    <w:p>
      <w:pPr>
        <w:spacing w:after="120"/>
      </w:pPr>
      <w:r>
        <w:rPr>
          <w:rFonts w:ascii="Arial" w:cs="Arial" w:eastAsia="Arial" w:hAnsi="Arial"/>
          <w:b/>
          <w:bCs/>
          <w:sz w:val="21"/>
          <w:szCs w:val="21"/>
        </w:rPr>
        <w:t xml:space="preserve">How it works: </w:t>
      </w:r>
      <w:r>
        <w:rPr>
          <w:rFonts w:ascii="Arial" w:cs="Arial" w:eastAsia="Arial" w:hAnsi="Arial"/>
          <w:sz w:val="21"/>
          <w:szCs w:val="21"/>
        </w:rPr>
        <w:t xml:space="preserve">Federated sidechain anchoring to Bitcoin. Creates a “staychain” — a chain of sequential commitments linked via UTXO chain. Merkle tree batching of multiple sidechain states. “Immutability-as-a-Service” model.</w:t>
      </w:r>
    </w:p>
    <w:p>
      <w:pPr>
        <w:spacing w:after="120"/>
      </w:pPr>
      <w:r>
        <w:rPr>
          <w:rFonts w:ascii="Arial" w:cs="Arial" w:eastAsia="Arial" w:hAnsi="Arial"/>
          <w:b/>
          <w:bCs/>
          <w:sz w:val="21"/>
          <w:szCs w:val="21"/>
        </w:rPr>
        <w:t xml:space="preserve">Status: </w:t>
      </w:r>
      <w:r>
        <w:rPr>
          <w:rFonts w:ascii="Arial" w:cs="Arial" w:eastAsia="Arial" w:hAnsi="Arial"/>
          <w:sz w:val="21"/>
          <w:szCs w:val="21"/>
        </w:rPr>
        <w:t xml:space="preserve">Protocol maintained but the parent project (Ocean sidechain) was shut down. CommerceBlock shifted focus to Mercury Layer (statechains).</w:t>
      </w:r>
    </w:p>
    <w:p>
      <w:pPr>
        <w:spacing w:after="120"/>
      </w:pPr>
      <w:r>
        <w:rPr>
          <w:rFonts w:ascii="Arial" w:cs="Arial" w:eastAsia="Arial" w:hAnsi="Arial"/>
          <w:b/>
          <w:bCs/>
          <w:sz w:val="21"/>
          <w:szCs w:val="21"/>
        </w:rPr>
        <w:t xml:space="preserve">Relevant pattern for Arkova: </w:t>
      </w:r>
      <w:r>
        <w:rPr>
          <w:rFonts w:ascii="Arial" w:cs="Arial" w:eastAsia="Arial" w:hAnsi="Arial"/>
          <w:sz w:val="21"/>
          <w:szCs w:val="21"/>
        </w:rPr>
        <w:t xml:space="preserve">The staychain concept (linking sequential anchoring transactions via UTXO chain) is interesting for creating an auditable history of Arkova’s anchoring operations. Each new batch transaction could spend an output from the previous batch, creating a verifiable chain of anchoring events.</w:t>
      </w:r>
    </w:p>
    <w:p>
      <w:pPr>
        <w:pStyle w:val="Heading2"/>
        <w:spacing w:after="160" w:before="280"/>
      </w:pPr>
      <w:r>
        <w:rPr>
          <w:rFonts w:ascii="Arial" w:cs="Arial" w:eastAsia="Arial" w:hAnsi="Arial"/>
          <w:b/>
          <w:bCs/>
          <w:color w:val="2E75B6"/>
          <w:sz w:val="24"/>
          <w:szCs w:val="24"/>
        </w:rPr>
        <w:t xml:space="preserve">5.6 RGB Protocol</w:t>
      </w:r>
    </w:p>
    <w:p>
      <w:pPr>
        <w:spacing w:after="120"/>
      </w:pPr>
      <w:r>
        <w:rPr>
          <w:rFonts w:ascii="Arial" w:cs="Arial" w:eastAsia="Arial" w:hAnsi="Arial"/>
          <w:b/>
          <w:bCs/>
          <w:sz w:val="21"/>
          <w:szCs w:val="21"/>
        </w:rPr>
        <w:t xml:space="preserve">How it works: </w:t>
      </w:r>
      <w:r>
        <w:rPr>
          <w:rFonts w:ascii="Arial" w:cs="Arial" w:eastAsia="Arial" w:hAnsi="Arial"/>
          <w:sz w:val="21"/>
          <w:szCs w:val="21"/>
        </w:rPr>
        <w:t xml:space="preserve">Client-side validated smart contracts on Bitcoin using Pay-to-Contract commitments. State is assigned to Bitcoin UTXOs via single-use seals. RGB v0.12 (July 2025) added zk-STARK support. Tether/USDT launched on Bitcoin via RGB in 2025.</w:t>
      </w:r>
    </w:p>
    <w:p>
      <w:pPr>
        <w:spacing w:after="120"/>
      </w:pPr>
      <w:r>
        <w:rPr>
          <w:rFonts w:ascii="Arial" w:cs="Arial" w:eastAsia="Arial" w:hAnsi="Arial"/>
          <w:b/>
          <w:bCs/>
          <w:sz w:val="21"/>
          <w:szCs w:val="21"/>
        </w:rPr>
        <w:t xml:space="preserve">Relevance to Arkova: </w:t>
      </w:r>
      <w:r>
        <w:rPr>
          <w:rFonts w:ascii="Arial" w:cs="Arial" w:eastAsia="Arial" w:hAnsi="Arial"/>
          <w:sz w:val="21"/>
          <w:szCs w:val="21"/>
        </w:rPr>
        <w:t xml:space="preserve">RGB’s P2C commitment scheme (LNPBP-1 standard) is the technical mechanism Arkova should adopt for Phase 2. The math is simple, well-specified, and production-tested at scale (USDT on Bitcoin).</w:t>
      </w:r>
    </w:p>
    <w:p>
      <w:pPr>
        <w:pStyle w:val="Heading2"/>
        <w:spacing w:after="160" w:before="280"/>
      </w:pPr>
      <w:r>
        <w:rPr>
          <w:rFonts w:ascii="Arial" w:cs="Arial" w:eastAsia="Arial" w:hAnsi="Arial"/>
          <w:b/>
          <w:bCs/>
          <w:color w:val="2E75B6"/>
          <w:sz w:val="24"/>
          <w:szCs w:val="24"/>
        </w:rPr>
        <w:t xml:space="preserve">5.7 Emerging Competitors (2025-2026)</w:t>
      </w:r>
    </w:p>
    <w:p>
      <w:pPr>
        <w:spacing w:after="120"/>
      </w:pPr>
      <w:r>
        <w:rPr>
          <w:rFonts w:ascii="Arial" w:cs="Arial" w:eastAsia="Arial" w:hAnsi="Arial"/>
          <w:b/>
          <w:bCs/>
          <w:sz w:val="21"/>
          <w:szCs w:val="21"/>
        </w:rPr>
        <w:t xml:space="preserve">NotariCoin: </w:t>
      </w:r>
      <w:r>
        <w:rPr>
          <w:rFonts w:ascii="Arial" w:cs="Arial" w:eastAsia="Arial" w:hAnsi="Arial"/>
          <w:sz w:val="21"/>
          <w:szCs w:val="21"/>
        </w:rPr>
        <w:t xml:space="preserve">Claims $0.00001 per document via multi-chain anchoring (Bitcoin, Ethereum, Solana, TON). Seed round expected Q4 2026. Targeting EU Digital Product Passport mandates.</w:t>
      </w:r>
    </w:p>
    <w:p>
      <w:pPr>
        <w:spacing w:after="120"/>
      </w:pPr>
      <w:r>
        <w:rPr>
          <w:rFonts w:ascii="Arial" w:cs="Arial" w:eastAsia="Arial" w:hAnsi="Arial"/>
          <w:b/>
          <w:bCs/>
          <w:sz w:val="21"/>
          <w:szCs w:val="21"/>
        </w:rPr>
        <w:t xml:space="preserve">IBM Digital Asset Haven (2025): </w:t>
      </w:r>
      <w:r>
        <w:rPr>
          <w:rFonts w:ascii="Arial" w:cs="Arial" w:eastAsia="Arial" w:hAnsi="Arial"/>
          <w:sz w:val="21"/>
          <w:szCs w:val="21"/>
        </w:rPr>
        <w:t xml:space="preserve">Full-stack digital asset orchestration. Enterprise positioning with compliance focus. Not a direct competitor to Arkova’s credential-specific use case.</w:t>
      </w:r>
    </w:p>
    <w:p>
      <w:pPr>
        <w:spacing w:after="120"/>
      </w:pPr>
      <w:r>
        <w:rPr>
          <w:rFonts w:ascii="Arial" w:cs="Arial" w:eastAsia="Arial" w:hAnsi="Arial"/>
          <w:b/>
          <w:bCs/>
          <w:sz w:val="21"/>
          <w:szCs w:val="21"/>
        </w:rPr>
        <w:t xml:space="preserve">ByteStamp: </w:t>
      </w:r>
      <w:r>
        <w:rPr>
          <w:rFonts w:ascii="Arial" w:cs="Arial" w:eastAsia="Arial" w:hAnsi="Arial"/>
          <w:sz w:val="21"/>
          <w:szCs w:val="21"/>
        </w:rPr>
        <w:t xml:space="preserve">Double-blockchain notarization. Niche but validates the multi-chain anchoring trend.</w:t>
      </w:r>
    </w:p>
    <w:p>
      <w:pPr>
        <w:pStyle w:val="Heading2"/>
        <w:spacing w:after="160" w:before="280"/>
      </w:pPr>
      <w:r>
        <w:rPr>
          <w:rFonts w:ascii="Arial" w:cs="Arial" w:eastAsia="Arial" w:hAnsi="Arial"/>
          <w:b/>
          <w:bCs/>
          <w:color w:val="2E75B6"/>
          <w:sz w:val="24"/>
          <w:szCs w:val="24"/>
        </w:rPr>
        <w:t xml:space="preserve">5.8 Positioning Summary</w:t>
      </w:r>
    </w:p>
    <w:p>
      <w:pPr>
        <w:spacing w:after="120"/>
      </w:pPr>
      <w:r>
        <w:rPr>
          <w:rFonts w:ascii="Arial" w:cs="Arial" w:eastAsia="Arial" w:hAnsi="Arial"/>
          <w:b/>
          <w:bCs/>
          <w:sz w:val="21"/>
          <w:szCs w:val="21"/>
        </w:rPr>
        <w:t xml:space="preserve">Arkova occupies a defensible niche: credential-specific anchoring with enterprise key management. </w:t>
      </w:r>
      <w:r>
        <w:rPr>
          <w:rFonts w:ascii="Arial" w:cs="Arial" w:eastAsia="Arial" w:hAnsi="Arial"/>
          <w:sz w:val="21"/>
          <w:szCs w:val="21"/>
        </w:rPr>
        <w:t xml:space="preserve">The generic timestamping market (OriginStamp, OpenTimestamps) serves a different buyer. Arkova’s moat is the credential lifecycle integration — anchoring is one component of a larger credential platform, not a standalone service.</w:t>
      </w:r>
    </w:p>
    <w:p>
      <w:pPr>
        <w:spacing w:after="120"/>
      </w:pPr>
      <w:r>
        <w:rPr>
          <w:rFonts w:ascii="Arial" w:cs="Arial" w:eastAsia="Arial" w:hAnsi="Arial"/>
          <w:sz w:val="21"/>
          <w:szCs w:val="21"/>
        </w:rPr>
        <w:t xml:space="preserve">The risk is commoditization of the anchoring layer. Mitigate by: (1) making anchoring proofs deeply integrated with Arkova’s credential format, (2) offering verification SDKs that abstract the Bitcoin proof verification, and (3) pursuing regulatory qualification (eIDAS Electronic Ledger) that smaller competitors can’t afford.</w:t>
      </w:r>
    </w:p>
    <w:p>
      <w:r>
        <w:br w:type="page"/>
      </w:r>
    </w:p>
    <w:p>
      <w:pPr>
        <w:pStyle w:val="Heading1"/>
        <w:spacing w:after="200" w:before="360"/>
      </w:pPr>
      <w:r>
        <w:rPr>
          <w:rFonts w:ascii="Arial" w:cs="Arial" w:eastAsia="Arial" w:hAnsi="Arial"/>
          <w:b/>
          <w:bCs/>
          <w:color w:val="1B2A4A"/>
          <w:sz w:val="28"/>
          <w:szCs w:val="28"/>
        </w:rPr>
        <w:t xml:space="preserve">6. BitcoinTalk Forum Intelligence</w:t>
      </w:r>
    </w:p>
    <w:p>
      <w:pPr>
        <w:pStyle w:val="Heading2"/>
        <w:spacing w:after="160" w:before="280"/>
      </w:pPr>
      <w:r>
        <w:rPr>
          <w:rFonts w:ascii="Arial" w:cs="Arial" w:eastAsia="Arial" w:hAnsi="Arial"/>
          <w:b/>
          <w:bCs/>
          <w:color w:val="2E75B6"/>
          <w:sz w:val="24"/>
          <w:szCs w:val="24"/>
        </w:rPr>
        <w:t xml:space="preserve">6.1 The OP_RETURN Philosophical Divide</w:t>
      </w:r>
    </w:p>
    <w:p>
      <w:pPr>
        <w:spacing w:after="120"/>
      </w:pPr>
      <w:r>
        <w:rPr>
          <w:rFonts w:ascii="Arial" w:cs="Arial" w:eastAsia="Arial" w:hAnsi="Arial"/>
          <w:sz w:val="21"/>
          <w:szCs w:val="21"/>
        </w:rPr>
        <w:t xml:space="preserve">BitcoinTalk threads spanning 2013-2026 reveal a persistent community fracture. One camp views OP_RETURN as a pragmatic concession — if people will embed data regardless, OP_RETURN is the least harmful method (provably unspendable, pruneable). The other camp sees any non-financial data as blockchain abuse.</w:t>
      </w:r>
    </w:p>
    <w:p>
      <w:pPr>
        <w:spacing w:after="120"/>
      </w:pPr>
      <w:r>
        <w:rPr>
          <w:rFonts w:ascii="Arial" w:cs="Arial" w:eastAsia="Arial" w:hAnsi="Arial"/>
          <w:b/>
          <w:bCs/>
          <w:sz w:val="21"/>
          <w:szCs w:val="21"/>
        </w:rPr>
        <w:t xml:space="preserve">Key threads:</w:t>
      </w:r>
    </w:p>
    <w:p>
      <w:pPr>
        <w:pStyle w:val="ListParagraph"/>
        <w:numPr>
          <w:ilvl w:val="0"/>
          <w:numId w:val="2"/>
        </w:numPr>
        <w:spacing w:after="80"/>
      </w:pPr>
      <w:r>
        <w:rPr>
          <w:rFonts w:ascii="Arial" w:cs="Arial" w:eastAsia="Arial" w:hAnsi="Arial"/>
          <w:b/>
          <w:bCs/>
          <w:sz w:val="21"/>
          <w:szCs w:val="21"/>
        </w:rPr>
        <w:t xml:space="preserve">“Bitcoin Core or Bitcoin Knots, the OP_RETURN debate” </w:t>
      </w:r>
      <w:r>
        <w:rPr>
          <w:rFonts w:ascii="Arial" w:cs="Arial" w:eastAsia="Arial" w:hAnsi="Arial"/>
          <w:sz w:val="21"/>
          <w:szCs w:val="21"/>
        </w:rPr>
        <w:t xml:space="preserve">— Captures the 2025 schism between Core (permissive, raised limit to 100KB) and Knots (restrictive, maintains 80-byte limit). Core’s position won on technical merits but created a governance crisis.</w:t>
      </w:r>
    </w:p>
    <w:p>
      <w:pPr>
        <w:pStyle w:val="ListParagraph"/>
        <w:numPr>
          <w:ilvl w:val="0"/>
          <w:numId w:val="2"/>
        </w:numPr>
        <w:spacing w:after="80"/>
      </w:pPr>
      <w:r>
        <w:rPr>
          <w:rFonts w:ascii="Arial" w:cs="Arial" w:eastAsia="Arial" w:hAnsi="Arial"/>
          <w:b/>
          <w:bCs/>
          <w:sz w:val="21"/>
          <w:szCs w:val="21"/>
        </w:rPr>
        <w:t xml:space="preserve">“Removing OP_return limits seems like a huge mistake” </w:t>
      </w:r>
      <w:r>
        <w:rPr>
          <w:rFonts w:ascii="Arial" w:cs="Arial" w:eastAsia="Arial" w:hAnsi="Arial"/>
          <w:sz w:val="21"/>
          <w:szCs w:val="21"/>
        </w:rPr>
        <w:t xml:space="preserve">— Opposition arguments: UTXO bloat, incentivizing spam, “Bitcoin is money not a database.” The counterarguments (OP_RETURN outputs are pruneable, users bypass limits via witness anyway) ultimately prevailed.</w:t>
      </w:r>
    </w:p>
    <w:p>
      <w:pPr>
        <w:pStyle w:val="ListParagraph"/>
        <w:numPr>
          <w:ilvl w:val="0"/>
          <w:numId w:val="2"/>
        </w:numPr>
        <w:spacing w:after="80"/>
      </w:pPr>
      <w:r>
        <w:rPr>
          <w:rFonts w:ascii="Arial" w:cs="Arial" w:eastAsia="Arial" w:hAnsi="Arial"/>
          <w:b/>
          <w:bCs/>
          <w:sz w:val="21"/>
          <w:szCs w:val="21"/>
        </w:rPr>
        <w:t xml:space="preserve">“Pruning OP_RETURNs with illegal content” </w:t>
      </w:r>
      <w:r>
        <w:rPr>
          <w:rFonts w:ascii="Arial" w:cs="Arial" w:eastAsia="Arial" w:hAnsi="Arial"/>
          <w:sz w:val="21"/>
          <w:szCs w:val="21"/>
        </w:rPr>
        <w:t xml:space="preserve">— Raises the uncomfortable reality that immutable data embedding includes the risk of illegal content. Arkova should ensure its proofs contain only hashes, never raw document content.</w:t>
      </w:r>
    </w:p>
    <w:p>
      <w:pPr>
        <w:spacing w:after="120"/>
      </w:pPr>
      <w:r>
        <w:rPr>
          <w:rFonts w:ascii="Arial" w:cs="Arial" w:eastAsia="Arial" w:hAnsi="Arial"/>
          <w:b/>
          <w:bCs/>
          <w:sz w:val="21"/>
          <w:szCs w:val="21"/>
        </w:rPr>
        <w:t xml:space="preserve">Arkova takeaway: </w:t>
      </w:r>
      <w:r>
        <w:rPr>
          <w:rFonts w:ascii="Arial" w:cs="Arial" w:eastAsia="Arial" w:hAnsi="Arial"/>
          <w:sz w:val="21"/>
          <w:szCs w:val="21"/>
        </w:rPr>
        <w:t xml:space="preserve">The community has settled this debate in Arkova’s favor. OP_RETURN data embedding is now officially sanctioned in Bitcoin Core v30. But be aware that ~12% of nodes run restrictive policies (Bitcoin Knots). Ensure transactions are standard under both Core and Knots relay policies to maximize propagation.</w:t>
      </w:r>
    </w:p>
    <w:p>
      <w:pPr>
        <w:pStyle w:val="Heading2"/>
        <w:spacing w:after="160" w:before="280"/>
      </w:pPr>
      <w:r>
        <w:rPr>
          <w:rFonts w:ascii="Arial" w:cs="Arial" w:eastAsia="Arial" w:hAnsi="Arial"/>
          <w:b/>
          <w:bCs/>
          <w:color w:val="2E75B6"/>
          <w:sz w:val="24"/>
          <w:szCs w:val="24"/>
        </w:rPr>
        <w:t xml:space="preserve">6.2 Practitioner Cost Experiences</w:t>
      </w:r>
    </w:p>
    <w:p>
      <w:pPr>
        <w:spacing w:after="120"/>
      </w:pPr>
      <w:r>
        <w:rPr>
          <w:rFonts w:ascii="Arial" w:cs="Arial" w:eastAsia="Arial" w:hAnsi="Arial"/>
          <w:sz w:val="21"/>
          <w:szCs w:val="21"/>
        </w:rPr>
        <w:t xml:space="preserve">Forum users consistently report that OP_RETURN transactions are among the cheapest on the network because they’re simple (small scripts, no complex witness data). Multiple threads confirm that 1-2 sat/vB reliably clears during off-peak hours.</w:t>
      </w:r>
    </w:p>
    <w:p>
      <w:pPr>
        <w:pStyle w:val="ListParagraph"/>
        <w:numPr>
          <w:ilvl w:val="0"/>
          <w:numId w:val="2"/>
        </w:numPr>
        <w:spacing w:after="80"/>
      </w:pPr>
      <w:r>
        <w:rPr>
          <w:rFonts w:ascii="Arial" w:cs="Arial" w:eastAsia="Arial" w:hAnsi="Arial"/>
          <w:b/>
          <w:bCs/>
          <w:sz w:val="21"/>
          <w:szCs w:val="21"/>
        </w:rPr>
        <w:t xml:space="preserve">“What exactly is the maximum message length in OP_RETURN?” </w:t>
      </w:r>
      <w:r>
        <w:rPr>
          <w:rFonts w:ascii="Arial" w:cs="Arial" w:eastAsia="Arial" w:hAnsi="Arial"/>
          <w:sz w:val="21"/>
          <w:szCs w:val="21"/>
        </w:rPr>
        <w:t xml:space="preserve">— Practical discussion of the 80-byte limit and workarounds. Users report that 32 bytes (SHA-256 hash) is the most common payload, fitting comfortably within all policy limits.</w:t>
      </w:r>
    </w:p>
    <w:p>
      <w:pPr>
        <w:pStyle w:val="ListParagraph"/>
        <w:numPr>
          <w:ilvl w:val="0"/>
          <w:numId w:val="2"/>
        </w:numPr>
        <w:spacing w:after="80"/>
      </w:pPr>
      <w:r>
        <w:rPr>
          <w:rFonts w:ascii="Arial" w:cs="Arial" w:eastAsia="Arial" w:hAnsi="Arial"/>
          <w:b/>
          <w:bCs/>
          <w:sz w:val="21"/>
          <w:szCs w:val="21"/>
        </w:rPr>
        <w:t xml:space="preserve">“Signing file and proof of existence | OP_RETURN 80 +17 bytes” </w:t>
      </w:r>
      <w:r>
        <w:rPr>
          <w:rFonts w:ascii="Arial" w:cs="Arial" w:eastAsia="Arial" w:hAnsi="Arial"/>
          <w:sz w:val="21"/>
          <w:szCs w:val="21"/>
        </w:rPr>
        <w:t xml:space="preserve">— Creative workaround: using an additional output to encode 17 extra bytes beyond the 80-byte OP_RETURN limit. This is no longer necessary post-v30.</w:t>
      </w:r>
    </w:p>
    <w:p>
      <w:pPr>
        <w:pStyle w:val="Heading2"/>
        <w:spacing w:after="160" w:before="280"/>
      </w:pPr>
      <w:r>
        <w:rPr>
          <w:rFonts w:ascii="Arial" w:cs="Arial" w:eastAsia="Arial" w:hAnsi="Arial"/>
          <w:b/>
          <w:bCs/>
          <w:color w:val="2E75B6"/>
          <w:sz w:val="24"/>
          <w:szCs w:val="24"/>
        </w:rPr>
        <w:t xml:space="preserve">6.3 Merkle Tree Implementation Lessons</w:t>
      </w:r>
    </w:p>
    <w:p>
      <w:pPr>
        <w:spacing w:after="120"/>
      </w:pPr>
      <w:r>
        <w:rPr>
          <w:rFonts w:ascii="Arial" w:cs="Arial" w:eastAsia="Arial" w:hAnsi="Arial"/>
          <w:sz w:val="21"/>
          <w:szCs w:val="21"/>
        </w:rPr>
        <w:t xml:space="preserve">Forum discussions on Merkle trees reveal practical considerations not found in academic papers:</w:t>
      </w:r>
    </w:p>
    <w:p>
      <w:pPr>
        <w:pStyle w:val="ListParagraph"/>
        <w:numPr>
          <w:ilvl w:val="0"/>
          <w:numId w:val="2"/>
        </w:numPr>
        <w:spacing w:after="80"/>
      </w:pPr>
      <w:r>
        <w:rPr>
          <w:rFonts w:ascii="Arial" w:cs="Arial" w:eastAsia="Arial" w:hAnsi="Arial"/>
          <w:b/>
          <w:bCs/>
          <w:sz w:val="21"/>
          <w:szCs w:val="21"/>
        </w:rPr>
        <w:t xml:space="preserve">“Why do we need double hashing in a Merkle tree?” </w:t>
      </w:r>
      <w:r>
        <w:rPr>
          <w:rFonts w:ascii="Arial" w:cs="Arial" w:eastAsia="Arial" w:hAnsi="Arial"/>
          <w:sz w:val="21"/>
          <w:szCs w:val="21"/>
        </w:rPr>
        <w:t xml:space="preserve">— Bitcoin uses double SHA-256 for internal nodes. Practitioners debate whether this is necessary for custom Merkle trees. Consensus: for timestamping, single SHA-256 with domain separation (leaf prefix vs. internal node prefix) is sufficient and more efficient.</w:t>
      </w:r>
    </w:p>
    <w:p>
      <w:pPr>
        <w:pStyle w:val="ListParagraph"/>
        <w:numPr>
          <w:ilvl w:val="0"/>
          <w:numId w:val="2"/>
        </w:numPr>
        <w:spacing w:after="80"/>
      </w:pPr>
      <w:r>
        <w:rPr>
          <w:rFonts w:ascii="Arial" w:cs="Arial" w:eastAsia="Arial" w:hAnsi="Arial"/>
          <w:b/>
          <w:bCs/>
          <w:sz w:val="21"/>
          <w:szCs w:val="21"/>
        </w:rPr>
        <w:t xml:space="preserve">“Storing UTXOs in a Balanced Merkle Tree” </w:t>
      </w:r>
      <w:r>
        <w:rPr>
          <w:rFonts w:ascii="Arial" w:cs="Arial" w:eastAsia="Arial" w:hAnsi="Arial"/>
          <w:sz w:val="21"/>
          <w:szCs w:val="21"/>
        </w:rPr>
        <w:t xml:space="preserve">— Advanced discussion of balanced vs. unbalanced Merkle trees for UTXO storage. For Arkova’s batch anchoring, balanced trees (pad with duplicate of last leaf if odd count) are simpler and produce predictable proof sizes.</w:t>
      </w:r>
    </w:p>
    <w:p>
      <w:pPr>
        <w:pStyle w:val="ListParagraph"/>
        <w:numPr>
          <w:ilvl w:val="0"/>
          <w:numId w:val="2"/>
        </w:numPr>
        <w:spacing w:after="80"/>
      </w:pPr>
      <w:r>
        <w:rPr>
          <w:rFonts w:ascii="Arial" w:cs="Arial" w:eastAsia="Arial" w:hAnsi="Arial"/>
          <w:b/>
          <w:bCs/>
          <w:sz w:val="21"/>
          <w:szCs w:val="21"/>
        </w:rPr>
        <w:t xml:space="preserve">“Merkle Sum Tree Proposal” </w:t>
      </w:r>
      <w:r>
        <w:rPr>
          <w:rFonts w:ascii="Arial" w:cs="Arial" w:eastAsia="Arial" w:hAnsi="Arial"/>
          <w:sz w:val="21"/>
          <w:szCs w:val="21"/>
        </w:rPr>
        <w:t xml:space="preserve">— Proposes Merkle Sum Trees that encode aggregate values at each node. Not directly relevant to Arkova’s hash anchoring but could be useful if Arkova ever needs to prove properties about credential sets (e.g., “total credentials issued this period”).</w:t>
      </w:r>
    </w:p>
    <w:p>
      <w:pPr>
        <w:pStyle w:val="Heading2"/>
        <w:spacing w:after="160" w:before="280"/>
      </w:pPr>
      <w:r>
        <w:rPr>
          <w:rFonts w:ascii="Arial" w:cs="Arial" w:eastAsia="Arial" w:hAnsi="Arial"/>
          <w:b/>
          <w:bCs/>
          <w:color w:val="2E75B6"/>
          <w:sz w:val="24"/>
          <w:szCs w:val="24"/>
        </w:rPr>
        <w:t xml:space="preserve">6.4 Data Retrieval Challenges</w:t>
      </w:r>
    </w:p>
    <w:p>
      <w:pPr>
        <w:spacing w:after="120"/>
      </w:pPr>
      <w:r>
        <w:rPr>
          <w:rFonts w:ascii="Arial" w:cs="Arial" w:eastAsia="Arial" w:hAnsi="Arial"/>
          <w:sz w:val="21"/>
          <w:szCs w:val="21"/>
        </w:rPr>
        <w:t xml:space="preserve">Several threads highlight a gotcha that Arkova should plan for:</w:t>
      </w:r>
    </w:p>
    <w:p>
      <w:pPr>
        <w:pStyle w:val="ListParagraph"/>
        <w:numPr>
          <w:ilvl w:val="0"/>
          <w:numId w:val="2"/>
        </w:numPr>
        <w:spacing w:after="80"/>
      </w:pPr>
      <w:r>
        <w:rPr>
          <w:rFonts w:ascii="Arial" w:cs="Arial" w:eastAsia="Arial" w:hAnsi="Arial"/>
          <w:b/>
          <w:bCs/>
          <w:sz w:val="21"/>
          <w:szCs w:val="21"/>
        </w:rPr>
        <w:t xml:space="preserve">“Searching OP_RETURN data” </w:t>
      </w:r>
      <w:r>
        <w:rPr>
          <w:rFonts w:ascii="Arial" w:cs="Arial" w:eastAsia="Arial" w:hAnsi="Arial"/>
          <w:sz w:val="21"/>
          <w:szCs w:val="21"/>
        </w:rPr>
        <w:t xml:space="preserve">— OP_RETURN data is not indexed by default in Bitcoin Core. Retrieving historical anchors requires either: (a) maintaining your own index, (b) using a third-party indexing service (Blockstream’s API, mempool.space), or (c) running a full node with custom indexing (e.g., -txindex=1).</w:t>
      </w:r>
    </w:p>
    <w:p>
      <w:pPr>
        <w:spacing w:after="120"/>
      </w:pPr>
      <w:r>
        <w:rPr>
          <w:rFonts w:ascii="Arial" w:cs="Arial" w:eastAsia="Arial" w:hAnsi="Arial"/>
          <w:b/>
          <w:bCs/>
          <w:sz w:val="21"/>
          <w:szCs w:val="21"/>
        </w:rPr>
        <w:t xml:space="preserve">Arkova takeaway: </w:t>
      </w:r>
      <w:r>
        <w:rPr>
          <w:rFonts w:ascii="Arial" w:cs="Arial" w:eastAsia="Arial" w:hAnsi="Arial"/>
          <w:sz w:val="21"/>
          <w:szCs w:val="21"/>
        </w:rPr>
        <w:t xml:space="preserve">Don’t rely on Bitcoin’s native indexing for anchor retrieval. Maintain a dedicated database mapping credential IDs → transaction IDs → block heights. The Bitcoin transaction is the proof of existence; your database is the lookup index.</w:t>
      </w:r>
    </w:p>
    <w:p>
      <w:pPr>
        <w:pStyle w:val="Heading2"/>
        <w:spacing w:after="160" w:before="280"/>
      </w:pPr>
      <w:r>
        <w:rPr>
          <w:rFonts w:ascii="Arial" w:cs="Arial" w:eastAsia="Arial" w:hAnsi="Arial"/>
          <w:b/>
          <w:bCs/>
          <w:color w:val="2E75B6"/>
          <w:sz w:val="24"/>
          <w:szCs w:val="24"/>
        </w:rPr>
        <w:t xml:space="preserve">6.5 Specialized Anchoring Projects</w:t>
      </w:r>
    </w:p>
    <w:p>
      <w:pPr>
        <w:spacing w:after="120"/>
      </w:pPr>
      <w:r>
        <w:rPr>
          <w:rFonts w:ascii="Arial" w:cs="Arial" w:eastAsia="Arial" w:hAnsi="Arial"/>
          <w:sz w:val="21"/>
          <w:szCs w:val="21"/>
        </w:rPr>
        <w:t xml:space="preserve">Forum threads document a graveyard of Bitcoin anchoring projects. The survivors share common traits:</w:t>
      </w:r>
    </w:p>
    <w:p>
      <w:pPr>
        <w:pStyle w:val="ListParagraph"/>
        <w:numPr>
          <w:ilvl w:val="0"/>
          <w:numId w:val="2"/>
        </w:numPr>
        <w:spacing w:after="80"/>
      </w:pPr>
      <w:r>
        <w:rPr>
          <w:rFonts w:ascii="Arial" w:cs="Arial" w:eastAsia="Arial" w:hAnsi="Arial"/>
          <w:b/>
          <w:bCs/>
          <w:sz w:val="21"/>
          <w:szCs w:val="21"/>
        </w:rPr>
        <w:t xml:space="preserve">Proof of Existence </w:t>
      </w:r>
      <w:r>
        <w:rPr>
          <w:rFonts w:ascii="Arial" w:cs="Arial" w:eastAsia="Arial" w:hAnsi="Arial"/>
          <w:sz w:val="21"/>
          <w:szCs w:val="21"/>
        </w:rPr>
        <w:t xml:space="preserve">survived because it’s trivially simple — one hash, one transaction.</w:t>
      </w:r>
    </w:p>
    <w:p>
      <w:pPr>
        <w:pStyle w:val="ListParagraph"/>
        <w:numPr>
          <w:ilvl w:val="0"/>
          <w:numId w:val="2"/>
        </w:numPr>
        <w:spacing w:after="80"/>
      </w:pPr>
      <w:r>
        <w:rPr>
          <w:rFonts w:ascii="Arial" w:cs="Arial" w:eastAsia="Arial" w:hAnsi="Arial"/>
          <w:b/>
          <w:bCs/>
          <w:sz w:val="21"/>
          <w:szCs w:val="21"/>
        </w:rPr>
        <w:t xml:space="preserve">Factom </w:t>
      </w:r>
      <w:r>
        <w:rPr>
          <w:rFonts w:ascii="Arial" w:cs="Arial" w:eastAsia="Arial" w:hAnsi="Arial"/>
          <w:sz w:val="21"/>
          <w:szCs w:val="21"/>
        </w:rPr>
        <w:t xml:space="preserve">died because it introduced an unnecessary intermediary chain (and token).</w:t>
      </w:r>
    </w:p>
    <w:p>
      <w:pPr>
        <w:pStyle w:val="ListParagraph"/>
        <w:numPr>
          <w:ilvl w:val="0"/>
          <w:numId w:val="2"/>
        </w:numPr>
        <w:spacing w:after="80"/>
      </w:pPr>
      <w:r>
        <w:rPr>
          <w:rFonts w:ascii="Arial" w:cs="Arial" w:eastAsia="Arial" w:hAnsi="Arial"/>
          <w:b/>
          <w:bCs/>
          <w:sz w:val="21"/>
          <w:szCs w:val="21"/>
        </w:rPr>
        <w:t xml:space="preserve">Stampery </w:t>
      </w:r>
      <w:r>
        <w:rPr>
          <w:rFonts w:ascii="Arial" w:cs="Arial" w:eastAsia="Arial" w:hAnsi="Arial"/>
          <w:sz w:val="21"/>
          <w:szCs w:val="21"/>
        </w:rPr>
        <w:t xml:space="preserve">was heavily discussed on BitcoinTalk but eventually shut down operations.</w:t>
      </w:r>
    </w:p>
    <w:p>
      <w:pPr>
        <w:pStyle w:val="ListParagraph"/>
        <w:numPr>
          <w:ilvl w:val="0"/>
          <w:numId w:val="2"/>
        </w:numPr>
        <w:spacing w:after="80"/>
      </w:pPr>
      <w:r>
        <w:rPr>
          <w:rFonts w:ascii="Arial" w:cs="Arial" w:eastAsia="Arial" w:hAnsi="Arial"/>
          <w:b/>
          <w:bCs/>
          <w:sz w:val="21"/>
          <w:szCs w:val="21"/>
        </w:rPr>
        <w:t xml:space="preserve">Komodo’s notary nodes </w:t>
      </w:r>
      <w:r>
        <w:rPr>
          <w:rFonts w:ascii="Arial" w:cs="Arial" w:eastAsia="Arial" w:hAnsi="Arial"/>
          <w:sz w:val="21"/>
          <w:szCs w:val="21"/>
        </w:rPr>
        <w:t xml:space="preserve">represent an interesting approach: a network of notary nodes that periodically anchor Komodo’s state to Bitcoin. This is similar to Mainstay but with a decentralized notary set.</w:t>
      </w:r>
    </w:p>
    <w:p>
      <w:pPr>
        <w:spacing w:after="120"/>
      </w:pPr>
      <w:r>
        <w:rPr>
          <w:rFonts w:ascii="Arial" w:cs="Arial" w:eastAsia="Arial" w:hAnsi="Arial"/>
          <w:b/>
          <w:bCs/>
          <w:sz w:val="21"/>
          <w:szCs w:val="21"/>
        </w:rPr>
        <w:t xml:space="preserve">Key threads:</w:t>
      </w:r>
    </w:p>
    <w:p>
      <w:pPr>
        <w:pStyle w:val="ListParagraph"/>
        <w:numPr>
          <w:ilvl w:val="0"/>
          <w:numId w:val="2"/>
        </w:numPr>
        <w:spacing w:after="80"/>
      </w:pPr>
      <w:r>
        <w:rPr>
          <w:rFonts w:ascii="Arial" w:cs="Arial" w:eastAsia="Arial" w:hAnsi="Arial"/>
          <w:b/>
          <w:bCs/>
          <w:sz w:val="21"/>
          <w:szCs w:val="21"/>
        </w:rPr>
        <w:t xml:space="preserve">“Stampery.co — blockchain-based proof of ownership” </w:t>
      </w:r>
      <w:r>
        <w:rPr>
          <w:rFonts w:ascii="Arial" w:cs="Arial" w:eastAsia="Arial" w:hAnsi="Arial"/>
          <w:sz w:val="21"/>
          <w:szCs w:val="21"/>
        </w:rPr>
        <w:t xml:space="preserve">— Early enthusiasm for Stampery’s approach. The service no longer operates, illustrating the risk of depending on third-party anchoring services.</w:t>
      </w:r>
    </w:p>
    <w:p>
      <w:pPr>
        <w:pStyle w:val="ListParagraph"/>
        <w:numPr>
          <w:ilvl w:val="0"/>
          <w:numId w:val="2"/>
        </w:numPr>
        <w:spacing w:after="80"/>
      </w:pPr>
      <w:r>
        <w:rPr>
          <w:rFonts w:ascii="Arial" w:cs="Arial" w:eastAsia="Arial" w:hAnsi="Arial"/>
          <w:b/>
          <w:bCs/>
          <w:sz w:val="21"/>
          <w:szCs w:val="21"/>
        </w:rPr>
        <w:t xml:space="preserve">“FACTOM — Introducing Honesty to Record-Keeping” </w:t>
      </w:r>
      <w:r>
        <w:rPr>
          <w:rFonts w:ascii="Arial" w:cs="Arial" w:eastAsia="Arial" w:hAnsi="Arial"/>
          <w:sz w:val="21"/>
          <w:szCs w:val="21"/>
        </w:rPr>
        <w:t xml:space="preserve">— Extensive 115+ page thread. Factom’s demise (company went bankrupt) despite strong technology is a cautionary tale about tokenomics sustainability.</w:t>
      </w:r>
    </w:p>
    <w:p>
      <w:pPr>
        <w:pStyle w:val="ListParagraph"/>
        <w:numPr>
          <w:ilvl w:val="0"/>
          <w:numId w:val="2"/>
        </w:numPr>
        <w:spacing w:after="80"/>
      </w:pPr>
      <w:r>
        <w:rPr>
          <w:rFonts w:ascii="Arial" w:cs="Arial" w:eastAsia="Arial" w:hAnsi="Arial"/>
          <w:b/>
          <w:bCs/>
          <w:sz w:val="21"/>
          <w:szCs w:val="21"/>
        </w:rPr>
        <w:t xml:space="preserve">“Documentchain | Blockchain for Document Revision” </w:t>
      </w:r>
      <w:r>
        <w:rPr>
          <w:rFonts w:ascii="Arial" w:cs="Arial" w:eastAsia="Arial" w:hAnsi="Arial"/>
          <w:sz w:val="21"/>
          <w:szCs w:val="21"/>
        </w:rPr>
        <w:t xml:space="preserve">— Purpose-built blockchain for document versioning. Over-engineered for what can be accomplished with Bitcoin + Merkle trees.</w:t>
      </w:r>
    </w:p>
    <w:p>
      <w:pPr>
        <w:spacing w:after="120"/>
      </w:pPr>
      <w:r>
        <w:rPr>
          <w:rFonts w:ascii="Arial" w:cs="Arial" w:eastAsia="Arial" w:hAnsi="Arial"/>
          <w:b/>
          <w:bCs/>
          <w:sz w:val="21"/>
          <w:szCs w:val="21"/>
        </w:rPr>
        <w:t xml:space="preserve">Arkova takeaway: </w:t>
      </w:r>
      <w:r>
        <w:rPr>
          <w:rFonts w:ascii="Arial" w:cs="Arial" w:eastAsia="Arial" w:hAnsi="Arial"/>
          <w:sz w:val="21"/>
          <w:szCs w:val="21"/>
        </w:rPr>
        <w:t xml:space="preserve">Keep the anchoring layer as simple and dependency-free as possible. Every additional layer (custom chain, token, federated network) is a point of failure. Direct Bitcoin anchoring with Merkle batching is the survivor pattern.</w:t>
      </w:r>
    </w:p>
    <w:p>
      <w:pPr>
        <w:pStyle w:val="Heading2"/>
        <w:spacing w:after="160" w:before="280"/>
      </w:pPr>
      <w:r>
        <w:rPr>
          <w:rFonts w:ascii="Arial" w:cs="Arial" w:eastAsia="Arial" w:hAnsi="Arial"/>
          <w:b/>
          <w:bCs/>
          <w:color w:val="2E75B6"/>
          <w:sz w:val="24"/>
          <w:szCs w:val="24"/>
        </w:rPr>
        <w:t xml:space="preserve">6.6 Taproot Data Embedding</w:t>
      </w:r>
    </w:p>
    <w:p>
      <w:pPr>
        <w:pStyle w:val="ListParagraph"/>
        <w:numPr>
          <w:ilvl w:val="0"/>
          <w:numId w:val="2"/>
        </w:numPr>
        <w:spacing w:after="80"/>
      </w:pPr>
      <w:r>
        <w:rPr>
          <w:rFonts w:ascii="Arial" w:cs="Arial" w:eastAsia="Arial" w:hAnsi="Arial"/>
          <w:b/>
          <w:bCs/>
          <w:sz w:val="21"/>
          <w:szCs w:val="21"/>
        </w:rPr>
        <w:t xml:space="preserve">“How can taproot transactions manage to store so much data?” </w:t>
      </w:r>
      <w:r>
        <w:rPr>
          <w:rFonts w:ascii="Arial" w:cs="Arial" w:eastAsia="Arial" w:hAnsi="Arial"/>
          <w:sz w:val="21"/>
          <w:szCs w:val="21"/>
        </w:rPr>
        <w:t xml:space="preserve">— Forum users explain that Taproot’s witness discount (4:1 weight ratio) makes large data embedding economically viable. Key insight from practitioners: for small data (like hashes), the cost difference between OP_RETURN and Taproot witness is minimal. The real advantage of Taproot for Arkova is the P2C privacy property, not the data capacity.</w:t>
      </w:r>
    </w:p>
    <w:p>
      <w:r>
        <w:br w:type="page"/>
      </w:r>
    </w:p>
    <w:p>
      <w:pPr>
        <w:pStyle w:val="Heading1"/>
        <w:spacing w:after="200" w:before="360"/>
      </w:pPr>
      <w:r>
        <w:rPr>
          <w:rFonts w:ascii="Arial" w:cs="Arial" w:eastAsia="Arial" w:hAnsi="Arial"/>
          <w:b/>
          <w:bCs/>
          <w:color w:val="1B2A4A"/>
          <w:sz w:val="28"/>
          <w:szCs w:val="28"/>
        </w:rPr>
        <w:t xml:space="preserve">7. Regulatory &amp; Standards Landscape</w:t>
      </w:r>
    </w:p>
    <w:p>
      <w:pPr>
        <w:pStyle w:val="Heading2"/>
        <w:spacing w:after="160" w:before="280"/>
      </w:pPr>
      <w:r>
        <w:rPr>
          <w:rFonts w:ascii="Arial" w:cs="Arial" w:eastAsia="Arial" w:hAnsi="Arial"/>
          <w:b/>
          <w:bCs/>
          <w:color w:val="2E75B6"/>
          <w:sz w:val="24"/>
          <w:szCs w:val="24"/>
        </w:rPr>
        <w:t xml:space="preserve">7.1 ISO 18014 (Timestamping Standards)</w:t>
      </w:r>
    </w:p>
    <w:p>
      <w:pPr>
        <w:spacing w:after="120"/>
      </w:pPr>
      <w:r>
        <w:rPr>
          <w:rFonts w:ascii="Arial" w:cs="Arial" w:eastAsia="Arial" w:hAnsi="Arial"/>
          <w:sz w:val="21"/>
          <w:szCs w:val="21"/>
        </w:rPr>
        <w:t xml:space="preserve">ISO/IEC 18014 has four parts. Part 4 addresses traceability of time sources and is being evolved to accommodate Distributed Ledger Timestamping. A “Distributed Ledger Attestation” (DLA) leverages Merkle tree structures to aggregate requests into a blockchain. This is directly aligned with Arkova’s architecture.</w:t>
      </w:r>
    </w:p>
    <w:p>
      <w:pPr>
        <w:spacing w:after="120"/>
      </w:pPr>
      <w:r>
        <w:rPr>
          <w:rFonts w:ascii="Arial" w:cs="Arial" w:eastAsia="Arial" w:hAnsi="Arial"/>
          <w:b/>
          <w:bCs/>
          <w:sz w:val="21"/>
          <w:szCs w:val="21"/>
        </w:rPr>
        <w:t xml:space="preserve">Arkova action: </w:t>
      </w:r>
      <w:r>
        <w:rPr>
          <w:rFonts w:ascii="Arial" w:cs="Arial" w:eastAsia="Arial" w:hAnsi="Arial"/>
          <w:sz w:val="21"/>
          <w:szCs w:val="21"/>
        </w:rPr>
        <w:t xml:space="preserve">Monitor ISO/IEC 18014-4 evolution. Arkova’s Merkle tree + Bitcoin anchoring approach is architecturally compatible with the emerging standard.</w:t>
      </w:r>
    </w:p>
    <w:p>
      <w:pPr>
        <w:pStyle w:val="Heading2"/>
        <w:spacing w:after="160" w:before="280"/>
      </w:pPr>
      <w:r>
        <w:rPr>
          <w:rFonts w:ascii="Arial" w:cs="Arial" w:eastAsia="Arial" w:hAnsi="Arial"/>
          <w:b/>
          <w:bCs/>
          <w:color w:val="2E75B6"/>
          <w:sz w:val="24"/>
          <w:szCs w:val="24"/>
        </w:rPr>
        <w:t xml:space="preserve">7.2 eIDAS 2.0 and Qualified Timestamps</w:t>
      </w:r>
    </w:p>
    <w:p>
      <w:pPr>
        <w:spacing w:after="120"/>
      </w:pPr>
      <w:r>
        <w:rPr>
          <w:rFonts w:ascii="Arial" w:cs="Arial" w:eastAsia="Arial" w:hAnsi="Arial"/>
          <w:sz w:val="21"/>
          <w:szCs w:val="21"/>
        </w:rPr>
        <w:t xml:space="preserve">eIDAS 2.0 (Regulation EU 2024/1183) introduces “Electronic Ledgers” as a new trust service. Key provisions:</w:t>
      </w:r>
    </w:p>
    <w:p>
      <w:pPr>
        <w:pStyle w:val="ListParagraph"/>
        <w:numPr>
          <w:ilvl w:val="0"/>
          <w:numId w:val="2"/>
        </w:numPr>
        <w:spacing w:after="80"/>
      </w:pPr>
      <w:r>
        <w:rPr>
          <w:rFonts w:ascii="Arial" w:cs="Arial" w:eastAsia="Arial" w:hAnsi="Arial"/>
          <w:b/>
          <w:bCs/>
          <w:sz w:val="21"/>
          <w:szCs w:val="21"/>
        </w:rPr>
        <w:t xml:space="preserve">Technologically neutral </w:t>
      </w:r>
      <w:r>
        <w:rPr>
          <w:rFonts w:ascii="Arial" w:cs="Arial" w:eastAsia="Arial" w:hAnsi="Arial"/>
          <w:sz w:val="21"/>
          <w:szCs w:val="21"/>
        </w:rPr>
        <w:t xml:space="preserve">— neither favors nor discriminates against specific blockchain implementations</w:t>
      </w:r>
    </w:p>
    <w:p>
      <w:pPr>
        <w:pStyle w:val="ListParagraph"/>
        <w:numPr>
          <w:ilvl w:val="0"/>
          <w:numId w:val="2"/>
        </w:numPr>
        <w:spacing w:after="80"/>
      </w:pPr>
      <w:r>
        <w:rPr>
          <w:rFonts w:ascii="Arial" w:cs="Arial" w:eastAsia="Arial" w:hAnsi="Arial"/>
          <w:b/>
          <w:bCs/>
          <w:sz w:val="21"/>
          <w:szCs w:val="21"/>
        </w:rPr>
        <w:t xml:space="preserve">Legal presumption </w:t>
      </w:r>
      <w:r>
        <w:rPr>
          <w:rFonts w:ascii="Arial" w:cs="Arial" w:eastAsia="Arial" w:hAnsi="Arial"/>
          <w:sz w:val="21"/>
          <w:szCs w:val="21"/>
        </w:rPr>
        <w:t xml:space="preserve">for sequential chronological ordering and data integrity</w:t>
      </w:r>
    </w:p>
    <w:p>
      <w:pPr>
        <w:pStyle w:val="ListParagraph"/>
        <w:numPr>
          <w:ilvl w:val="0"/>
          <w:numId w:val="2"/>
        </w:numPr>
        <w:spacing w:after="80"/>
      </w:pPr>
      <w:r>
        <w:rPr>
          <w:rFonts w:ascii="Arial" w:cs="Arial" w:eastAsia="Arial" w:hAnsi="Arial"/>
          <w:b/>
          <w:bCs/>
          <w:sz w:val="21"/>
          <w:szCs w:val="21"/>
        </w:rPr>
        <w:t xml:space="preserve">Qualified Electronic Timestamps </w:t>
      </w:r>
      <w:r>
        <w:rPr>
          <w:rFonts w:ascii="Arial" w:cs="Arial" w:eastAsia="Arial" w:hAnsi="Arial"/>
          <w:sz w:val="21"/>
          <w:szCs w:val="21"/>
        </w:rPr>
        <w:t xml:space="preserve">require: linking date/time to data tamper-evidently, reliable time source synced to UTC, and signature by a Qualified Trust Service Provider (QTSP)</w:t>
      </w:r>
    </w:p>
    <w:p>
      <w:pPr>
        <w:spacing w:after="120"/>
      </w:pPr>
      <w:r>
        <w:rPr>
          <w:rFonts w:ascii="Arial" w:cs="Arial" w:eastAsia="Arial" w:hAnsi="Arial"/>
          <w:sz w:val="21"/>
          <w:szCs w:val="21"/>
        </w:rPr>
        <w:t xml:space="preserve">Currently, blockchain timestamping alone does not qualify as a “Qualified Timestamp” without QTSP certification. However, eIDAS 2.0 creates a clear pathway through the Electronic Ledger trust service framework.</w:t>
      </w:r>
    </w:p>
    <w:p>
      <w:pPr>
        <w:spacing w:after="120"/>
      </w:pPr>
      <w:r>
        <w:rPr>
          <w:rFonts w:ascii="Arial" w:cs="Arial" w:eastAsia="Arial" w:hAnsi="Arial"/>
          <w:b/>
          <w:bCs/>
          <w:sz w:val="21"/>
          <w:szCs w:val="21"/>
        </w:rPr>
        <w:t xml:space="preserve">Arkova action: </w:t>
      </w:r>
      <w:r>
        <w:rPr>
          <w:rFonts w:ascii="Arial" w:cs="Arial" w:eastAsia="Arial" w:hAnsi="Arial"/>
          <w:sz w:val="21"/>
          <w:szCs w:val="21"/>
        </w:rPr>
        <w:t xml:space="preserve">Pursue QTSP certification for the anchoring service. This requires: (a) conformity assessment by an accredited body, (b) reliable time source (NTP synced to UTC — straightforward), (c) qualified electronic signature/seal on the timestamp token. A hybrid approach — Arkova issues an RFC 3161-compliant timestamp token, then anchors the token’s hash to Bitcoin — satisfies both the traditional regulatory requirement and the blockchain immutability guarantee.</w:t>
      </w:r>
    </w:p>
    <w:p>
      <w:pPr>
        <w:pStyle w:val="Heading2"/>
        <w:spacing w:after="160" w:before="280"/>
      </w:pPr>
      <w:r>
        <w:rPr>
          <w:rFonts w:ascii="Arial" w:cs="Arial" w:eastAsia="Arial" w:hAnsi="Arial"/>
          <w:b/>
          <w:bCs/>
          <w:color w:val="2E75B6"/>
          <w:sz w:val="24"/>
          <w:szCs w:val="24"/>
        </w:rPr>
        <w:t xml:space="preserve">7.3 RFC 3161 Compatibility</w:t>
      </w:r>
    </w:p>
    <w:p>
      <w:pPr>
        <w:spacing w:after="120"/>
      </w:pPr>
      <w:r>
        <w:rPr>
          <w:rFonts w:ascii="Arial" w:cs="Arial" w:eastAsia="Arial" w:hAnsi="Arial"/>
          <w:sz w:val="21"/>
          <w:szCs w:val="21"/>
        </w:rPr>
        <w:t xml:space="preserve">RFC 3161 defines the Time-Stamp Protocol (TSP) using X.509 certificates and PKI. It’s the established legal standard in European jurisdictions.</w:t>
      </w:r>
    </w:p>
    <w:p>
      <w:pPr>
        <w:spacing w:after="120"/>
      </w:pPr>
      <w:r>
        <w:rPr>
          <w:rFonts w:ascii="Arial" w:cs="Arial" w:eastAsia="Arial" w:hAnsi="Arial"/>
          <w:sz w:val="21"/>
          <w:szCs w:val="21"/>
        </w:rPr>
        <w:t xml:space="preserve">An IETF draft (draft-intesigroup-dlts-11) extends RFC 3161 Time Stamp Tokens with attestations recorded on distributed ledgers. This two-phase process (aggregation server provides promise, calendar server provides attestation after consensus) aligns with Arkova’s batch anchoring model.</w:t>
      </w:r>
    </w:p>
    <w:p>
      <w:pPr>
        <w:spacing w:after="120"/>
      </w:pPr>
      <w:r>
        <w:rPr>
          <w:rFonts w:ascii="Arial" w:cs="Arial" w:eastAsia="Arial" w:hAnsi="Arial"/>
          <w:b/>
          <w:bCs/>
          <w:sz w:val="21"/>
          <w:szCs w:val="21"/>
        </w:rPr>
        <w:t xml:space="preserve">Arkova action: </w:t>
      </w:r>
      <w:r>
        <w:rPr>
          <w:rFonts w:ascii="Arial" w:cs="Arial" w:eastAsia="Arial" w:hAnsi="Arial"/>
          <w:sz w:val="21"/>
          <w:szCs w:val="21"/>
        </w:rPr>
        <w:t xml:space="preserve">Implement RFC 3161-compatible timestamp tokens as a wrapper around Bitcoin-anchored proofs. This provides backward compatibility with existing legal frameworks while maintaining the Bitcoin immutability guarantee.</w:t>
      </w:r>
    </w:p>
    <w:p>
      <w:pPr>
        <w:pStyle w:val="Heading2"/>
        <w:spacing w:after="160" w:before="280"/>
      </w:pPr>
      <w:r>
        <w:rPr>
          <w:rFonts w:ascii="Arial" w:cs="Arial" w:eastAsia="Arial" w:hAnsi="Arial"/>
          <w:b/>
          <w:bCs/>
          <w:color w:val="2E75B6"/>
          <w:sz w:val="24"/>
          <w:szCs w:val="24"/>
        </w:rPr>
        <w:t xml:space="preserve">7.4 Legal Precedent</w:t>
      </w:r>
    </w:p>
    <w:p>
      <w:pPr>
        <w:spacing w:after="120"/>
      </w:pPr>
      <w:r>
        <w:rPr>
          <w:rFonts w:ascii="Arial" w:cs="Arial" w:eastAsia="Arial" w:hAnsi="Arial"/>
          <w:sz w:val="21"/>
          <w:szCs w:val="21"/>
        </w:rPr>
        <w:t xml:space="preserve">Bitcoin-anchored timestamps are gaining legal recognition:</w:t>
      </w:r>
    </w:p>
    <w:p>
      <w:pPr>
        <w:pStyle w:val="ListParagraph"/>
        <w:numPr>
          <w:ilvl w:val="0"/>
          <w:numId w:val="2"/>
        </w:numPr>
        <w:spacing w:after="80"/>
      </w:pPr>
      <w:r>
        <w:rPr>
          <w:rFonts w:ascii="Arial" w:cs="Arial" w:eastAsia="Arial" w:hAnsi="Arial"/>
          <w:b/>
          <w:bCs/>
          <w:sz w:val="21"/>
          <w:szCs w:val="21"/>
        </w:rPr>
        <w:t xml:space="preserve">U.S. Federal Courts: </w:t>
      </w:r>
      <w:r>
        <w:rPr>
          <w:rFonts w:ascii="Arial" w:cs="Arial" w:eastAsia="Arial" w:hAnsi="Arial"/>
          <w:sz w:val="21"/>
          <w:szCs w:val="21"/>
        </w:rPr>
        <w:t xml:space="preserve">Blockchain evidence is evaluated under FRE 901/902 (authentication) and treated as machine-generated data (not hearsay). Multiple federal precedents confirm admissibility when methodology is sound.</w:t>
      </w:r>
    </w:p>
    <w:p>
      <w:pPr>
        <w:pStyle w:val="ListParagraph"/>
        <w:numPr>
          <w:ilvl w:val="0"/>
          <w:numId w:val="2"/>
        </w:numPr>
        <w:spacing w:after="80"/>
      </w:pPr>
      <w:r>
        <w:rPr>
          <w:rFonts w:ascii="Arial" w:cs="Arial" w:eastAsia="Arial" w:hAnsi="Arial"/>
          <w:b/>
          <w:bCs/>
          <w:sz w:val="21"/>
          <w:szCs w:val="21"/>
        </w:rPr>
        <w:t xml:space="preserve">Italy: </w:t>
      </w:r>
      <w:r>
        <w:rPr>
          <w:rFonts w:ascii="Arial" w:cs="Arial" w:eastAsia="Arial" w:hAnsi="Arial"/>
          <w:sz w:val="21"/>
          <w:szCs w:val="21"/>
        </w:rPr>
        <w:t xml:space="preserve">Law No. 12/19 (2019) explicitly recognizes blockchain timestamping with the same legal effect as an “electronic time stamp” under eIDAS.</w:t>
      </w:r>
    </w:p>
    <w:p>
      <w:pPr>
        <w:pStyle w:val="ListParagraph"/>
        <w:numPr>
          <w:ilvl w:val="0"/>
          <w:numId w:val="2"/>
        </w:numPr>
        <w:spacing w:after="80"/>
      </w:pPr>
      <w:r>
        <w:rPr>
          <w:rFonts w:ascii="Arial" w:cs="Arial" w:eastAsia="Arial" w:hAnsi="Arial"/>
          <w:b/>
          <w:bCs/>
          <w:sz w:val="21"/>
          <w:szCs w:val="21"/>
        </w:rPr>
        <w:t xml:space="preserve">China: </w:t>
      </w:r>
      <w:r>
        <w:rPr>
          <w:rFonts w:ascii="Arial" w:cs="Arial" w:eastAsia="Arial" w:hAnsi="Arial"/>
          <w:sz w:val="21"/>
          <w:szCs w:val="21"/>
        </w:rPr>
        <w:t xml:space="preserve">Internet Courts have confirmed blockchain evidence admissibility.</w:t>
      </w:r>
    </w:p>
    <w:p>
      <w:pPr>
        <w:pStyle w:val="ListParagraph"/>
        <w:numPr>
          <w:ilvl w:val="0"/>
          <w:numId w:val="2"/>
        </w:numPr>
        <w:spacing w:after="80"/>
      </w:pPr>
      <w:r>
        <w:rPr>
          <w:rFonts w:ascii="Arial" w:cs="Arial" w:eastAsia="Arial" w:hAnsi="Arial"/>
          <w:b/>
          <w:bCs/>
          <w:sz w:val="21"/>
          <w:szCs w:val="21"/>
        </w:rPr>
        <w:t xml:space="preserve">U.S. States: </w:t>
      </w:r>
      <w:r>
        <w:rPr>
          <w:rFonts w:ascii="Arial" w:cs="Arial" w:eastAsia="Arial" w:hAnsi="Arial"/>
          <w:sz w:val="21"/>
          <w:szCs w:val="21"/>
        </w:rPr>
        <w:t xml:space="preserve">Illinois, Vermont, Virginia, Washington, Arizona, New York, and Ohio have legislation recognizing blockchain evidence. Vermont’s statute presumes blockchain receipts authentic.</w:t>
      </w:r>
    </w:p>
    <w:p>
      <w:pPr>
        <w:spacing w:after="120"/>
      </w:pPr>
      <w:r>
        <w:rPr>
          <w:rFonts w:ascii="Arial" w:cs="Arial" w:eastAsia="Arial" w:hAnsi="Arial"/>
          <w:b/>
          <w:bCs/>
          <w:sz w:val="21"/>
          <w:szCs w:val="21"/>
        </w:rPr>
        <w:t xml:space="preserve">Arkova action: </w:t>
      </w:r>
      <w:r>
        <w:rPr>
          <w:rFonts w:ascii="Arial" w:cs="Arial" w:eastAsia="Arial" w:hAnsi="Arial"/>
          <w:sz w:val="21"/>
          <w:szCs w:val="21"/>
        </w:rPr>
        <w:t xml:space="preserve">Document the chain of custody and methodology for credential anchoring. Courts care about process integrity, not just technical correctness. Arkova should publish a transparency report describing: hashing algorithm (SHA-256), Merkle tree construction, Bitcoin transaction format, and verification procedure.</w:t>
      </w:r>
    </w:p>
    <w:p>
      <w:pPr>
        <w:pStyle w:val="Heading2"/>
        <w:spacing w:after="160" w:before="280"/>
      </w:pPr>
      <w:r>
        <w:rPr>
          <w:rFonts w:ascii="Arial" w:cs="Arial" w:eastAsia="Arial" w:hAnsi="Arial"/>
          <w:b/>
          <w:bCs/>
          <w:color w:val="2E75B6"/>
          <w:sz w:val="24"/>
          <w:szCs w:val="24"/>
        </w:rPr>
        <w:t xml:space="preserve">7.5 SOC 2 Considerations</w:t>
      </w:r>
    </w:p>
    <w:p>
      <w:pPr>
        <w:spacing w:after="120"/>
      </w:pPr>
      <w:r>
        <w:rPr>
          <w:rFonts w:ascii="Arial" w:cs="Arial" w:eastAsia="Arial" w:hAnsi="Arial"/>
          <w:sz w:val="21"/>
          <w:szCs w:val="21"/>
        </w:rPr>
        <w:t xml:space="preserve">Bitcoin-anchoring services can integrate SOC 2 controls around cryptographic key management, timestamp integrity verification, audit trail maintenance, and incident response. SOC 2 Type II (operating effectiveness over 3-12 months) is the target for enterprise customers.</w:t>
      </w:r>
    </w:p>
    <w:p>
      <w:pPr>
        <w:spacing w:after="120"/>
      </w:pPr>
      <w:r>
        <w:rPr>
          <w:rFonts w:ascii="Arial" w:cs="Arial" w:eastAsia="Arial" w:hAnsi="Arial"/>
          <w:b/>
          <w:bCs/>
          <w:sz w:val="21"/>
          <w:szCs w:val="21"/>
        </w:rPr>
        <w:t xml:space="preserve">Arkova action: </w:t>
      </w:r>
      <w:r>
        <w:rPr>
          <w:rFonts w:ascii="Arial" w:cs="Arial" w:eastAsia="Arial" w:hAnsi="Arial"/>
          <w:sz w:val="21"/>
          <w:szCs w:val="21"/>
        </w:rPr>
        <w:t xml:space="preserve">Include Bitcoin anchoring in the SOC 2 scope. Key controls: AWS KMS key management (already planned), transaction broadcast logging, Merkle proof storage integrity, and verification endpoint availability.</w:t>
      </w:r>
    </w:p>
    <w:p>
      <w:r>
        <w:br w:type="page"/>
      </w:r>
    </w:p>
    <w:p>
      <w:pPr>
        <w:pStyle w:val="Heading1"/>
        <w:spacing w:after="200" w:before="360"/>
      </w:pPr>
      <w:r>
        <w:rPr>
          <w:rFonts w:ascii="Arial" w:cs="Arial" w:eastAsia="Arial" w:hAnsi="Arial"/>
          <w:b/>
          <w:bCs/>
          <w:color w:val="1B2A4A"/>
          <w:sz w:val="28"/>
          <w:szCs w:val="28"/>
        </w:rPr>
        <w:t xml:space="preserve">8. Recommended Improvements</w:t>
      </w:r>
    </w:p>
    <w:p>
      <w:pPr>
        <w:pStyle w:val="Heading2"/>
        <w:spacing w:after="160" w:before="280"/>
      </w:pPr>
      <w:r>
        <w:rPr>
          <w:rFonts w:ascii="Arial" w:cs="Arial" w:eastAsia="Arial" w:hAnsi="Arial"/>
          <w:b/>
          <w:bCs/>
          <w:color w:val="2E75B6"/>
          <w:sz w:val="24"/>
          <w:szCs w:val="24"/>
        </w:rPr>
        <w:t xml:space="preserve">8.1 Primary Recommendation: Merkle Batching + P2C Migration</w:t>
      </w:r>
    </w:p>
    <w:p>
      <w:pPr>
        <w:spacing w:after="120"/>
      </w:pPr>
      <w:r>
        <w:rPr>
          <w:rFonts w:ascii="Arial" w:cs="Arial" w:eastAsia="Arial" w:hAnsi="Arial"/>
          <w:b/>
          <w:bCs/>
          <w:sz w:val="21"/>
          <w:szCs w:val="21"/>
        </w:rPr>
        <w:t xml:space="preserve">Phase 1 architecture (Merkle + OP_RETURN):</w:t>
      </w:r>
    </w:p>
    <w:p>
      <w:pPr>
        <w:shd w:fill="F5F5F5" w:val="clear"/>
        <w:spacing w:after="80" w:before="80"/>
        <w:ind w:left="360"/>
      </w:pPr>
      <w:r>
        <w:rPr>
          <w:rFonts w:ascii="Courier New" w:cs="Courier New" w:eastAsia="Courier New" w:hAnsi="Courier New"/>
          <w:sz w:val="18"/>
          <w:szCs w:val="18"/>
        </w:rPr>
        <w:t xml:space="preserve">Documents → SHA-256 hashes → Sorted Merkle tree → Root (32 bytes) → OP_RETURN tx</w:t>
      </w:r>
    </w:p>
    <w:p>
      <w:pPr>
        <w:shd w:fill="F5F5F5" w:val="clear"/>
        <w:spacing w:after="80" w:before="80"/>
        <w:ind w:left="360"/>
      </w:pPr>
      <w:r>
        <w:rPr>
          <w:rFonts w:ascii="Courier New" w:cs="Courier New" w:eastAsia="Courier New" w:hAnsi="Courier New"/>
          <w:sz w:val="18"/>
          <w:szCs w:val="18"/>
        </w:rPr>
        <w:t xml:space="preserve">                                                        ↓</w:t>
      </w:r>
    </w:p>
    <w:p>
      <w:pPr>
        <w:shd w:fill="F5F5F5" w:val="clear"/>
        <w:spacing w:after="80" w:before="80"/>
        <w:ind w:left="360"/>
      </w:pPr>
      <w:r>
        <w:rPr>
          <w:rFonts w:ascii="Courier New" w:cs="Courier New" w:eastAsia="Courier New" w:hAnsi="Courier New"/>
          <w:sz w:val="18"/>
          <w:szCs w:val="18"/>
        </w:rPr>
        <w:t xml:space="preserve">                                          Merkle proofs stored in DB</w:t>
      </w:r>
    </w:p>
    <w:p>
      <w:pPr>
        <w:spacing w:after="40"/>
      </w:pPr>
    </w:p>
    <w:p>
      <w:pPr>
        <w:spacing w:after="120"/>
      </w:pPr>
      <w:r>
        <w:rPr>
          <w:rFonts w:ascii="Arial" w:cs="Arial" w:eastAsia="Arial" w:hAnsi="Arial"/>
          <w:b/>
          <w:bCs/>
          <w:sz w:val="21"/>
          <w:szCs w:val="21"/>
        </w:rPr>
        <w:t xml:space="preserve">Phase 2 architecture (Merkle + P2C via Taproot):</w:t>
      </w:r>
    </w:p>
    <w:p>
      <w:pPr>
        <w:shd w:fill="F5F5F5" w:val="clear"/>
        <w:spacing w:after="80" w:before="80"/>
        <w:ind w:left="360"/>
      </w:pPr>
      <w:r>
        <w:rPr>
          <w:rFonts w:ascii="Courier New" w:cs="Courier New" w:eastAsia="Courier New" w:hAnsi="Courier New"/>
          <w:sz w:val="18"/>
          <w:szCs w:val="18"/>
        </w:rPr>
        <w:t xml:space="preserve">Documents → SHA-256 hashes → Sorted Merkle tree → Root (32 bytes) → P2C tweak</w:t>
      </w:r>
    </w:p>
    <w:p>
      <w:pPr>
        <w:shd w:fill="F5F5F5" w:val="clear"/>
        <w:spacing w:after="80" w:before="80"/>
        <w:ind w:left="360"/>
      </w:pPr>
      <w:r>
        <w:rPr>
          <w:rFonts w:ascii="Courier New" w:cs="Courier New" w:eastAsia="Courier New" w:hAnsi="Courier New"/>
          <w:sz w:val="18"/>
          <w:szCs w:val="18"/>
        </w:rPr>
        <w:t xml:space="preserve">                                                        ↓                ↓</w:t>
      </w:r>
    </w:p>
    <w:p>
      <w:pPr>
        <w:shd w:fill="F5F5F5" w:val="clear"/>
        <w:spacing w:after="80" w:before="80"/>
        <w:ind w:left="360"/>
      </w:pPr>
      <w:r>
        <w:rPr>
          <w:rFonts w:ascii="Courier New" w:cs="Courier New" w:eastAsia="Courier New" w:hAnsi="Courier New"/>
          <w:sz w:val="18"/>
          <w:szCs w:val="18"/>
        </w:rPr>
        <w:t xml:space="preserve">                                          Merkle proofs stored    P2TR output (looks normal)</w:t>
      </w:r>
    </w:p>
    <w:p>
      <w:pPr>
        <w:shd w:fill="F5F5F5" w:val="clear"/>
        <w:spacing w:after="80" w:before="80"/>
        <w:ind w:left="360"/>
      </w:pPr>
      <w:r>
        <w:rPr>
          <w:rFonts w:ascii="Courier New" w:cs="Courier New" w:eastAsia="Courier New" w:hAnsi="Courier New"/>
          <w:sz w:val="18"/>
          <w:szCs w:val="18"/>
        </w:rPr>
        <w:t xml:space="preserve">                                                in DB              Funds recoverable</w:t>
      </w:r>
    </w:p>
    <w:p>
      <w:pPr>
        <w:pStyle w:val="Heading2"/>
        <w:spacing w:after="160" w:before="280"/>
      </w:pPr>
      <w:r>
        <w:rPr>
          <w:rFonts w:ascii="Arial" w:cs="Arial" w:eastAsia="Arial" w:hAnsi="Arial"/>
          <w:b/>
          <w:bCs/>
          <w:color w:val="2E75B6"/>
          <w:sz w:val="24"/>
          <w:szCs w:val="24"/>
        </w:rPr>
        <w:t xml:space="preserve">8.2 Batch Scheduler Design</w:t>
      </w:r>
    </w:p>
    <w:p>
      <w:pPr>
        <w:spacing w:after="120"/>
      </w:pPr>
      <w:r>
        <w:rPr>
          <w:rFonts w:ascii="Arial" w:cs="Arial" w:eastAsia="Arial" w:hAnsi="Arial"/>
          <w:sz w:val="21"/>
          <w:szCs w:val="21"/>
        </w:rPr>
        <w:t xml:space="preserve">Implement a batch scheduler with these properties:</w:t>
      </w:r>
    </w:p>
    <w:p>
      <w:pPr>
        <w:pStyle w:val="ListParagraph"/>
        <w:numPr>
          <w:ilvl w:val="0"/>
          <w:numId w:val="2"/>
        </w:numPr>
        <w:spacing w:after="80"/>
      </w:pPr>
      <w:r>
        <w:rPr>
          <w:rFonts w:ascii="Arial" w:cs="Arial" w:eastAsia="Arial" w:hAnsi="Arial"/>
          <w:b/>
          <w:bCs/>
          <w:sz w:val="21"/>
          <w:szCs w:val="21"/>
        </w:rPr>
        <w:t xml:space="preserve">Configurable interval: </w:t>
      </w:r>
      <w:r>
        <w:rPr>
          <w:rFonts w:ascii="Arial" w:cs="Arial" w:eastAsia="Arial" w:hAnsi="Arial"/>
          <w:sz w:val="21"/>
          <w:szCs w:val="21"/>
        </w:rPr>
        <w:t xml:space="preserve">Default 10 minutes. Expose as a per-tenant setting for enterprise customers.</w:t>
      </w:r>
    </w:p>
    <w:p>
      <w:pPr>
        <w:pStyle w:val="ListParagraph"/>
        <w:numPr>
          <w:ilvl w:val="0"/>
          <w:numId w:val="2"/>
        </w:numPr>
        <w:spacing w:after="80"/>
      </w:pPr>
      <w:r>
        <w:rPr>
          <w:rFonts w:ascii="Arial" w:cs="Arial" w:eastAsia="Arial" w:hAnsi="Arial"/>
          <w:b/>
          <w:bCs/>
          <w:sz w:val="21"/>
          <w:szCs w:val="21"/>
        </w:rPr>
        <w:t xml:space="preserve">Minimum batch size: </w:t>
      </w:r>
      <w:r>
        <w:rPr>
          <w:rFonts w:ascii="Arial" w:cs="Arial" w:eastAsia="Arial" w:hAnsi="Arial"/>
          <w:sz w:val="21"/>
          <w:szCs w:val="21"/>
        </w:rPr>
        <w:t xml:space="preserve">1 (degrade to single-document anchoring if only one document in the batch)</w:t>
      </w:r>
    </w:p>
    <w:p>
      <w:pPr>
        <w:pStyle w:val="ListParagraph"/>
        <w:numPr>
          <w:ilvl w:val="0"/>
          <w:numId w:val="2"/>
        </w:numPr>
        <w:spacing w:after="80"/>
      </w:pPr>
      <w:r>
        <w:rPr>
          <w:rFonts w:ascii="Arial" w:cs="Arial" w:eastAsia="Arial" w:hAnsi="Arial"/>
          <w:b/>
          <w:bCs/>
          <w:sz w:val="21"/>
          <w:szCs w:val="21"/>
        </w:rPr>
        <w:t xml:space="preserve">Maximum batch size: </w:t>
      </w:r>
      <w:r>
        <w:rPr>
          <w:rFonts w:ascii="Arial" w:cs="Arial" w:eastAsia="Arial" w:hAnsi="Arial"/>
          <w:sz w:val="21"/>
          <w:szCs w:val="21"/>
        </w:rPr>
        <w:t xml:space="preserve">65,536 (2^16 — keeps proof sizes manageable at 512 bytes)</w:t>
      </w:r>
    </w:p>
    <w:p>
      <w:pPr>
        <w:pStyle w:val="ListParagraph"/>
        <w:numPr>
          <w:ilvl w:val="0"/>
          <w:numId w:val="2"/>
        </w:numPr>
        <w:spacing w:after="80"/>
      </w:pPr>
      <w:r>
        <w:rPr>
          <w:rFonts w:ascii="Arial" w:cs="Arial" w:eastAsia="Arial" w:hAnsi="Arial"/>
          <w:b/>
          <w:bCs/>
          <w:sz w:val="21"/>
          <w:szCs w:val="21"/>
        </w:rPr>
        <w:t xml:space="preserve">Fee strategy: </w:t>
      </w:r>
      <w:r>
        <w:rPr>
          <w:rFonts w:ascii="Arial" w:cs="Arial" w:eastAsia="Arial" w:hAnsi="Arial"/>
          <w:sz w:val="21"/>
          <w:szCs w:val="21"/>
        </w:rPr>
        <w:t xml:space="preserve">Start at 2 sat/vB. If unconfirmed after 30 minutes, RBF bump to 5 sat/vB. If still unconfirmed after 2 hours, bump to 20 sat/vB.</w:t>
      </w:r>
    </w:p>
    <w:p>
      <w:pPr>
        <w:pStyle w:val="ListParagraph"/>
        <w:numPr>
          <w:ilvl w:val="0"/>
          <w:numId w:val="2"/>
        </w:numPr>
        <w:spacing w:after="80"/>
      </w:pPr>
      <w:r>
        <w:rPr>
          <w:rFonts w:ascii="Arial" w:cs="Arial" w:eastAsia="Arial" w:hAnsi="Arial"/>
          <w:b/>
          <w:bCs/>
          <w:sz w:val="21"/>
          <w:szCs w:val="21"/>
        </w:rPr>
        <w:t xml:space="preserve">Weekend optimization: </w:t>
      </w:r>
      <w:r>
        <w:rPr>
          <w:rFonts w:ascii="Arial" w:cs="Arial" w:eastAsia="Arial" w:hAnsi="Arial"/>
          <w:sz w:val="21"/>
          <w:szCs w:val="21"/>
        </w:rPr>
        <w:t xml:space="preserve">For 24-hour SLA customers, accumulate weekday batches and target Saturday broadcast.</w:t>
      </w:r>
    </w:p>
    <w:p>
      <w:pPr>
        <w:pStyle w:val="Heading2"/>
        <w:spacing w:after="160" w:before="280"/>
      </w:pPr>
      <w:r>
        <w:rPr>
          <w:rFonts w:ascii="Arial" w:cs="Arial" w:eastAsia="Arial" w:hAnsi="Arial"/>
          <w:b/>
          <w:bCs/>
          <w:color w:val="2E75B6"/>
          <w:sz w:val="24"/>
          <w:szCs w:val="24"/>
        </w:rPr>
        <w:t xml:space="preserve">8.3 Proof Format</w:t>
      </w:r>
    </w:p>
    <w:p>
      <w:pPr>
        <w:spacing w:after="120"/>
      </w:pPr>
      <w:r>
        <w:rPr>
          <w:rFonts w:ascii="Arial" w:cs="Arial" w:eastAsia="Arial" w:hAnsi="Arial"/>
          <w:sz w:val="21"/>
          <w:szCs w:val="21"/>
        </w:rPr>
        <w:t xml:space="preserve">Design a self-contained proof format (JSON or CBOR) that includes:</w:t>
      </w:r>
    </w:p>
    <w:p>
      <w:pPr>
        <w:shd w:fill="F5F5F5" w:val="clear"/>
        <w:spacing w:after="80" w:before="80"/>
        <w:ind w:left="360"/>
      </w:pPr>
      <w:r>
        <w:rPr>
          <w:rFonts w:ascii="Courier New" w:cs="Courier New" w:eastAsia="Courier New" w:hAnsi="Courier New"/>
          <w:sz w:val="18"/>
          <w:szCs w:val="18"/>
        </w:rPr>
        <w:t xml:space="preserve">{ "version": 1, "documentHash": "&lt;SHA-256 hex&gt;", "merkleRoot": "&lt;SHA-256 hex&gt;",</w:t>
      </w:r>
    </w:p>
    <w:p>
      <w:pPr>
        <w:shd w:fill="F5F5F5" w:val="clear"/>
        <w:spacing w:after="80" w:before="80"/>
        <w:ind w:left="360"/>
      </w:pPr>
      <w:r>
        <w:rPr>
          <w:rFonts w:ascii="Courier New" w:cs="Courier New" w:eastAsia="Courier New" w:hAnsi="Courier New"/>
          <w:sz w:val="18"/>
          <w:szCs w:val="18"/>
        </w:rPr>
        <w:t xml:space="preserve">  "merkleProof": ["&lt;sibling hash&gt;", ...], "leafIndex": 42,</w:t>
      </w:r>
    </w:p>
    <w:p>
      <w:pPr>
        <w:shd w:fill="F5F5F5" w:val="clear"/>
        <w:spacing w:after="80" w:before="80"/>
        <w:ind w:left="360"/>
      </w:pPr>
      <w:r>
        <w:rPr>
          <w:rFonts w:ascii="Courier New" w:cs="Courier New" w:eastAsia="Courier New" w:hAnsi="Courier New"/>
          <w:sz w:val="18"/>
          <w:szCs w:val="18"/>
        </w:rPr>
        <w:t xml:space="preserve">  "bitcoinTxId": "&lt;txid hex&gt;", "blockHeight": 890123,</w:t>
      </w:r>
    </w:p>
    <w:p>
      <w:pPr>
        <w:shd w:fill="F5F5F5" w:val="clear"/>
        <w:spacing w:after="80" w:before="80"/>
        <w:ind w:left="360"/>
      </w:pPr>
      <w:r>
        <w:rPr>
          <w:rFonts w:ascii="Courier New" w:cs="Courier New" w:eastAsia="Courier New" w:hAnsi="Courier New"/>
          <w:sz w:val="18"/>
          <w:szCs w:val="18"/>
        </w:rPr>
        <w:t xml:space="preserve">  "blockHash": "&lt;block hash hex&gt;", "timestamp": "2026-03-24T12:00:00Z",</w:t>
      </w:r>
    </w:p>
    <w:p>
      <w:pPr>
        <w:shd w:fill="F5F5F5" w:val="clear"/>
        <w:spacing w:after="80" w:before="80"/>
        <w:ind w:left="360"/>
      </w:pPr>
      <w:r>
        <w:rPr>
          <w:rFonts w:ascii="Courier New" w:cs="Courier New" w:eastAsia="Courier New" w:hAnsi="Courier New"/>
          <w:sz w:val="18"/>
          <w:szCs w:val="18"/>
        </w:rPr>
        <w:t xml:space="preserve">  "anchorMethod": "op_return" | "p2c", "publicKey": "&lt;hex, only for p2c&gt;" }</w:t>
      </w:r>
    </w:p>
    <w:p>
      <w:pPr>
        <w:spacing w:after="120"/>
      </w:pPr>
      <w:r>
        <w:rPr>
          <w:rFonts w:ascii="Arial" w:cs="Arial" w:eastAsia="Arial" w:hAnsi="Arial"/>
          <w:sz w:val="21"/>
          <w:szCs w:val="21"/>
        </w:rPr>
        <w:t xml:space="preserve">This proof is independently verifiable by anyone with access to a Bitcoin full node (or even a block explorer API). No dependency on Arkova’s infrastructure for verification.</w:t>
      </w:r>
    </w:p>
    <w:p>
      <w:pPr>
        <w:pStyle w:val="Heading2"/>
        <w:spacing w:after="160" w:before="280"/>
      </w:pPr>
      <w:r>
        <w:rPr>
          <w:rFonts w:ascii="Arial" w:cs="Arial" w:eastAsia="Arial" w:hAnsi="Arial"/>
          <w:b/>
          <w:bCs/>
          <w:color w:val="2E75B6"/>
          <w:sz w:val="24"/>
          <w:szCs w:val="24"/>
        </w:rPr>
        <w:t xml:space="preserve">8.4 Staychain Pattern (Optional)</w:t>
      </w:r>
    </w:p>
    <w:p>
      <w:pPr>
        <w:spacing w:after="120"/>
      </w:pPr>
      <w:r>
        <w:rPr>
          <w:rFonts w:ascii="Arial" w:cs="Arial" w:eastAsia="Arial" w:hAnsi="Arial"/>
          <w:sz w:val="21"/>
          <w:szCs w:val="21"/>
        </w:rPr>
        <w:t xml:space="preserve">Adopt the Mainstay “staychain” pattern: each batch transaction spends an output from the previous batch. This creates a linked chain of anchoring events, making it easy to audit Arkova’s complete anchoring history by following the UTXO chain.</w:t>
      </w:r>
    </w:p>
    <w:p>
      <w:pPr>
        <w:spacing w:after="120"/>
      </w:pPr>
      <w:r>
        <w:rPr>
          <w:rFonts w:ascii="Arial" w:cs="Arial" w:eastAsia="Arial" w:hAnsi="Arial"/>
          <w:sz w:val="21"/>
          <w:szCs w:val="21"/>
        </w:rPr>
        <w:t xml:space="preserve">Benefits: auditability, ordering proof (each batch is provably after the previous one), single entry point for verifiers (follow the chain from genesis).</w:t>
      </w:r>
    </w:p>
    <w:p>
      <w:pPr>
        <w:spacing w:after="120"/>
      </w:pPr>
      <w:r>
        <w:rPr>
          <w:rFonts w:ascii="Arial" w:cs="Arial" w:eastAsia="Arial" w:hAnsi="Arial"/>
          <w:sz w:val="21"/>
          <w:szCs w:val="21"/>
        </w:rPr>
        <w:t xml:space="preserve">Cost: negligible (one additional input per transaction).</w:t>
      </w:r>
    </w:p>
    <w:p>
      <w:pPr>
        <w:pStyle w:val="Heading2"/>
        <w:spacing w:after="160" w:before="280"/>
      </w:pPr>
      <w:r>
        <w:rPr>
          <w:rFonts w:ascii="Arial" w:cs="Arial" w:eastAsia="Arial" w:hAnsi="Arial"/>
          <w:b/>
          <w:bCs/>
          <w:color w:val="2E75B6"/>
          <w:sz w:val="24"/>
          <w:szCs w:val="24"/>
        </w:rPr>
        <w:t xml:space="preserve">8.5 Verification SDK</w:t>
      </w:r>
    </w:p>
    <w:p>
      <w:pPr>
        <w:spacing w:after="120"/>
      </w:pPr>
      <w:r>
        <w:rPr>
          <w:rFonts w:ascii="Arial" w:cs="Arial" w:eastAsia="Arial" w:hAnsi="Arial"/>
          <w:sz w:val="21"/>
          <w:szCs w:val="21"/>
        </w:rPr>
        <w:t xml:space="preserve">Ship a verification library (TypeScript, Python, Go) that:</w:t>
      </w:r>
    </w:p>
    <w:p>
      <w:pPr>
        <w:pStyle w:val="ListParagraph"/>
        <w:numPr>
          <w:ilvl w:val="0"/>
          <w:numId w:val="3"/>
        </w:numPr>
        <w:spacing w:after="80"/>
      </w:pPr>
      <w:r>
        <w:rPr>
          <w:rFonts w:ascii="Arial" w:cs="Arial" w:eastAsia="Arial" w:hAnsi="Arial"/>
          <w:sz w:val="21"/>
          <w:szCs w:val="21"/>
        </w:rPr>
        <w:t xml:space="preserve">Takes an Arkova proof object</w:t>
      </w:r>
    </w:p>
    <w:p>
      <w:pPr>
        <w:pStyle w:val="ListParagraph"/>
        <w:numPr>
          <w:ilvl w:val="0"/>
          <w:numId w:val="3"/>
        </w:numPr>
        <w:spacing w:after="80"/>
      </w:pPr>
      <w:r>
        <w:rPr>
          <w:rFonts w:ascii="Arial" w:cs="Arial" w:eastAsia="Arial" w:hAnsi="Arial"/>
          <w:sz w:val="21"/>
          <w:szCs w:val="21"/>
        </w:rPr>
        <w:t xml:space="preserve">Fetches the Bitcoin transaction (via configurable backend: full node, Electrum, block explorer API)</w:t>
      </w:r>
    </w:p>
    <w:p>
      <w:pPr>
        <w:pStyle w:val="ListParagraph"/>
        <w:numPr>
          <w:ilvl w:val="0"/>
          <w:numId w:val="3"/>
        </w:numPr>
        <w:spacing w:after="80"/>
      </w:pPr>
      <w:r>
        <w:rPr>
          <w:rFonts w:ascii="Arial" w:cs="Arial" w:eastAsia="Arial" w:hAnsi="Arial"/>
          <w:sz w:val="21"/>
          <w:szCs w:val="21"/>
        </w:rPr>
        <w:t xml:space="preserve">Verifies the Merkle proof against the on-chain commitment</w:t>
      </w:r>
    </w:p>
    <w:p>
      <w:pPr>
        <w:pStyle w:val="ListParagraph"/>
        <w:numPr>
          <w:ilvl w:val="0"/>
          <w:numId w:val="3"/>
        </w:numPr>
        <w:spacing w:after="80"/>
      </w:pPr>
      <w:r>
        <w:rPr>
          <w:rFonts w:ascii="Arial" w:cs="Arial" w:eastAsia="Arial" w:hAnsi="Arial"/>
          <w:sz w:val="21"/>
          <w:szCs w:val="21"/>
        </w:rPr>
        <w:t xml:space="preserve">Returns a structured verification result with confidence level</w:t>
      </w:r>
    </w:p>
    <w:p>
      <w:pPr>
        <w:spacing w:after="120"/>
      </w:pPr>
      <w:r>
        <w:rPr>
          <w:rFonts w:ascii="Arial" w:cs="Arial" w:eastAsia="Arial" w:hAnsi="Arial"/>
          <w:sz w:val="21"/>
          <w:szCs w:val="21"/>
        </w:rPr>
        <w:t xml:space="preserve">This is critical for enterprise adoption. Customers need to verify anchors without understanding Bitcoin internals.</w:t>
      </w:r>
    </w:p>
    <w:p>
      <w:pPr>
        <w:pStyle w:val="Heading2"/>
        <w:spacing w:after="160" w:before="280"/>
      </w:pPr>
      <w:r>
        <w:rPr>
          <w:rFonts w:ascii="Arial" w:cs="Arial" w:eastAsia="Arial" w:hAnsi="Arial"/>
          <w:b/>
          <w:bCs/>
          <w:color w:val="2E75B6"/>
          <w:sz w:val="24"/>
          <w:szCs w:val="24"/>
        </w:rPr>
        <w:t xml:space="preserve">8.6 RFC 3161 Wrapper (Phase 3)</w:t>
      </w:r>
    </w:p>
    <w:p>
      <w:pPr>
        <w:spacing w:after="120"/>
      </w:pPr>
      <w:r>
        <w:rPr>
          <w:rFonts w:ascii="Arial" w:cs="Arial" w:eastAsia="Arial" w:hAnsi="Arial"/>
          <w:sz w:val="21"/>
          <w:szCs w:val="21"/>
        </w:rPr>
        <w:t xml:space="preserve">Implement an RFC 3161-compatible TSA endpoint that:</w:t>
      </w:r>
    </w:p>
    <w:p>
      <w:pPr>
        <w:pStyle w:val="ListParagraph"/>
        <w:numPr>
          <w:ilvl w:val="0"/>
          <w:numId w:val="3"/>
        </w:numPr>
        <w:spacing w:after="80"/>
      </w:pPr>
      <w:r>
        <w:rPr>
          <w:rFonts w:ascii="Arial" w:cs="Arial" w:eastAsia="Arial" w:hAnsi="Arial"/>
          <w:sz w:val="21"/>
          <w:szCs w:val="21"/>
        </w:rPr>
        <w:t xml:space="preserve">Accepts a TimeStampReq (per RFC 3161)</w:t>
      </w:r>
    </w:p>
    <w:p>
      <w:pPr>
        <w:pStyle w:val="ListParagraph"/>
        <w:numPr>
          <w:ilvl w:val="0"/>
          <w:numId w:val="3"/>
        </w:numPr>
        <w:spacing w:after="80"/>
      </w:pPr>
      <w:r>
        <w:rPr>
          <w:rFonts w:ascii="Arial" w:cs="Arial" w:eastAsia="Arial" w:hAnsi="Arial"/>
          <w:sz w:val="21"/>
          <w:szCs w:val="21"/>
        </w:rPr>
        <w:t xml:space="preserve">Issues a TimeStampResp signed with Arkova’s QTSP key</w:t>
      </w:r>
    </w:p>
    <w:p>
      <w:pPr>
        <w:pStyle w:val="ListParagraph"/>
        <w:numPr>
          <w:ilvl w:val="0"/>
          <w:numId w:val="3"/>
        </w:numPr>
        <w:spacing w:after="80"/>
      </w:pPr>
      <w:r>
        <w:rPr>
          <w:rFonts w:ascii="Arial" w:cs="Arial" w:eastAsia="Arial" w:hAnsi="Arial"/>
          <w:sz w:val="21"/>
          <w:szCs w:val="21"/>
        </w:rPr>
        <w:t xml:space="preserve">Includes a Bitcoin commitment reference in the TSA extensions</w:t>
      </w:r>
    </w:p>
    <w:p>
      <w:pPr>
        <w:pStyle w:val="ListParagraph"/>
        <w:numPr>
          <w:ilvl w:val="0"/>
          <w:numId w:val="3"/>
        </w:numPr>
        <w:spacing w:after="80"/>
      </w:pPr>
      <w:r>
        <w:rPr>
          <w:rFonts w:ascii="Arial" w:cs="Arial" w:eastAsia="Arial" w:hAnsi="Arial"/>
          <w:sz w:val="21"/>
          <w:szCs w:val="21"/>
        </w:rPr>
        <w:t xml:space="preserve">Returns a standard TST that existing tools can verify</w:t>
      </w:r>
    </w:p>
    <w:p>
      <w:pPr>
        <w:spacing w:after="120"/>
      </w:pPr>
      <w:r>
        <w:rPr>
          <w:rFonts w:ascii="Arial" w:cs="Arial" w:eastAsia="Arial" w:hAnsi="Arial"/>
          <w:sz w:val="21"/>
          <w:szCs w:val="21"/>
        </w:rPr>
        <w:t xml:space="preserve">This bridges the regulatory gap: traditional systems verify the RFC 3161 token; Bitcoin-aware systems additionally verify the blockchain anchor.</w:t>
      </w:r>
    </w:p>
    <w:p>
      <w:r>
        <w:br w:type="page"/>
      </w:r>
    </w:p>
    <w:p>
      <w:pPr>
        <w:pStyle w:val="Heading1"/>
        <w:spacing w:after="200" w:before="360"/>
      </w:pPr>
      <w:r>
        <w:rPr>
          <w:rFonts w:ascii="Arial" w:cs="Arial" w:eastAsia="Arial" w:hAnsi="Arial"/>
          <w:b/>
          <w:bCs/>
          <w:color w:val="1B2A4A"/>
          <w:sz w:val="28"/>
          <w:szCs w:val="28"/>
        </w:rPr>
        <w:t xml:space="preserve">9. Implementation Roadmap</w:t>
      </w:r>
    </w:p>
    <w:p>
      <w:pPr>
        <w:pStyle w:val="Heading2"/>
        <w:spacing w:after="160" w:before="280"/>
      </w:pPr>
      <w:r>
        <w:rPr>
          <w:rFonts w:ascii="Arial" w:cs="Arial" w:eastAsia="Arial" w:hAnsi="Arial"/>
          <w:b/>
          <w:bCs/>
          <w:color w:val="2E75B6"/>
          <w:sz w:val="24"/>
          <w:szCs w:val="24"/>
        </w:rPr>
        <w:t xml:space="preserve">Phase 1: Merkle Batching (Now — Q2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Arial" w:cs="Arial" w:eastAsia="Arial" w:hAnsi="Arial"/>
                <w:b/>
                <w:bCs/>
                <w:color w:val="FFFFFF"/>
                <w:sz w:val="18"/>
                <w:szCs w:val="18"/>
              </w:rPr>
              <w:t xml:space="preserve">Week</w:t>
            </w:r>
          </w:p>
        </w:tc>
        <w:tc>
          <w:tcPr>
            <w:tcW w:type="dxa" w:w="786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Arial" w:cs="Arial" w:eastAsia="Arial" w:hAnsi="Arial"/>
                <w:b/>
                <w:bCs/>
                <w:color w:val="FFFFFF"/>
                <w:sz w:val="18"/>
                <w:szCs w:val="18"/>
              </w:rPr>
              <w:t xml:space="preserve">Deliverable</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1-2</w:t>
            </w:r>
          </w:p>
        </w:tc>
        <w:tc>
          <w:tcPr>
            <w:tcW w:type="dxa" w:w="7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Merkle tree library: SHA-256, leaf/internal node domain separation, balanced tree, deterministic ordering</w:t>
            </w:r>
          </w:p>
        </w:tc>
      </w:tr>
      <w:tr>
        <w:tc>
          <w:tcPr>
            <w:tcW w:type="dxa" w:w="150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b/>
                <w:bCs/>
                <w:sz w:val="18"/>
                <w:szCs w:val="18"/>
              </w:rPr>
              <w:t xml:space="preserve">3-4</w:t>
            </w:r>
          </w:p>
        </w:tc>
        <w:tc>
          <w:tcPr>
            <w:tcW w:type="dxa" w:w="786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sz w:val="18"/>
                <w:szCs w:val="18"/>
              </w:rPr>
              <w:t xml:space="preserve">Batch scheduler: configurable interval, min/max batch size, single-document fallback</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5-6</w:t>
            </w:r>
          </w:p>
        </w:tc>
        <w:tc>
          <w:tcPr>
            <w:tcW w:type="dxa" w:w="7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Proof format: JSON schema, serialization/deserialization, proof generation</w:t>
            </w:r>
          </w:p>
        </w:tc>
      </w:tr>
      <w:tr>
        <w:tc>
          <w:tcPr>
            <w:tcW w:type="dxa" w:w="150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b/>
                <w:bCs/>
                <w:sz w:val="18"/>
                <w:szCs w:val="18"/>
              </w:rPr>
              <w:t xml:space="preserve">7-8</w:t>
            </w:r>
          </w:p>
        </w:tc>
        <w:tc>
          <w:tcPr>
            <w:tcW w:type="dxa" w:w="786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sz w:val="18"/>
                <w:szCs w:val="18"/>
              </w:rPr>
              <w:t xml:space="preserve">RBF fee management: initial low fee, progressive bumping, UTXO consolidation</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9-10</w:t>
            </w:r>
          </w:p>
        </w:tc>
        <w:tc>
          <w:tcPr>
            <w:tcW w:type="dxa" w:w="7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Integration testing on signet with simulated load (1K, 10K, 100K batches)</w:t>
            </w:r>
          </w:p>
        </w:tc>
      </w:tr>
      <w:tr>
        <w:tc>
          <w:tcPr>
            <w:tcW w:type="dxa" w:w="150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b/>
                <w:bCs/>
                <w:sz w:val="18"/>
                <w:szCs w:val="18"/>
              </w:rPr>
              <w:t xml:space="preserve">11-12</w:t>
            </w:r>
          </w:p>
        </w:tc>
        <w:tc>
          <w:tcPr>
            <w:tcW w:type="dxa" w:w="786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sz w:val="18"/>
                <w:szCs w:val="18"/>
              </w:rPr>
              <w:t xml:space="preserve">Mainnet deployment with KMS provisioning</w:t>
            </w:r>
          </w:p>
        </w:tc>
      </w:tr>
    </w:tbl>
    <w:p>
      <w:pPr>
        <w:spacing w:after="120"/>
      </w:pPr>
      <w:r>
        <w:rPr>
          <w:rFonts w:ascii="Arial" w:cs="Arial" w:eastAsia="Arial" w:hAnsi="Arial"/>
          <w:b/>
          <w:bCs/>
          <w:sz w:val="21"/>
          <w:szCs w:val="21"/>
        </w:rPr>
        <w:t xml:space="preserve">Dependencies: </w:t>
      </w:r>
      <w:r>
        <w:rPr>
          <w:rFonts w:ascii="Arial" w:cs="Arial" w:eastAsia="Arial" w:hAnsi="Arial"/>
          <w:sz w:val="21"/>
          <w:szCs w:val="21"/>
        </w:rPr>
        <w:t xml:space="preserve">AWS KMS provisioning (parallel track), mainnet fee account funding.</w:t>
      </w:r>
    </w:p>
    <w:p>
      <w:pPr>
        <w:pStyle w:val="Heading2"/>
        <w:spacing w:after="160" w:before="280"/>
      </w:pPr>
      <w:r>
        <w:rPr>
          <w:rFonts w:ascii="Arial" w:cs="Arial" w:eastAsia="Arial" w:hAnsi="Arial"/>
          <w:b/>
          <w:bCs/>
          <w:color w:val="2E75B6"/>
          <w:sz w:val="24"/>
          <w:szCs w:val="24"/>
        </w:rPr>
        <w:t xml:space="preserve">Phase 2: P2C Migration (Q3-Q4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Arial" w:cs="Arial" w:eastAsia="Arial" w:hAnsi="Arial"/>
                <w:b/>
                <w:bCs/>
                <w:color w:val="FFFFFF"/>
                <w:sz w:val="18"/>
                <w:szCs w:val="18"/>
              </w:rPr>
              <w:t xml:space="preserve">Week</w:t>
            </w:r>
          </w:p>
        </w:tc>
        <w:tc>
          <w:tcPr>
            <w:tcW w:type="dxa" w:w="786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Arial" w:cs="Arial" w:eastAsia="Arial" w:hAnsi="Arial"/>
                <w:b/>
                <w:bCs/>
                <w:color w:val="FFFFFF"/>
                <w:sz w:val="18"/>
                <w:szCs w:val="18"/>
              </w:rPr>
              <w:t xml:space="preserve">Deliverable</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1-3</w:t>
            </w:r>
          </w:p>
        </w:tc>
        <w:tc>
          <w:tcPr>
            <w:tcW w:type="dxa" w:w="7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P2C commitment library: Taproot key tweaking, tweaked key derivation, spend path for fund recovery</w:t>
            </w:r>
          </w:p>
        </w:tc>
      </w:tr>
      <w:tr>
        <w:tc>
          <w:tcPr>
            <w:tcW w:type="dxa" w:w="150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b/>
                <w:bCs/>
                <w:sz w:val="18"/>
                <w:szCs w:val="18"/>
              </w:rPr>
              <w:t xml:space="preserve">4-6</w:t>
            </w:r>
          </w:p>
        </w:tc>
        <w:tc>
          <w:tcPr>
            <w:tcW w:type="dxa" w:w="786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sz w:val="18"/>
                <w:szCs w:val="18"/>
              </w:rPr>
              <w:t xml:space="preserve">Migration path: dual-write (OP_RETURN + P2C) for transition period</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7-8</w:t>
            </w:r>
          </w:p>
        </w:tc>
        <w:tc>
          <w:tcPr>
            <w:tcW w:type="dxa" w:w="7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Verification SDK update: support both OP_RETURN and P2C proof verification</w:t>
            </w:r>
          </w:p>
        </w:tc>
      </w:tr>
      <w:tr>
        <w:tc>
          <w:tcPr>
            <w:tcW w:type="dxa" w:w="150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b/>
                <w:bCs/>
                <w:sz w:val="18"/>
                <w:szCs w:val="18"/>
              </w:rPr>
              <w:t xml:space="preserve">9-10</w:t>
            </w:r>
          </w:p>
        </w:tc>
        <w:tc>
          <w:tcPr>
            <w:tcW w:type="dxa" w:w="786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sz w:val="18"/>
                <w:szCs w:val="18"/>
              </w:rPr>
              <w:t xml:space="preserve">Sunset OP_RETURN anchoring (new anchors P2C only, old proofs remain valid)</w:t>
            </w:r>
          </w:p>
        </w:tc>
      </w:tr>
    </w:tbl>
    <w:p>
      <w:pPr>
        <w:spacing w:after="120"/>
      </w:pPr>
      <w:r>
        <w:rPr>
          <w:rFonts w:ascii="Arial" w:cs="Arial" w:eastAsia="Arial" w:hAnsi="Arial"/>
          <w:b/>
          <w:bCs/>
          <w:sz w:val="21"/>
          <w:szCs w:val="21"/>
        </w:rPr>
        <w:t xml:space="preserve">Key decision: </w:t>
      </w:r>
      <w:r>
        <w:rPr>
          <w:rFonts w:ascii="Arial" w:cs="Arial" w:eastAsia="Arial" w:hAnsi="Arial"/>
          <w:sz w:val="21"/>
          <w:szCs w:val="21"/>
        </w:rPr>
        <w:t xml:space="preserve">Whether to make the P2C UTXO spendable (fund recovery) or burn it (simpler, but wastes sats). Recommendation: make it spendable — cycle funds back to the fee account.</w:t>
      </w:r>
    </w:p>
    <w:p>
      <w:pPr>
        <w:pStyle w:val="Heading2"/>
        <w:spacing w:after="160" w:before="280"/>
      </w:pPr>
      <w:r>
        <w:rPr>
          <w:rFonts w:ascii="Arial" w:cs="Arial" w:eastAsia="Arial" w:hAnsi="Arial"/>
          <w:b/>
          <w:bCs/>
          <w:color w:val="2E75B6"/>
          <w:sz w:val="24"/>
          <w:szCs w:val="24"/>
        </w:rPr>
        <w:t xml:space="preserve">Phase 3: Regulatory Qualification (Q1-Q2 2027)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Arial" w:cs="Arial" w:eastAsia="Arial" w:hAnsi="Arial"/>
                <w:b/>
                <w:bCs/>
                <w:color w:val="FFFFFF"/>
                <w:sz w:val="18"/>
                <w:szCs w:val="18"/>
              </w:rPr>
              <w:t xml:space="preserve">Month</w:t>
            </w:r>
          </w:p>
        </w:tc>
        <w:tc>
          <w:tcPr>
            <w:tcW w:type="dxa" w:w="786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Arial" w:cs="Arial" w:eastAsia="Arial" w:hAnsi="Arial"/>
                <w:b/>
                <w:bCs/>
                <w:color w:val="FFFFFF"/>
                <w:sz w:val="18"/>
                <w:szCs w:val="18"/>
              </w:rPr>
              <w:t xml:space="preserve">Deliverable</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1-2</w:t>
            </w:r>
          </w:p>
        </w:tc>
        <w:tc>
          <w:tcPr>
            <w:tcW w:type="dxa" w:w="7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RFC 3161 TSA implementation</w:t>
            </w:r>
          </w:p>
        </w:tc>
      </w:tr>
      <w:tr>
        <w:tc>
          <w:tcPr>
            <w:tcW w:type="dxa" w:w="150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b/>
                <w:bCs/>
                <w:sz w:val="18"/>
                <w:szCs w:val="18"/>
              </w:rPr>
              <w:t xml:space="preserve">3-4</w:t>
            </w:r>
          </w:p>
        </w:tc>
        <w:tc>
          <w:tcPr>
            <w:tcW w:type="dxa" w:w="786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sz w:val="18"/>
                <w:szCs w:val="18"/>
              </w:rPr>
              <w:t xml:space="preserve">QTSP conformity assessment preparation</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5-6</w:t>
            </w:r>
          </w:p>
        </w:tc>
        <w:tc>
          <w:tcPr>
            <w:tcW w:type="dxa" w:w="7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eIDAS 2.0 Electronic Ledger qualification application</w:t>
            </w:r>
          </w:p>
        </w:tc>
      </w:tr>
    </w:tbl>
    <w:p>
      <w:pPr>
        <w:spacing w:after="120"/>
      </w:pPr>
      <w:r>
        <w:rPr>
          <w:rFonts w:ascii="Arial" w:cs="Arial" w:eastAsia="Arial" w:hAnsi="Arial"/>
          <w:b/>
          <w:bCs/>
          <w:sz w:val="21"/>
          <w:szCs w:val="21"/>
        </w:rPr>
        <w:t xml:space="preserve">Dependencies: </w:t>
      </w:r>
      <w:r>
        <w:rPr>
          <w:rFonts w:ascii="Arial" w:cs="Arial" w:eastAsia="Arial" w:hAnsi="Arial"/>
          <w:sz w:val="21"/>
          <w:szCs w:val="21"/>
        </w:rPr>
        <w:t xml:space="preserve">Legal counsel for QTSP application, conformity assessment body selection.</w:t>
      </w:r>
    </w:p>
    <w:p>
      <w:pPr>
        <w:pStyle w:val="Heading2"/>
        <w:spacing w:after="160" w:before="280"/>
      </w:pPr>
      <w:r>
        <w:rPr>
          <w:rFonts w:ascii="Arial" w:cs="Arial" w:eastAsia="Arial" w:hAnsi="Arial"/>
          <w:b/>
          <w:bCs/>
          <w:color w:val="2E75B6"/>
          <w:sz w:val="24"/>
          <w:szCs w:val="24"/>
        </w:rPr>
        <w:t xml:space="preserve">Phase 4: Advanced Features (Q3 2027+)</w:t>
      </w:r>
    </w:p>
    <w:p>
      <w:pPr>
        <w:pStyle w:val="ListParagraph"/>
        <w:numPr>
          <w:ilvl w:val="0"/>
          <w:numId w:val="2"/>
        </w:numPr>
        <w:spacing w:after="80"/>
      </w:pPr>
      <w:r>
        <w:rPr>
          <w:rFonts w:ascii="Arial" w:cs="Arial" w:eastAsia="Arial" w:hAnsi="Arial"/>
          <w:sz w:val="21"/>
          <w:szCs w:val="21"/>
        </w:rPr>
        <w:t xml:space="preserve">Staychain implementation (linked batch transactions)</w:t>
      </w:r>
    </w:p>
    <w:p>
      <w:pPr>
        <w:pStyle w:val="ListParagraph"/>
        <w:numPr>
          <w:ilvl w:val="0"/>
          <w:numId w:val="2"/>
        </w:numPr>
        <w:spacing w:after="80"/>
      </w:pPr>
      <w:r>
        <w:rPr>
          <w:rFonts w:ascii="Arial" w:cs="Arial" w:eastAsia="Arial" w:hAnsi="Arial"/>
          <w:sz w:val="21"/>
          <w:szCs w:val="21"/>
        </w:rPr>
        <w:t xml:space="preserve">Multi-region anchoring (Bitcoin + one backup chain for regulatory redundancy)</w:t>
      </w:r>
    </w:p>
    <w:p>
      <w:pPr>
        <w:pStyle w:val="ListParagraph"/>
        <w:numPr>
          <w:ilvl w:val="0"/>
          <w:numId w:val="2"/>
        </w:numPr>
        <w:spacing w:after="80"/>
      </w:pPr>
      <w:r>
        <w:rPr>
          <w:rFonts w:ascii="Arial" w:cs="Arial" w:eastAsia="Arial" w:hAnsi="Arial"/>
          <w:sz w:val="21"/>
          <w:szCs w:val="21"/>
        </w:rPr>
        <w:t xml:space="preserve">Zero-knowledge proof of anchor (prove a credential is anchored without revealing which transaction)</w:t>
      </w:r>
    </w:p>
    <w:p>
      <w:pPr>
        <w:pStyle w:val="ListParagraph"/>
        <w:numPr>
          <w:ilvl w:val="0"/>
          <w:numId w:val="2"/>
        </w:numPr>
        <w:spacing w:after="80"/>
      </w:pPr>
      <w:r>
        <w:rPr>
          <w:rFonts w:ascii="Arial" w:cs="Arial" w:eastAsia="Arial" w:hAnsi="Arial"/>
          <w:sz w:val="21"/>
          <w:szCs w:val="21"/>
        </w:rPr>
        <w:t xml:space="preserve">Threshold signatures for batch signing (replace single KMS key with M-of-N)</w:t>
      </w:r>
    </w:p>
    <w:p>
      <w:r>
        <w:br w:type="page"/>
      </w:r>
    </w:p>
    <w:p>
      <w:pPr>
        <w:pStyle w:val="Heading1"/>
        <w:spacing w:after="200" w:before="360"/>
      </w:pPr>
      <w:r>
        <w:rPr>
          <w:rFonts w:ascii="Arial" w:cs="Arial" w:eastAsia="Arial" w:hAnsi="Arial"/>
          <w:b/>
          <w:bCs/>
          <w:color w:val="1B2A4A"/>
          <w:sz w:val="28"/>
          <w:szCs w:val="28"/>
        </w:rPr>
        <w:t xml:space="preserve">10. Risks &amp; Mitigations</w:t>
      </w:r>
    </w:p>
    <w:p>
      <w:pPr>
        <w:pStyle w:val="Heading2"/>
        <w:spacing w:after="160" w:before="280"/>
      </w:pPr>
      <w:r>
        <w:rPr>
          <w:rFonts w:ascii="Arial" w:cs="Arial" w:eastAsia="Arial" w:hAnsi="Arial"/>
          <w:b/>
          <w:bCs/>
          <w:color w:val="2E75B6"/>
          <w:sz w:val="24"/>
          <w:szCs w:val="24"/>
        </w:rPr>
        <w:t xml:space="preserve">10.1 Bitcoin Fee Spikes</w:t>
      </w:r>
    </w:p>
    <w:p>
      <w:pPr>
        <w:spacing w:after="120"/>
      </w:pPr>
      <w:r>
        <w:rPr>
          <w:rFonts w:ascii="Arial" w:cs="Arial" w:eastAsia="Arial" w:hAnsi="Arial"/>
          <w:b/>
          <w:bCs/>
          <w:sz w:val="21"/>
          <w:szCs w:val="21"/>
        </w:rPr>
        <w:t xml:space="preserve">Risk: </w:t>
      </w:r>
      <w:r>
        <w:rPr>
          <w:rFonts w:ascii="Arial" w:cs="Arial" w:eastAsia="Arial" w:hAnsi="Arial"/>
          <w:sz w:val="21"/>
          <w:szCs w:val="21"/>
        </w:rPr>
        <w:t xml:space="preserve">Extended high-fee periods (50+ sat/vB for weeks) making anchoring expensive.</w:t>
      </w:r>
    </w:p>
    <w:p>
      <w:pPr>
        <w:spacing w:after="120"/>
      </w:pPr>
      <w:r>
        <w:rPr>
          <w:rFonts w:ascii="Arial" w:cs="Arial" w:eastAsia="Arial" w:hAnsi="Arial"/>
          <w:b/>
          <w:bCs/>
          <w:sz w:val="21"/>
          <w:szCs w:val="21"/>
        </w:rPr>
        <w:t xml:space="preserve">Mitigation: </w:t>
      </w:r>
      <w:r>
        <w:rPr>
          <w:rFonts w:ascii="Arial" w:cs="Arial" w:eastAsia="Arial" w:hAnsi="Arial"/>
          <w:sz w:val="21"/>
          <w:szCs w:val="21"/>
        </w:rPr>
        <w:t xml:space="preserve">Merkle batching absorbs fee spikes gracefully — a 10x fee increase with 1,000-document batches still costs &lt; $0.01/anchor. RBF strategy ensures Arkova doesn’t overpay during spikes. Worst case: increase batch interval during high-fee periods to accumulate more documents per batch.</w:t>
      </w:r>
    </w:p>
    <w:p>
      <w:pPr>
        <w:pStyle w:val="Heading2"/>
        <w:spacing w:after="160" w:before="280"/>
      </w:pPr>
      <w:r>
        <w:rPr>
          <w:rFonts w:ascii="Arial" w:cs="Arial" w:eastAsia="Arial" w:hAnsi="Arial"/>
          <w:b/>
          <w:bCs/>
          <w:color w:val="2E75B6"/>
          <w:sz w:val="24"/>
          <w:szCs w:val="24"/>
        </w:rPr>
        <w:t xml:space="preserve">10.2 Bitcoin Protocol Changes</w:t>
      </w:r>
    </w:p>
    <w:p>
      <w:pPr>
        <w:spacing w:after="120"/>
      </w:pPr>
      <w:r>
        <w:rPr>
          <w:rFonts w:ascii="Arial" w:cs="Arial" w:eastAsia="Arial" w:hAnsi="Arial"/>
          <w:b/>
          <w:bCs/>
          <w:sz w:val="21"/>
          <w:szCs w:val="21"/>
        </w:rPr>
        <w:t xml:space="preserve">Risk: </w:t>
      </w:r>
      <w:r>
        <w:rPr>
          <w:rFonts w:ascii="Arial" w:cs="Arial" w:eastAsia="Arial" w:hAnsi="Arial"/>
          <w:sz w:val="21"/>
          <w:szCs w:val="21"/>
        </w:rPr>
        <w:t xml:space="preserve">Future Bitcoin Core releases restrict or modify OP_RETURN behavior.</w:t>
      </w:r>
    </w:p>
    <w:p>
      <w:pPr>
        <w:spacing w:after="120"/>
      </w:pPr>
      <w:r>
        <w:rPr>
          <w:rFonts w:ascii="Arial" w:cs="Arial" w:eastAsia="Arial" w:hAnsi="Arial"/>
          <w:b/>
          <w:bCs/>
          <w:sz w:val="21"/>
          <w:szCs w:val="21"/>
        </w:rPr>
        <w:t xml:space="preserve">Mitigation: </w:t>
      </w:r>
      <w:r>
        <w:rPr>
          <w:rFonts w:ascii="Arial" w:cs="Arial" w:eastAsia="Arial" w:hAnsi="Arial"/>
          <w:sz w:val="21"/>
          <w:szCs w:val="21"/>
        </w:rPr>
        <w:t xml:space="preserve">The v30 changes moved in the opposite direction (expanded limits). However, P2C migration (Phase 2) eliminates this risk entirely — P2C commitments are indistinguishable from normal transactions and cannot be policy-filtered. This is the strongest argument for Phase 2.</w:t>
      </w:r>
    </w:p>
    <w:p>
      <w:pPr>
        <w:pStyle w:val="Heading2"/>
        <w:spacing w:after="160" w:before="280"/>
      </w:pPr>
      <w:r>
        <w:rPr>
          <w:rFonts w:ascii="Arial" w:cs="Arial" w:eastAsia="Arial" w:hAnsi="Arial"/>
          <w:b/>
          <w:bCs/>
          <w:color w:val="2E75B6"/>
          <w:sz w:val="24"/>
          <w:szCs w:val="24"/>
        </w:rPr>
        <w:t xml:space="preserve">10.3 Node Policy Fragmentation</w:t>
      </w:r>
    </w:p>
    <w:p>
      <w:pPr>
        <w:spacing w:after="120"/>
      </w:pPr>
      <w:r>
        <w:rPr>
          <w:rFonts w:ascii="Arial" w:cs="Arial" w:eastAsia="Arial" w:hAnsi="Arial"/>
          <w:b/>
          <w:bCs/>
          <w:sz w:val="21"/>
          <w:szCs w:val="21"/>
        </w:rPr>
        <w:t xml:space="preserve">Risk: </w:t>
      </w:r>
      <w:r>
        <w:rPr>
          <w:rFonts w:ascii="Arial" w:cs="Arial" w:eastAsia="Arial" w:hAnsi="Arial"/>
          <w:sz w:val="21"/>
          <w:szCs w:val="21"/>
        </w:rPr>
        <w:t xml:space="preserve">~12% of nodes run Bitcoin Knots with stricter relay policies. Arkova’s transactions might not propagate to all nodes.</w:t>
      </w:r>
    </w:p>
    <w:p>
      <w:pPr>
        <w:spacing w:after="120"/>
      </w:pPr>
      <w:r>
        <w:rPr>
          <w:rFonts w:ascii="Arial" w:cs="Arial" w:eastAsia="Arial" w:hAnsi="Arial"/>
          <w:b/>
          <w:bCs/>
          <w:sz w:val="21"/>
          <w:szCs w:val="21"/>
        </w:rPr>
        <w:t xml:space="preserve">Mitigation: </w:t>
      </w:r>
      <w:r>
        <w:rPr>
          <w:rFonts w:ascii="Arial" w:cs="Arial" w:eastAsia="Arial" w:hAnsi="Arial"/>
          <w:sz w:val="21"/>
          <w:szCs w:val="21"/>
        </w:rPr>
        <w:t xml:space="preserve">Arkova’s OP_RETURN transactions (32-byte payload) are well within even Knots’ 80-byte limit. No issue today. P2C transactions are indistinguishable from normal Taproot spends — universally relayed.</w:t>
      </w:r>
    </w:p>
    <w:p>
      <w:pPr>
        <w:pStyle w:val="Heading2"/>
        <w:spacing w:after="160" w:before="280"/>
      </w:pPr>
      <w:r>
        <w:rPr>
          <w:rFonts w:ascii="Arial" w:cs="Arial" w:eastAsia="Arial" w:hAnsi="Arial"/>
          <w:b/>
          <w:bCs/>
          <w:color w:val="2E75B6"/>
          <w:sz w:val="24"/>
          <w:szCs w:val="24"/>
        </w:rPr>
        <w:t xml:space="preserve">10.4 Key Compromise (AWS KMS)</w:t>
      </w:r>
    </w:p>
    <w:p>
      <w:pPr>
        <w:spacing w:after="120"/>
      </w:pPr>
      <w:r>
        <w:rPr>
          <w:rFonts w:ascii="Arial" w:cs="Arial" w:eastAsia="Arial" w:hAnsi="Arial"/>
          <w:b/>
          <w:bCs/>
          <w:sz w:val="21"/>
          <w:szCs w:val="21"/>
        </w:rPr>
        <w:t xml:space="preserve">Risk: </w:t>
      </w:r>
      <w:r>
        <w:rPr>
          <w:rFonts w:ascii="Arial" w:cs="Arial" w:eastAsia="Arial" w:hAnsi="Arial"/>
          <w:sz w:val="21"/>
          <w:szCs w:val="21"/>
        </w:rPr>
        <w:t xml:space="preserve">AWS KMS key used for signing anchoring transactions is compromised.</w:t>
      </w:r>
    </w:p>
    <w:p>
      <w:pPr>
        <w:spacing w:after="120"/>
      </w:pPr>
      <w:r>
        <w:rPr>
          <w:rFonts w:ascii="Arial" w:cs="Arial" w:eastAsia="Arial" w:hAnsi="Arial"/>
          <w:b/>
          <w:bCs/>
          <w:sz w:val="21"/>
          <w:szCs w:val="21"/>
        </w:rPr>
        <w:t xml:space="preserve">Mitigation: </w:t>
      </w:r>
      <w:r>
        <w:rPr>
          <w:rFonts w:ascii="Arial" w:cs="Arial" w:eastAsia="Arial" w:hAnsi="Arial"/>
          <w:sz w:val="21"/>
          <w:szCs w:val="21"/>
        </w:rPr>
        <w:t xml:space="preserve">KMS provides hardware-backed key protection with audit logging. Implement key rotation schedule. For P2C, a compromised key means an attacker could create fake anchoring proofs — but they’d also need to create Bitcoin transactions, which requires the fee account UTXO. Separate the signing key from the UTXO access path.</w:t>
      </w:r>
    </w:p>
    <w:p>
      <w:pPr>
        <w:pStyle w:val="Heading2"/>
        <w:spacing w:after="160" w:before="280"/>
      </w:pPr>
      <w:r>
        <w:rPr>
          <w:rFonts w:ascii="Arial" w:cs="Arial" w:eastAsia="Arial" w:hAnsi="Arial"/>
          <w:b/>
          <w:bCs/>
          <w:color w:val="2E75B6"/>
          <w:sz w:val="24"/>
          <w:szCs w:val="24"/>
        </w:rPr>
        <w:t xml:space="preserve">10.5 Merkle Proof Storage Loss</w:t>
      </w:r>
    </w:p>
    <w:p>
      <w:pPr>
        <w:spacing w:after="120"/>
      </w:pPr>
      <w:r>
        <w:rPr>
          <w:rFonts w:ascii="Arial" w:cs="Arial" w:eastAsia="Arial" w:hAnsi="Arial"/>
          <w:b/>
          <w:bCs/>
          <w:sz w:val="21"/>
          <w:szCs w:val="21"/>
        </w:rPr>
        <w:t xml:space="preserve">Risk: </w:t>
      </w:r>
      <w:r>
        <w:rPr>
          <w:rFonts w:ascii="Arial" w:cs="Arial" w:eastAsia="Arial" w:hAnsi="Arial"/>
          <w:sz w:val="21"/>
          <w:szCs w:val="21"/>
        </w:rPr>
        <w:t xml:space="preserve">Merkle proofs stored off-chain (DynamoDB/S3) are lost. Without proofs, individual documents can’t be verified against the on-chain root.</w:t>
      </w:r>
    </w:p>
    <w:p>
      <w:pPr>
        <w:spacing w:after="120"/>
      </w:pPr>
      <w:r>
        <w:rPr>
          <w:rFonts w:ascii="Arial" w:cs="Arial" w:eastAsia="Arial" w:hAnsi="Arial"/>
          <w:b/>
          <w:bCs/>
          <w:sz w:val="21"/>
          <w:szCs w:val="21"/>
        </w:rPr>
        <w:t xml:space="preserve">Mitigation: </w:t>
      </w:r>
      <w:r>
        <w:rPr>
          <w:rFonts w:ascii="Arial" w:cs="Arial" w:eastAsia="Arial" w:hAnsi="Arial"/>
          <w:sz w:val="21"/>
          <w:szCs w:val="21"/>
        </w:rPr>
        <w:t xml:space="preserve">S3 with cross-region replication and versioning. DynamoDB global tables. Regular proof export to cold storage. Consider publishing proof sets to IPFS as an additional redundancy layer. The Merkle tree can be reconstructed from the original document hashes if the batch membership list is preserved.</w:t>
      </w:r>
    </w:p>
    <w:p>
      <w:pPr>
        <w:pStyle w:val="Heading2"/>
        <w:spacing w:after="160" w:before="280"/>
      </w:pPr>
      <w:r>
        <w:rPr>
          <w:rFonts w:ascii="Arial" w:cs="Arial" w:eastAsia="Arial" w:hAnsi="Arial"/>
          <w:b/>
          <w:bCs/>
          <w:color w:val="2E75B6"/>
          <w:sz w:val="24"/>
          <w:szCs w:val="24"/>
        </w:rPr>
        <w:t xml:space="preserve">10.6 Regulatory Risk</w:t>
      </w:r>
    </w:p>
    <w:p>
      <w:pPr>
        <w:spacing w:after="120"/>
      </w:pPr>
      <w:r>
        <w:rPr>
          <w:rFonts w:ascii="Arial" w:cs="Arial" w:eastAsia="Arial" w:hAnsi="Arial"/>
          <w:b/>
          <w:bCs/>
          <w:sz w:val="21"/>
          <w:szCs w:val="21"/>
        </w:rPr>
        <w:t xml:space="preserve">Risk: </w:t>
      </w:r>
      <w:r>
        <w:rPr>
          <w:rFonts w:ascii="Arial" w:cs="Arial" w:eastAsia="Arial" w:hAnsi="Arial"/>
          <w:sz w:val="21"/>
          <w:szCs w:val="21"/>
        </w:rPr>
        <w:t xml:space="preserve">A jurisdiction rules that Bitcoin-based timestamps don’t meet legal requirements for Arkova’s use case.</w:t>
      </w:r>
    </w:p>
    <w:p>
      <w:pPr>
        <w:spacing w:after="120"/>
      </w:pPr>
      <w:r>
        <w:rPr>
          <w:rFonts w:ascii="Arial" w:cs="Arial" w:eastAsia="Arial" w:hAnsi="Arial"/>
          <w:b/>
          <w:bCs/>
          <w:sz w:val="21"/>
          <w:szCs w:val="21"/>
        </w:rPr>
        <w:t xml:space="preserve">Mitigation: </w:t>
      </w:r>
      <w:r>
        <w:rPr>
          <w:rFonts w:ascii="Arial" w:cs="Arial" w:eastAsia="Arial" w:hAnsi="Arial"/>
          <w:sz w:val="21"/>
          <w:szCs w:val="21"/>
        </w:rPr>
        <w:t xml:space="preserve">RFC 3161 wrapper (Phase 3) provides a standards-compliant fallback. The Bitcoin anchor becomes additional assurance on top of a legally recognized timestamp format. Belt-and-suspenders.</w:t>
      </w:r>
    </w:p>
    <w:p>
      <w:pPr>
        <w:pStyle w:val="Heading2"/>
        <w:spacing w:after="160" w:before="280"/>
      </w:pPr>
      <w:r>
        <w:rPr>
          <w:rFonts w:ascii="Arial" w:cs="Arial" w:eastAsia="Arial" w:hAnsi="Arial"/>
          <w:b/>
          <w:bCs/>
          <w:color w:val="2E75B6"/>
          <w:sz w:val="24"/>
          <w:szCs w:val="24"/>
        </w:rPr>
        <w:t xml:space="preserve">10.7 Reorg Risk</w:t>
      </w:r>
    </w:p>
    <w:p>
      <w:pPr>
        <w:spacing w:after="120"/>
      </w:pPr>
      <w:r>
        <w:rPr>
          <w:rFonts w:ascii="Arial" w:cs="Arial" w:eastAsia="Arial" w:hAnsi="Arial"/>
          <w:b/>
          <w:bCs/>
          <w:sz w:val="21"/>
          <w:szCs w:val="21"/>
        </w:rPr>
        <w:t xml:space="preserve">Risk: </w:t>
      </w:r>
      <w:r>
        <w:rPr>
          <w:rFonts w:ascii="Arial" w:cs="Arial" w:eastAsia="Arial" w:hAnsi="Arial"/>
          <w:sz w:val="21"/>
          <w:szCs w:val="21"/>
        </w:rPr>
        <w:t xml:space="preserve">A Bitcoin blockchain reorganization invalidates a confirmed anchoring transaction.</w:t>
      </w:r>
    </w:p>
    <w:p>
      <w:pPr>
        <w:spacing w:after="120"/>
      </w:pPr>
      <w:r>
        <w:rPr>
          <w:rFonts w:ascii="Arial" w:cs="Arial" w:eastAsia="Arial" w:hAnsi="Arial"/>
          <w:b/>
          <w:bCs/>
          <w:sz w:val="21"/>
          <w:szCs w:val="21"/>
        </w:rPr>
        <w:t xml:space="preserve">Mitigation: </w:t>
      </w:r>
      <w:r>
        <w:rPr>
          <w:rFonts w:ascii="Arial" w:cs="Arial" w:eastAsia="Arial" w:hAnsi="Arial"/>
          <w:sz w:val="21"/>
          <w:szCs w:val="21"/>
        </w:rPr>
        <w:t xml:space="preserve">Wait for 6 confirmations (~1 hour) before reporting an anchor as final. For high-value credentials, wait for 12+ confirmations. Reorgs deeper than 6 blocks have not occurred on Bitcoin mainnet in over a decade.</w:t>
      </w:r>
    </w:p>
    <w:p>
      <w:pPr>
        <w:pStyle w:val="Heading2"/>
        <w:spacing w:after="160" w:before="280"/>
      </w:pPr>
      <w:r>
        <w:rPr>
          <w:rFonts w:ascii="Arial" w:cs="Arial" w:eastAsia="Arial" w:hAnsi="Arial"/>
          <w:b/>
          <w:bCs/>
          <w:color w:val="2E75B6"/>
          <w:sz w:val="24"/>
          <w:szCs w:val="24"/>
        </w:rPr>
        <w:t xml:space="preserve">10.8 BTC Price Volatility</w:t>
      </w:r>
    </w:p>
    <w:p>
      <w:pPr>
        <w:spacing w:after="120"/>
      </w:pPr>
      <w:r>
        <w:rPr>
          <w:rFonts w:ascii="Arial" w:cs="Arial" w:eastAsia="Arial" w:hAnsi="Arial"/>
          <w:b/>
          <w:bCs/>
          <w:sz w:val="21"/>
          <w:szCs w:val="21"/>
        </w:rPr>
        <w:t xml:space="preserve">Risk: </w:t>
      </w:r>
      <w:r>
        <w:rPr>
          <w:rFonts w:ascii="Arial" w:cs="Arial" w:eastAsia="Arial" w:hAnsi="Arial"/>
          <w:sz w:val="21"/>
          <w:szCs w:val="21"/>
        </w:rPr>
        <w:t xml:space="preserve">BTC price appreciation makes anchoring more expensive in USD terms.</w:t>
      </w:r>
    </w:p>
    <w:p>
      <w:pPr>
        <w:spacing w:after="120"/>
      </w:pPr>
      <w:r>
        <w:rPr>
          <w:rFonts w:ascii="Arial" w:cs="Arial" w:eastAsia="Arial" w:hAnsi="Arial"/>
          <w:b/>
          <w:bCs/>
          <w:sz w:val="21"/>
          <w:szCs w:val="21"/>
        </w:rPr>
        <w:t xml:space="preserve">Mitigation: </w:t>
      </w:r>
      <w:r>
        <w:rPr>
          <w:rFonts w:ascii="Arial" w:cs="Arial" w:eastAsia="Arial" w:hAnsi="Arial"/>
          <w:sz w:val="21"/>
          <w:szCs w:val="21"/>
        </w:rPr>
        <w:t xml:space="preserve">With Merkle batching, the BTC amount per anchor is tiny (microcents). Even a 10x BTC price increase from $84K to $840K would only move costs from $0.00014/anchor to $0.0014/anchor at batch size 1,000. Still negligible.</w:t>
      </w:r>
    </w:p>
    <w:p>
      <w:r>
        <w:br w:type="page"/>
      </w:r>
    </w:p>
    <w:p>
      <w:pPr>
        <w:pStyle w:val="Heading1"/>
        <w:spacing w:after="200" w:before="360"/>
      </w:pPr>
      <w:r>
        <w:rPr>
          <w:rFonts w:ascii="Arial" w:cs="Arial" w:eastAsia="Arial" w:hAnsi="Arial"/>
          <w:b/>
          <w:bCs/>
          <w:color w:val="1B2A4A"/>
          <w:sz w:val="28"/>
          <w:szCs w:val="28"/>
        </w:rPr>
        <w:t xml:space="preserve">11. Sources</w:t>
      </w:r>
    </w:p>
    <w:p>
      <w:pPr>
        <w:pStyle w:val="Heading2"/>
        <w:spacing w:after="160" w:before="280"/>
      </w:pPr>
      <w:r>
        <w:rPr>
          <w:rFonts w:ascii="Arial" w:cs="Arial" w:eastAsia="Arial" w:hAnsi="Arial"/>
          <w:b/>
          <w:bCs/>
          <w:color w:val="2E75B6"/>
          <w:sz w:val="24"/>
          <w:szCs w:val="24"/>
        </w:rPr>
        <w:t xml:space="preserve">Bitcoin Core &amp; Protocol</w:t>
      </w:r>
    </w:p>
    <w:p>
      <w:pPr>
        <w:pStyle w:val="ListParagraph"/>
        <w:numPr>
          <w:ilvl w:val="0"/>
          <w:numId w:val="2"/>
        </w:numPr>
        <w:spacing w:after="80"/>
      </w:pPr>
      <w:r>
        <w:rPr>
          <w:rFonts w:ascii="Arial" w:cs="Arial" w:eastAsia="Arial" w:hAnsi="Arial"/>
          <w:sz w:val="21"/>
          <w:szCs w:val="21"/>
        </w:rPr>
        <w:t xml:space="preserve">Bitcoin Core v30 OP_RETURN Changes — CoinDesk</w:t>
      </w:r>
    </w:p>
    <w:p>
      <w:pPr>
        <w:pStyle w:val="ListParagraph"/>
        <w:numPr>
          <w:ilvl w:val="0"/>
          <w:numId w:val="2"/>
        </w:numPr>
        <w:spacing w:after="80"/>
      </w:pPr>
      <w:r>
        <w:rPr>
          <w:rFonts w:ascii="Arial" w:cs="Arial" w:eastAsia="Arial" w:hAnsi="Arial"/>
          <w:sz w:val="21"/>
          <w:szCs w:val="21"/>
        </w:rPr>
        <w:t xml:space="preserve">Bitcoin Core v30 Release Guide — Yellow</w:t>
      </w:r>
    </w:p>
    <w:p>
      <w:pPr>
        <w:pStyle w:val="ListParagraph"/>
        <w:numPr>
          <w:ilvl w:val="0"/>
          <w:numId w:val="2"/>
        </w:numPr>
        <w:spacing w:after="80"/>
      </w:pPr>
      <w:r>
        <w:rPr>
          <w:rFonts w:ascii="Arial" w:cs="Arial" w:eastAsia="Arial" w:hAnsi="Arial"/>
          <w:sz w:val="21"/>
          <w:szCs w:val="21"/>
        </w:rPr>
        <w:t xml:space="preserve">OP_RETURN Policy Merge — The Block</w:t>
      </w:r>
    </w:p>
    <w:p>
      <w:pPr>
        <w:pStyle w:val="ListParagraph"/>
        <w:numPr>
          <w:ilvl w:val="0"/>
          <w:numId w:val="2"/>
        </w:numPr>
        <w:spacing w:after="80"/>
      </w:pPr>
      <w:r>
        <w:rPr>
          <w:rFonts w:ascii="Arial" w:cs="Arial" w:eastAsia="Arial" w:hAnsi="Arial"/>
          <w:sz w:val="21"/>
          <w:szCs w:val="21"/>
        </w:rPr>
        <w:t xml:space="preserve">GitHub Issue #33619: Revert OP_RETURN Changes</w:t>
      </w:r>
    </w:p>
    <w:p>
      <w:pPr>
        <w:pStyle w:val="ListParagraph"/>
        <w:numPr>
          <w:ilvl w:val="0"/>
          <w:numId w:val="2"/>
        </w:numPr>
        <w:spacing w:after="80"/>
      </w:pPr>
      <w:r>
        <w:rPr>
          <w:rFonts w:ascii="Arial" w:cs="Arial" w:eastAsia="Arial" w:hAnsi="Arial"/>
          <w:sz w:val="21"/>
          <w:szCs w:val="21"/>
        </w:rPr>
        <w:t xml:space="preserve">GitHub Issue #33595: Decouple Data Carrier Limits</w:t>
      </w:r>
    </w:p>
    <w:p>
      <w:pPr>
        <w:pStyle w:val="ListParagraph"/>
        <w:numPr>
          <w:ilvl w:val="0"/>
          <w:numId w:val="2"/>
        </w:numPr>
        <w:spacing w:after="80"/>
      </w:pPr>
      <w:r>
        <w:rPr>
          <w:rFonts w:ascii="Arial" w:cs="Arial" w:eastAsia="Arial" w:hAnsi="Arial"/>
          <w:sz w:val="21"/>
          <w:szCs w:val="21"/>
        </w:rPr>
        <w:t xml:space="preserve">BIP 341 — Taproot Standard</w:t>
      </w:r>
    </w:p>
    <w:p>
      <w:pPr>
        <w:pStyle w:val="ListParagraph"/>
        <w:numPr>
          <w:ilvl w:val="0"/>
          <w:numId w:val="2"/>
        </w:numPr>
        <w:spacing w:after="80"/>
      </w:pPr>
      <w:r>
        <w:rPr>
          <w:rFonts w:ascii="Arial" w:cs="Arial" w:eastAsia="Arial" w:hAnsi="Arial"/>
          <w:sz w:val="21"/>
          <w:szCs w:val="21"/>
        </w:rPr>
        <w:t xml:space="preserve">BIP 347 — OP_CAT in Tapscript</w:t>
      </w:r>
    </w:p>
    <w:p>
      <w:pPr>
        <w:pStyle w:val="ListParagraph"/>
        <w:numPr>
          <w:ilvl w:val="0"/>
          <w:numId w:val="2"/>
        </w:numPr>
        <w:spacing w:after="80"/>
      </w:pPr>
      <w:r>
        <w:rPr>
          <w:rFonts w:ascii="Arial" w:cs="Arial" w:eastAsia="Arial" w:hAnsi="Arial"/>
          <w:sz w:val="21"/>
          <w:szCs w:val="21"/>
        </w:rPr>
        <w:t xml:space="preserve">Bitcoin Optech — Taproot</w:t>
      </w:r>
    </w:p>
    <w:p>
      <w:pPr>
        <w:pStyle w:val="ListParagraph"/>
        <w:numPr>
          <w:ilvl w:val="0"/>
          <w:numId w:val="2"/>
        </w:numPr>
        <w:spacing w:after="80"/>
      </w:pPr>
      <w:r>
        <w:rPr>
          <w:rFonts w:ascii="Arial" w:cs="Arial" w:eastAsia="Arial" w:hAnsi="Arial"/>
          <w:sz w:val="21"/>
          <w:szCs w:val="21"/>
        </w:rPr>
        <w:t xml:space="preserve">Bitcoin Optech — Replace-by-Fee</w:t>
      </w:r>
    </w:p>
    <w:p>
      <w:pPr>
        <w:pStyle w:val="ListParagraph"/>
        <w:numPr>
          <w:ilvl w:val="0"/>
          <w:numId w:val="2"/>
        </w:numPr>
        <w:spacing w:after="80"/>
      </w:pPr>
      <w:r>
        <w:rPr>
          <w:rFonts w:ascii="Arial" w:cs="Arial" w:eastAsia="Arial" w:hAnsi="Arial"/>
          <w:sz w:val="21"/>
          <w:szCs w:val="21"/>
        </w:rPr>
        <w:t xml:space="preserve">Bitcoin Optech — OP_CAT</w:t>
      </w:r>
    </w:p>
    <w:p>
      <w:pPr>
        <w:pStyle w:val="Heading2"/>
        <w:spacing w:after="160" w:before="280"/>
      </w:pPr>
      <w:r>
        <w:rPr>
          <w:rFonts w:ascii="Arial" w:cs="Arial" w:eastAsia="Arial" w:hAnsi="Arial"/>
          <w:b/>
          <w:bCs/>
          <w:color w:val="2E75B6"/>
          <w:sz w:val="24"/>
          <w:szCs w:val="24"/>
        </w:rPr>
        <w:t xml:space="preserve">Commitment Schemes &amp; Data Embedding</w:t>
      </w:r>
    </w:p>
    <w:p>
      <w:pPr>
        <w:pStyle w:val="ListParagraph"/>
        <w:numPr>
          <w:ilvl w:val="0"/>
          <w:numId w:val="2"/>
        </w:numPr>
        <w:spacing w:after="80"/>
      </w:pPr>
      <w:r>
        <w:rPr>
          <w:rFonts w:ascii="Arial" w:cs="Arial" w:eastAsia="Arial" w:hAnsi="Arial"/>
          <w:sz w:val="21"/>
          <w:szCs w:val="21"/>
        </w:rPr>
        <w:t xml:space="preserve">RGB Protocol Commitment Schemes</w:t>
      </w:r>
    </w:p>
    <w:p>
      <w:pPr>
        <w:pStyle w:val="ListParagraph"/>
        <w:numPr>
          <w:ilvl w:val="0"/>
          <w:numId w:val="2"/>
        </w:numPr>
        <w:spacing w:after="80"/>
      </w:pPr>
      <w:r>
        <w:rPr>
          <w:rFonts w:ascii="Arial" w:cs="Arial" w:eastAsia="Arial" w:hAnsi="Arial"/>
          <w:sz w:val="21"/>
          <w:szCs w:val="21"/>
        </w:rPr>
        <w:t xml:space="preserve">LNPBP-1 Standard — Pay-to-Contract</w:t>
      </w:r>
    </w:p>
    <w:p>
      <w:pPr>
        <w:pStyle w:val="ListParagraph"/>
        <w:numPr>
          <w:ilvl w:val="0"/>
          <w:numId w:val="2"/>
        </w:numPr>
        <w:spacing w:after="80"/>
      </w:pPr>
      <w:r>
        <w:rPr>
          <w:rFonts w:ascii="Arial" w:cs="Arial" w:eastAsia="Arial" w:hAnsi="Arial"/>
          <w:sz w:val="21"/>
          <w:szCs w:val="21"/>
        </w:rPr>
        <w:t xml:space="preserve">Taproot Script Path Deep Analysis</w:t>
      </w:r>
    </w:p>
    <w:p>
      <w:pPr>
        <w:pStyle w:val="ListParagraph"/>
        <w:numPr>
          <w:ilvl w:val="0"/>
          <w:numId w:val="2"/>
        </w:numPr>
        <w:spacing w:after="80"/>
      </w:pPr>
      <w:r>
        <w:rPr>
          <w:rFonts w:ascii="Arial" w:cs="Arial" w:eastAsia="Arial" w:hAnsi="Arial"/>
          <w:sz w:val="21"/>
          <w:szCs w:val="21"/>
        </w:rPr>
        <w:t xml:space="preserve">How Bitcoin Inscriptions Really Work</w:t>
      </w:r>
    </w:p>
    <w:p>
      <w:pPr>
        <w:pStyle w:val="ListParagraph"/>
        <w:numPr>
          <w:ilvl w:val="0"/>
          <w:numId w:val="2"/>
        </w:numPr>
        <w:spacing w:after="80"/>
      </w:pPr>
      <w:r>
        <w:rPr>
          <w:rFonts w:ascii="Arial" w:cs="Arial" w:eastAsia="Arial" w:hAnsi="Arial"/>
          <w:sz w:val="21"/>
          <w:szCs w:val="21"/>
        </w:rPr>
        <w:t xml:space="preserve">Understanding Taproot Assets Protocol</w:t>
      </w:r>
    </w:p>
    <w:p>
      <w:pPr>
        <w:pStyle w:val="ListParagraph"/>
        <w:numPr>
          <w:ilvl w:val="0"/>
          <w:numId w:val="2"/>
        </w:numPr>
        <w:spacing w:after="80"/>
      </w:pPr>
      <w:r>
        <w:rPr>
          <w:rFonts w:ascii="Arial" w:cs="Arial" w:eastAsia="Arial" w:hAnsi="Arial"/>
          <w:sz w:val="21"/>
          <w:szCs w:val="21"/>
        </w:rPr>
        <w:t xml:space="preserve">Ordinal Theory Handbook — Inscriptions</w:t>
      </w:r>
    </w:p>
    <w:p>
      <w:pPr>
        <w:pStyle w:val="ListParagraph"/>
        <w:numPr>
          <w:ilvl w:val="0"/>
          <w:numId w:val="2"/>
        </w:numPr>
        <w:spacing w:after="80"/>
      </w:pPr>
      <w:r>
        <w:rPr>
          <w:rFonts w:ascii="Arial" w:cs="Arial" w:eastAsia="Arial" w:hAnsi="Arial"/>
          <w:sz w:val="21"/>
          <w:szCs w:val="21"/>
        </w:rPr>
        <w:t xml:space="preserve">The Witness Discount Explained</w:t>
      </w:r>
    </w:p>
    <w:p>
      <w:pPr>
        <w:pStyle w:val="ListParagraph"/>
        <w:numPr>
          <w:ilvl w:val="0"/>
          <w:numId w:val="2"/>
        </w:numPr>
        <w:spacing w:after="80"/>
      </w:pPr>
      <w:r>
        <w:rPr>
          <w:rFonts w:ascii="Arial" w:cs="Arial" w:eastAsia="Arial" w:hAnsi="Arial"/>
          <w:sz w:val="21"/>
          <w:szCs w:val="21"/>
        </w:rPr>
        <w:t xml:space="preserve">BitVM Whitepaper</w:t>
      </w:r>
    </w:p>
    <w:p>
      <w:pPr>
        <w:pStyle w:val="Heading2"/>
        <w:spacing w:after="160" w:before="280"/>
      </w:pPr>
      <w:r>
        <w:rPr>
          <w:rFonts w:ascii="Arial" w:cs="Arial" w:eastAsia="Arial" w:hAnsi="Arial"/>
          <w:b/>
          <w:bCs/>
          <w:color w:val="2E75B6"/>
          <w:sz w:val="24"/>
          <w:szCs w:val="24"/>
        </w:rPr>
        <w:t xml:space="preserve">Competing Protocols</w:t>
      </w:r>
    </w:p>
    <w:p>
      <w:pPr>
        <w:pStyle w:val="ListParagraph"/>
        <w:numPr>
          <w:ilvl w:val="0"/>
          <w:numId w:val="2"/>
        </w:numPr>
        <w:spacing w:after="80"/>
      </w:pPr>
      <w:r>
        <w:rPr>
          <w:rFonts w:ascii="Arial" w:cs="Arial" w:eastAsia="Arial" w:hAnsi="Arial"/>
          <w:sz w:val="21"/>
          <w:szCs w:val="21"/>
        </w:rPr>
        <w:t xml:space="preserve">OpenTimestamps</w:t>
      </w:r>
    </w:p>
    <w:p>
      <w:pPr>
        <w:pStyle w:val="ListParagraph"/>
        <w:numPr>
          <w:ilvl w:val="0"/>
          <w:numId w:val="2"/>
        </w:numPr>
        <w:spacing w:after="80"/>
      </w:pPr>
      <w:r>
        <w:rPr>
          <w:rFonts w:ascii="Arial" w:cs="Arial" w:eastAsia="Arial" w:hAnsi="Arial"/>
          <w:sz w:val="21"/>
          <w:szCs w:val="21"/>
        </w:rPr>
        <w:t xml:space="preserve">OpenTimestamps Announcement — Peter Todd</w:t>
      </w:r>
    </w:p>
    <w:p>
      <w:pPr>
        <w:pStyle w:val="ListParagraph"/>
        <w:numPr>
          <w:ilvl w:val="0"/>
          <w:numId w:val="2"/>
        </w:numPr>
        <w:spacing w:after="80"/>
      </w:pPr>
      <w:r>
        <w:rPr>
          <w:rFonts w:ascii="Arial" w:cs="Arial" w:eastAsia="Arial" w:hAnsi="Arial"/>
          <w:sz w:val="21"/>
          <w:szCs w:val="21"/>
        </w:rPr>
        <w:t xml:space="preserve">Chainpoint Protocol</w:t>
      </w:r>
    </w:p>
    <w:p>
      <w:pPr>
        <w:pStyle w:val="ListParagraph"/>
        <w:numPr>
          <w:ilvl w:val="0"/>
          <w:numId w:val="2"/>
        </w:numPr>
        <w:spacing w:after="80"/>
      </w:pPr>
      <w:r>
        <w:rPr>
          <w:rFonts w:ascii="Arial" w:cs="Arial" w:eastAsia="Arial" w:hAnsi="Arial"/>
          <w:sz w:val="21"/>
          <w:szCs w:val="21"/>
        </w:rPr>
        <w:t xml:space="preserve">Proof of Existence</w:t>
      </w:r>
    </w:p>
    <w:p>
      <w:pPr>
        <w:pStyle w:val="ListParagraph"/>
        <w:numPr>
          <w:ilvl w:val="0"/>
          <w:numId w:val="2"/>
        </w:numPr>
        <w:spacing w:after="80"/>
      </w:pPr>
      <w:r>
        <w:rPr>
          <w:rFonts w:ascii="Arial" w:cs="Arial" w:eastAsia="Arial" w:hAnsi="Arial"/>
          <w:sz w:val="21"/>
          <w:szCs w:val="21"/>
        </w:rPr>
        <w:t xml:space="preserve">Mainstay Documentation — CommerceBlock</w:t>
      </w:r>
    </w:p>
    <w:p>
      <w:pPr>
        <w:pStyle w:val="ListParagraph"/>
        <w:numPr>
          <w:ilvl w:val="0"/>
          <w:numId w:val="2"/>
        </w:numPr>
        <w:spacing w:after="80"/>
      </w:pPr>
      <w:r>
        <w:rPr>
          <w:rFonts w:ascii="Arial" w:cs="Arial" w:eastAsia="Arial" w:hAnsi="Arial"/>
          <w:sz w:val="21"/>
          <w:szCs w:val="21"/>
        </w:rPr>
        <w:t xml:space="preserve">RGB Protocol</w:t>
      </w:r>
    </w:p>
    <w:p>
      <w:pPr>
        <w:pStyle w:val="ListParagraph"/>
        <w:numPr>
          <w:ilvl w:val="0"/>
          <w:numId w:val="2"/>
        </w:numPr>
        <w:spacing w:after="80"/>
      </w:pPr>
      <w:r>
        <w:rPr>
          <w:rFonts w:ascii="Arial" w:cs="Arial" w:eastAsia="Arial" w:hAnsi="Arial"/>
          <w:sz w:val="21"/>
          <w:szCs w:val="21"/>
        </w:rPr>
        <w:t xml:space="preserve">RGB v0.12 Release</w:t>
      </w:r>
    </w:p>
    <w:p>
      <w:pPr>
        <w:pStyle w:val="ListParagraph"/>
        <w:numPr>
          <w:ilvl w:val="0"/>
          <w:numId w:val="2"/>
        </w:numPr>
        <w:spacing w:after="80"/>
      </w:pPr>
      <w:r>
        <w:rPr>
          <w:rFonts w:ascii="Arial" w:cs="Arial" w:eastAsia="Arial" w:hAnsi="Arial"/>
          <w:sz w:val="21"/>
          <w:szCs w:val="21"/>
        </w:rPr>
        <w:t xml:space="preserve">Stacks Proof of Transfer</w:t>
      </w:r>
    </w:p>
    <w:p>
      <w:pPr>
        <w:pStyle w:val="ListParagraph"/>
        <w:numPr>
          <w:ilvl w:val="0"/>
          <w:numId w:val="2"/>
        </w:numPr>
        <w:spacing w:after="80"/>
      </w:pPr>
      <w:r>
        <w:rPr>
          <w:rFonts w:ascii="Arial" w:cs="Arial" w:eastAsia="Arial" w:hAnsi="Arial"/>
          <w:sz w:val="21"/>
          <w:szCs w:val="21"/>
        </w:rPr>
        <w:t xml:space="preserve">OriginStamp Timestamping</w:t>
      </w:r>
    </w:p>
    <w:p>
      <w:pPr>
        <w:pStyle w:val="ListParagraph"/>
        <w:numPr>
          <w:ilvl w:val="0"/>
          <w:numId w:val="2"/>
        </w:numPr>
        <w:spacing w:after="80"/>
      </w:pPr>
      <w:r>
        <w:rPr>
          <w:rFonts w:ascii="Arial" w:cs="Arial" w:eastAsia="Arial" w:hAnsi="Arial"/>
          <w:sz w:val="21"/>
          <w:szCs w:val="21"/>
        </w:rPr>
        <w:t xml:space="preserve">Accumulate Network</w:t>
      </w:r>
    </w:p>
    <w:p>
      <w:pPr>
        <w:pStyle w:val="Heading2"/>
        <w:spacing w:after="160" w:before="280"/>
      </w:pPr>
      <w:r>
        <w:rPr>
          <w:rFonts w:ascii="Arial" w:cs="Arial" w:eastAsia="Arial" w:hAnsi="Arial"/>
          <w:b/>
          <w:bCs/>
          <w:color w:val="2E75B6"/>
          <w:sz w:val="24"/>
          <w:szCs w:val="24"/>
        </w:rPr>
        <w:t xml:space="preserve">Fee Market &amp; Cost Data</w:t>
      </w:r>
    </w:p>
    <w:p>
      <w:pPr>
        <w:pStyle w:val="ListParagraph"/>
        <w:numPr>
          <w:ilvl w:val="0"/>
          <w:numId w:val="2"/>
        </w:numPr>
        <w:spacing w:after="80"/>
      </w:pPr>
      <w:r>
        <w:rPr>
          <w:rFonts w:ascii="Arial" w:cs="Arial" w:eastAsia="Arial" w:hAnsi="Arial"/>
          <w:sz w:val="21"/>
          <w:szCs w:val="21"/>
        </w:rPr>
        <w:t xml:space="preserve">Bitcoin Average Transaction Fee — YCharts</w:t>
      </w:r>
    </w:p>
    <w:p>
      <w:pPr>
        <w:pStyle w:val="ListParagraph"/>
        <w:numPr>
          <w:ilvl w:val="0"/>
          <w:numId w:val="2"/>
        </w:numPr>
        <w:spacing w:after="80"/>
      </w:pPr>
      <w:r>
        <w:rPr>
          <w:rFonts w:ascii="Arial" w:cs="Arial" w:eastAsia="Arial" w:hAnsi="Arial"/>
          <w:sz w:val="21"/>
          <w:szCs w:val="21"/>
        </w:rPr>
        <w:t xml:space="preserve">Bitcoin Transaction Fees — 99Bitcoins</w:t>
      </w:r>
    </w:p>
    <w:p>
      <w:pPr>
        <w:pStyle w:val="ListParagraph"/>
        <w:numPr>
          <w:ilvl w:val="0"/>
          <w:numId w:val="2"/>
        </w:numPr>
        <w:spacing w:after="80"/>
      </w:pPr>
      <w:r>
        <w:rPr>
          <w:rFonts w:ascii="Arial" w:cs="Arial" w:eastAsia="Arial" w:hAnsi="Arial"/>
          <w:sz w:val="21"/>
          <w:szCs w:val="21"/>
        </w:rPr>
        <w:t xml:space="preserve">Mempool.space</w:t>
      </w:r>
    </w:p>
    <w:p>
      <w:pPr>
        <w:pStyle w:val="ListParagraph"/>
        <w:numPr>
          <w:ilvl w:val="0"/>
          <w:numId w:val="2"/>
        </w:numPr>
        <w:spacing w:after="80"/>
      </w:pPr>
      <w:r>
        <w:rPr>
          <w:rFonts w:ascii="Arial" w:cs="Arial" w:eastAsia="Arial" w:hAnsi="Arial"/>
          <w:sz w:val="21"/>
          <w:szCs w:val="21"/>
        </w:rPr>
        <w:t xml:space="preserve">Bitcoin Optech Transaction Size Calculator</w:t>
      </w:r>
    </w:p>
    <w:p>
      <w:pPr>
        <w:pStyle w:val="ListParagraph"/>
        <w:numPr>
          <w:ilvl w:val="0"/>
          <w:numId w:val="2"/>
        </w:numPr>
        <w:spacing w:after="80"/>
      </w:pPr>
      <w:r>
        <w:rPr>
          <w:rFonts w:ascii="Arial" w:cs="Arial" w:eastAsia="Arial" w:hAnsi="Arial"/>
          <w:sz w:val="21"/>
          <w:szCs w:val="21"/>
        </w:rPr>
        <w:t xml:space="preserve">When Are Bitcoin Fees Lowest — Bitget</w:t>
      </w:r>
    </w:p>
    <w:p>
      <w:pPr>
        <w:pStyle w:val="Heading2"/>
        <w:spacing w:after="160" w:before="280"/>
      </w:pPr>
      <w:r>
        <w:rPr>
          <w:rFonts w:ascii="Arial" w:cs="Arial" w:eastAsia="Arial" w:hAnsi="Arial"/>
          <w:b/>
          <w:bCs/>
          <w:color w:val="2E75B6"/>
          <w:sz w:val="24"/>
          <w:szCs w:val="24"/>
        </w:rPr>
        <w:t xml:space="preserve">Regulatory &amp; Standards</w:t>
      </w:r>
    </w:p>
    <w:p>
      <w:pPr>
        <w:pStyle w:val="ListParagraph"/>
        <w:numPr>
          <w:ilvl w:val="0"/>
          <w:numId w:val="2"/>
        </w:numPr>
        <w:spacing w:after="80"/>
      </w:pPr>
      <w:r>
        <w:rPr>
          <w:rFonts w:ascii="Arial" w:cs="Arial" w:eastAsia="Arial" w:hAnsi="Arial"/>
          <w:sz w:val="21"/>
          <w:szCs w:val="21"/>
        </w:rPr>
        <w:t xml:space="preserve">ISO/IEC 18014-1:2008</w:t>
      </w:r>
    </w:p>
    <w:p>
      <w:pPr>
        <w:pStyle w:val="ListParagraph"/>
        <w:numPr>
          <w:ilvl w:val="0"/>
          <w:numId w:val="2"/>
        </w:numPr>
        <w:spacing w:after="80"/>
      </w:pPr>
      <w:r>
        <w:rPr>
          <w:rFonts w:ascii="Arial" w:cs="Arial" w:eastAsia="Arial" w:hAnsi="Arial"/>
          <w:sz w:val="21"/>
          <w:szCs w:val="21"/>
        </w:rPr>
        <w:t xml:space="preserve">ISO/IEC 18014-2:2021</w:t>
      </w:r>
    </w:p>
    <w:p>
      <w:pPr>
        <w:pStyle w:val="ListParagraph"/>
        <w:numPr>
          <w:ilvl w:val="0"/>
          <w:numId w:val="2"/>
        </w:numPr>
        <w:spacing w:after="80"/>
      </w:pPr>
      <w:r>
        <w:rPr>
          <w:rFonts w:ascii="Arial" w:cs="Arial" w:eastAsia="Arial" w:hAnsi="Arial"/>
          <w:sz w:val="21"/>
          <w:szCs w:val="21"/>
        </w:rPr>
        <w:t xml:space="preserve">eIDAS 2.0 Compliance — Entrust</w:t>
      </w:r>
    </w:p>
    <w:p>
      <w:pPr>
        <w:pStyle w:val="ListParagraph"/>
        <w:numPr>
          <w:ilvl w:val="0"/>
          <w:numId w:val="2"/>
        </w:numPr>
        <w:spacing w:after="80"/>
      </w:pPr>
      <w:r>
        <w:rPr>
          <w:rFonts w:ascii="Arial" w:cs="Arial" w:eastAsia="Arial" w:hAnsi="Arial"/>
          <w:sz w:val="21"/>
          <w:szCs w:val="21"/>
        </w:rPr>
        <w:t xml:space="preserve">Qualified Timestamps Legal Force</w:t>
      </w:r>
    </w:p>
    <w:p>
      <w:pPr>
        <w:pStyle w:val="ListParagraph"/>
        <w:numPr>
          <w:ilvl w:val="0"/>
          <w:numId w:val="2"/>
        </w:numPr>
        <w:spacing w:after="80"/>
      </w:pPr>
      <w:r>
        <w:rPr>
          <w:rFonts w:ascii="Arial" w:cs="Arial" w:eastAsia="Arial" w:hAnsi="Arial"/>
          <w:sz w:val="21"/>
          <w:szCs w:val="21"/>
        </w:rPr>
        <w:t xml:space="preserve">RFC 3161 — Time-Stamp Protocol</w:t>
      </w:r>
    </w:p>
    <w:p>
      <w:pPr>
        <w:pStyle w:val="ListParagraph"/>
        <w:numPr>
          <w:ilvl w:val="0"/>
          <w:numId w:val="2"/>
        </w:numPr>
        <w:spacing w:after="80"/>
      </w:pPr>
      <w:r>
        <w:rPr>
          <w:rFonts w:ascii="Arial" w:cs="Arial" w:eastAsia="Arial" w:hAnsi="Arial"/>
          <w:sz w:val="21"/>
          <w:szCs w:val="21"/>
        </w:rPr>
        <w:t xml:space="preserve">IETF Draft — Distributed Ledger Time-Stamp</w:t>
      </w:r>
    </w:p>
    <w:p>
      <w:pPr>
        <w:pStyle w:val="ListParagraph"/>
        <w:numPr>
          <w:ilvl w:val="0"/>
          <w:numId w:val="2"/>
        </w:numPr>
        <w:spacing w:after="80"/>
      </w:pPr>
      <w:r>
        <w:rPr>
          <w:rFonts w:ascii="Arial" w:cs="Arial" w:eastAsia="Arial" w:hAnsi="Arial"/>
          <w:sz w:val="21"/>
          <w:szCs w:val="21"/>
        </w:rPr>
        <w:t xml:space="preserve">NIST IR 8202 — Blockchain Technology Overview</w:t>
      </w:r>
    </w:p>
    <w:p>
      <w:pPr>
        <w:pStyle w:val="ListParagraph"/>
        <w:numPr>
          <w:ilvl w:val="0"/>
          <w:numId w:val="2"/>
        </w:numPr>
        <w:spacing w:after="80"/>
      </w:pPr>
      <w:r>
        <w:rPr>
          <w:rFonts w:ascii="Arial" w:cs="Arial" w:eastAsia="Arial" w:hAnsi="Arial"/>
          <w:sz w:val="21"/>
          <w:szCs w:val="21"/>
        </w:rPr>
        <w:t xml:space="preserve">ETSI EN 319 421 V1.3.1</w:t>
      </w:r>
    </w:p>
    <w:p>
      <w:pPr>
        <w:pStyle w:val="ListParagraph"/>
        <w:numPr>
          <w:ilvl w:val="0"/>
          <w:numId w:val="2"/>
        </w:numPr>
        <w:spacing w:after="80"/>
      </w:pPr>
      <w:r>
        <w:rPr>
          <w:rFonts w:ascii="Arial" w:cs="Arial" w:eastAsia="Arial" w:hAnsi="Arial"/>
          <w:sz w:val="21"/>
          <w:szCs w:val="21"/>
        </w:rPr>
        <w:t xml:space="preserve">Italy’s Legal Recognition of Blockchain Timestamping</w:t>
      </w:r>
    </w:p>
    <w:p>
      <w:pPr>
        <w:pStyle w:val="ListParagraph"/>
        <w:numPr>
          <w:ilvl w:val="0"/>
          <w:numId w:val="2"/>
        </w:numPr>
        <w:spacing w:after="80"/>
      </w:pPr>
      <w:r>
        <w:rPr>
          <w:rFonts w:ascii="Arial" w:cs="Arial" w:eastAsia="Arial" w:hAnsi="Arial"/>
          <w:sz w:val="21"/>
          <w:szCs w:val="21"/>
        </w:rPr>
        <w:t xml:space="preserve">Blockchain Evidence in Chinese Courts — Stanford</w:t>
      </w:r>
    </w:p>
    <w:p>
      <w:pPr>
        <w:pStyle w:val="ListParagraph"/>
        <w:numPr>
          <w:ilvl w:val="0"/>
          <w:numId w:val="2"/>
        </w:numPr>
        <w:spacing w:after="80"/>
      </w:pPr>
      <w:r>
        <w:rPr>
          <w:rFonts w:ascii="Arial" w:cs="Arial" w:eastAsia="Arial" w:hAnsi="Arial"/>
          <w:sz w:val="21"/>
          <w:szCs w:val="21"/>
        </w:rPr>
        <w:t xml:space="preserve">Blockchain in the Courtroom — Frontiers</w:t>
      </w:r>
    </w:p>
    <w:p>
      <w:pPr>
        <w:pStyle w:val="Heading2"/>
        <w:spacing w:after="160" w:before="280"/>
      </w:pPr>
      <w:r>
        <w:rPr>
          <w:rFonts w:ascii="Arial" w:cs="Arial" w:eastAsia="Arial" w:hAnsi="Arial"/>
          <w:b/>
          <w:bCs/>
          <w:color w:val="2E75B6"/>
          <w:sz w:val="24"/>
          <w:szCs w:val="24"/>
        </w:rPr>
        <w:t xml:space="preserve">BitcoinTalk Forum Threads</w:t>
      </w:r>
    </w:p>
    <w:p>
      <w:pPr>
        <w:pStyle w:val="ListParagraph"/>
        <w:numPr>
          <w:ilvl w:val="0"/>
          <w:numId w:val="2"/>
        </w:numPr>
        <w:spacing w:after="80"/>
      </w:pPr>
      <w:r>
        <w:rPr>
          <w:rFonts w:ascii="Arial" w:cs="Arial" w:eastAsia="Arial" w:hAnsi="Arial"/>
          <w:sz w:val="21"/>
          <w:szCs w:val="21"/>
        </w:rPr>
        <w:t xml:space="preserve">Timestamping on the Bitcoin Blockchain: limits</w:t>
      </w:r>
    </w:p>
    <w:p>
      <w:pPr>
        <w:pStyle w:val="ListParagraph"/>
        <w:numPr>
          <w:ilvl w:val="0"/>
          <w:numId w:val="2"/>
        </w:numPr>
        <w:spacing w:after="80"/>
      </w:pPr>
      <w:r>
        <w:rPr>
          <w:rFonts w:ascii="Arial" w:cs="Arial" w:eastAsia="Arial" w:hAnsi="Arial"/>
          <w:sz w:val="21"/>
          <w:szCs w:val="21"/>
        </w:rPr>
        <w:t xml:space="preserve">OP_RETURN</w:t>
      </w:r>
    </w:p>
    <w:p>
      <w:pPr>
        <w:pStyle w:val="ListParagraph"/>
        <w:numPr>
          <w:ilvl w:val="0"/>
          <w:numId w:val="2"/>
        </w:numPr>
        <w:spacing w:after="80"/>
      </w:pPr>
      <w:r>
        <w:rPr>
          <w:rFonts w:ascii="Arial" w:cs="Arial" w:eastAsia="Arial" w:hAnsi="Arial"/>
          <w:sz w:val="21"/>
          <w:szCs w:val="21"/>
        </w:rPr>
        <w:t xml:space="preserve">Removing OP_return limits seems like a huge mistake</w:t>
      </w:r>
    </w:p>
    <w:p>
      <w:pPr>
        <w:pStyle w:val="ListParagraph"/>
        <w:numPr>
          <w:ilvl w:val="0"/>
          <w:numId w:val="2"/>
        </w:numPr>
        <w:spacing w:after="80"/>
      </w:pPr>
      <w:r>
        <w:rPr>
          <w:rFonts w:ascii="Arial" w:cs="Arial" w:eastAsia="Arial" w:hAnsi="Arial"/>
          <w:sz w:val="21"/>
          <w:szCs w:val="21"/>
        </w:rPr>
        <w:t xml:space="preserve">Bitcoin Core or Bitcoin Knots, the OP_RETURN debate</w:t>
      </w:r>
    </w:p>
    <w:p>
      <w:pPr>
        <w:pStyle w:val="ListParagraph"/>
        <w:numPr>
          <w:ilvl w:val="0"/>
          <w:numId w:val="2"/>
        </w:numPr>
        <w:spacing w:after="80"/>
      </w:pPr>
      <w:r>
        <w:rPr>
          <w:rFonts w:ascii="Arial" w:cs="Arial" w:eastAsia="Arial" w:hAnsi="Arial"/>
          <w:sz w:val="21"/>
          <w:szCs w:val="21"/>
        </w:rPr>
        <w:t xml:space="preserve">Signing file and proof of existence | OP_RETURN 80 +17 bytes</w:t>
      </w:r>
    </w:p>
    <w:p>
      <w:pPr>
        <w:pStyle w:val="ListParagraph"/>
        <w:numPr>
          <w:ilvl w:val="0"/>
          <w:numId w:val="2"/>
        </w:numPr>
        <w:spacing w:after="80"/>
      </w:pPr>
      <w:r>
        <w:rPr>
          <w:rFonts w:ascii="Arial" w:cs="Arial" w:eastAsia="Arial" w:hAnsi="Arial"/>
          <w:sz w:val="21"/>
          <w:szCs w:val="21"/>
        </w:rPr>
        <w:t xml:space="preserve">FACTOM — Introducing Honesty to Record-Keeping</w:t>
      </w:r>
    </w:p>
    <w:p>
      <w:pPr>
        <w:pStyle w:val="ListParagraph"/>
        <w:numPr>
          <w:ilvl w:val="0"/>
          <w:numId w:val="2"/>
        </w:numPr>
        <w:spacing w:after="80"/>
      </w:pPr>
      <w:r>
        <w:rPr>
          <w:rFonts w:ascii="Arial" w:cs="Arial" w:eastAsia="Arial" w:hAnsi="Arial"/>
          <w:sz w:val="21"/>
          <w:szCs w:val="21"/>
        </w:rPr>
        <w:t xml:space="preserve">Stampery.co — blockchain-based proof of ownership</w:t>
      </w:r>
    </w:p>
    <w:p>
      <w:pPr>
        <w:pStyle w:val="ListParagraph"/>
        <w:numPr>
          <w:ilvl w:val="0"/>
          <w:numId w:val="2"/>
        </w:numPr>
        <w:spacing w:after="80"/>
      </w:pPr>
      <w:r>
        <w:rPr>
          <w:rFonts w:ascii="Arial" w:cs="Arial" w:eastAsia="Arial" w:hAnsi="Arial"/>
          <w:sz w:val="21"/>
          <w:szCs w:val="21"/>
        </w:rPr>
        <w:t xml:space="preserve">Using the Blockchain to Document Intellectual Property Rights</w:t>
      </w:r>
    </w:p>
    <w:p>
      <w:pPr>
        <w:pStyle w:val="ListParagraph"/>
        <w:numPr>
          <w:ilvl w:val="0"/>
          <w:numId w:val="2"/>
        </w:numPr>
        <w:spacing w:after="80"/>
      </w:pPr>
      <w:r>
        <w:rPr>
          <w:rFonts w:ascii="Arial" w:cs="Arial" w:eastAsia="Arial" w:hAnsi="Arial"/>
          <w:sz w:val="21"/>
          <w:szCs w:val="21"/>
        </w:rPr>
        <w:t xml:space="preserve">Merkle Trees and Merkle Roots for dummies</w:t>
      </w:r>
    </w:p>
    <w:p>
      <w:pPr>
        <w:pStyle w:val="ListParagraph"/>
        <w:numPr>
          <w:ilvl w:val="0"/>
          <w:numId w:val="2"/>
        </w:numPr>
        <w:spacing w:after="80"/>
      </w:pPr>
      <w:r>
        <w:rPr>
          <w:rFonts w:ascii="Arial" w:cs="Arial" w:eastAsia="Arial" w:hAnsi="Arial"/>
          <w:sz w:val="21"/>
          <w:szCs w:val="21"/>
        </w:rPr>
        <w:t xml:space="preserve">Why do we need double hashing in a Merkle tree?</w:t>
      </w:r>
    </w:p>
    <w:p>
      <w:pPr>
        <w:pStyle w:val="ListParagraph"/>
        <w:numPr>
          <w:ilvl w:val="0"/>
          <w:numId w:val="2"/>
        </w:numPr>
        <w:spacing w:after="80"/>
      </w:pPr>
      <w:r>
        <w:rPr>
          <w:rFonts w:ascii="Arial" w:cs="Arial" w:eastAsia="Arial" w:hAnsi="Arial"/>
          <w:sz w:val="21"/>
          <w:szCs w:val="21"/>
        </w:rPr>
        <w:t xml:space="preserve">How can taproot transactions manage to store so much data?</w:t>
      </w:r>
    </w:p>
    <w:p>
      <w:pPr>
        <w:pStyle w:val="ListParagraph"/>
        <w:numPr>
          <w:ilvl w:val="0"/>
          <w:numId w:val="2"/>
        </w:numPr>
        <w:spacing w:after="80"/>
      </w:pPr>
      <w:r>
        <w:rPr>
          <w:rFonts w:ascii="Arial" w:cs="Arial" w:eastAsia="Arial" w:hAnsi="Arial"/>
          <w:sz w:val="21"/>
          <w:szCs w:val="21"/>
        </w:rPr>
        <w:t xml:space="preserve">Searching OP_RETURN data</w:t>
      </w:r>
    </w:p>
    <w:p>
      <w:pPr>
        <w:pStyle w:val="ListParagraph"/>
        <w:numPr>
          <w:ilvl w:val="0"/>
          <w:numId w:val="2"/>
        </w:numPr>
        <w:spacing w:after="80"/>
      </w:pPr>
      <w:r>
        <w:rPr>
          <w:rFonts w:ascii="Arial" w:cs="Arial" w:eastAsia="Arial" w:hAnsi="Arial"/>
          <w:sz w:val="21"/>
          <w:szCs w:val="21"/>
        </w:rPr>
        <w:t xml:space="preserve">Pruning OP_RETURNs with illegal content</w:t>
      </w:r>
    </w:p>
    <w:p>
      <w:pPr>
        <w:spacing w:after="40"/>
      </w:pPr>
    </w:p>
    <w:p>
      <w:pPr>
        <w:spacing w:after="120"/>
      </w:pPr>
      <w:r>
        <w:rPr>
          <w:rFonts w:ascii="Arial" w:cs="Arial" w:eastAsia="Arial" w:hAnsi="Arial"/>
          <w:i/>
          <w:iCs/>
          <w:sz w:val="21"/>
          <w:szCs w:val="21"/>
        </w:rPr>
        <w:t xml:space="preserve">Document generated March 24, 2026. Research reflects Bitcoin protocol state as of Bitcoin Core v30 (October 2025) and fee market conditions through March 2026.</w:t>
      </w:r>
    </w:p>
    <w:p>
      <w:r>
        <w:br w:type="page"/>
      </w:r>
    </w:p>
    <w:p>
      <w:pPr>
        <w:pStyle w:val="Heading1"/>
        <w:spacing w:after="200" w:before="360"/>
      </w:pPr>
      <w:r>
        <w:rPr>
          <w:rFonts w:ascii="Arial" w:cs="Arial" w:eastAsia="Arial" w:hAnsi="Arial"/>
          <w:b/>
          <w:bCs/>
          <w:color w:val="1B2A4A"/>
          <w:sz w:val="28"/>
          <w:szCs w:val="28"/>
        </w:rPr>
        <w:t xml:space="preserve">12. Quick Wins to Increase Revenue</w:t>
      </w:r>
    </w:p>
    <w:p>
      <w:pPr>
        <w:spacing w:after="120"/>
      </w:pPr>
      <w:r>
        <w:rPr>
          <w:rFonts w:ascii="Arial" w:cs="Arial" w:eastAsia="Arial" w:hAnsi="Arial"/>
          <w:sz w:val="21"/>
          <w:szCs w:val="21"/>
        </w:rPr>
        <w:t xml:space="preserve">The following revenue accelerators leverage Arkova’s Bitcoin anchoring infrastructure to generate incremental revenue beyond the core credential platform. Each is sized relative to a base assumption of 1M+ annual anchors and priced for the enterprise/developer market.</w:t>
      </w:r>
    </w:p>
    <w:p>
      <w:pPr>
        <w:pStyle w:val="Heading2"/>
        <w:spacing w:after="160" w:before="280"/>
      </w:pPr>
      <w:r>
        <w:rPr>
          <w:rFonts w:ascii="Arial" w:cs="Arial" w:eastAsia="Arial" w:hAnsi="Arial"/>
          <w:b/>
          <w:bCs/>
          <w:color w:val="2E75B6"/>
          <w:sz w:val="24"/>
          <w:szCs w:val="24"/>
        </w:rPr>
        <w:t xml:space="preserve">12.1 Premium Individual (Non-Batched) Anchoring</w:t>
      </w:r>
    </w:p>
    <w:p>
      <w:pPr>
        <w:spacing w:after="120"/>
      </w:pPr>
      <w:r>
        <w:rPr>
          <w:rFonts w:ascii="Arial" w:cs="Arial" w:eastAsia="Arial" w:hAnsi="Arial"/>
          <w:sz w:val="21"/>
          <w:szCs w:val="21"/>
        </w:rPr>
        <w:t xml:space="preserve">Offer a “priority anchor” tier that bypasses the batch scheduler and submits a dedicated Bitcoin transaction per document. Customers pay a premium for immediate, single-document on-chain proof with the fastest possible confirmation time. Target users: legal teams needing time-critical evidence preservation, IP filings, notarization use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Arial" w:cs="Arial" w:eastAsia="Arial" w:hAnsi="Arial"/>
                <w:b/>
                <w:bCs/>
                <w:color w:val="FFFFFF"/>
                <w:sz w:val="18"/>
                <w:szCs w:val="18"/>
              </w:rPr>
              <w:t xml:space="preserve">Attribute</w:t>
            </w:r>
          </w:p>
        </w:tc>
        <w:tc>
          <w:tcPr>
            <w:tcW w:type="dxa" w:w="636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Arial" w:cs="Arial" w:eastAsia="Arial" w:hAnsi="Arial"/>
                <w:b/>
                <w:bCs/>
                <w:color w:val="FFFFFF"/>
                <w:sz w:val="18"/>
                <w:szCs w:val="18"/>
              </w:rPr>
              <w:t xml:space="preserve">Details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Revenue Impact</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$50K-200K/year at scale. Charge $0.50-2.00 per individual anchor vs. pennies for batched. Low volume, high margin.</w:t>
            </w:r>
          </w:p>
        </w:tc>
      </w:tr>
      <w:tr>
        <w:tc>
          <w:tcPr>
            <w:tcW w:type="dxa" w:w="300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b/>
                <w:bCs/>
                <w:sz w:val="18"/>
                <w:szCs w:val="18"/>
              </w:rPr>
              <w:t xml:space="preserve">Implementation Effort</w:t>
            </w:r>
          </w:p>
        </w:tc>
        <w:tc>
          <w:tcPr>
            <w:tcW w:type="dxa" w:w="636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sz w:val="18"/>
                <w:szCs w:val="18"/>
              </w:rPr>
              <w:t xml:space="preserve">Small (S). The non-batched path already exists as the current architecture. Add a billing flag and priority queue.</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Dependencies</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Mainnet KMS provisioning, billing/metering infrastructure.</w:t>
            </w:r>
          </w:p>
        </w:tc>
      </w:tr>
    </w:tbl>
    <w:p>
      <w:pPr>
        <w:pStyle w:val="Heading2"/>
        <w:spacing w:after="160" w:before="280"/>
      </w:pPr>
      <w:r>
        <w:rPr>
          <w:rFonts w:ascii="Arial" w:cs="Arial" w:eastAsia="Arial" w:hAnsi="Arial"/>
          <w:b/>
          <w:bCs/>
          <w:color w:val="2E75B6"/>
          <w:sz w:val="24"/>
          <w:szCs w:val="24"/>
        </w:rPr>
        <w:t xml:space="preserve">12.2 Proof Package Downloads (Paid Product)</w:t>
      </w:r>
    </w:p>
    <w:p>
      <w:pPr>
        <w:spacing w:after="120"/>
      </w:pPr>
      <w:r>
        <w:rPr>
          <w:rFonts w:ascii="Arial" w:cs="Arial" w:eastAsia="Arial" w:hAnsi="Arial"/>
          <w:sz w:val="21"/>
          <w:szCs w:val="21"/>
        </w:rPr>
        <w:t xml:space="preserve">Generate downloadable “Proof Package” PDFs: a branded certificate containing the document hash, Merkle proof, Bitcoin transaction ID, block height, timestamp, and a QR code linking to a public verification page. Sell these as a standalone product for customers who need to present tamper-evident proof to third parties (auditors, courts, regulators, counterparties).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Arial" w:cs="Arial" w:eastAsia="Arial" w:hAnsi="Arial"/>
                <w:b/>
                <w:bCs/>
                <w:color w:val="FFFFFF"/>
                <w:sz w:val="18"/>
                <w:szCs w:val="18"/>
              </w:rPr>
              <w:t xml:space="preserve">Attribute</w:t>
            </w:r>
          </w:p>
        </w:tc>
        <w:tc>
          <w:tcPr>
            <w:tcW w:type="dxa" w:w="636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Arial" w:cs="Arial" w:eastAsia="Arial" w:hAnsi="Arial"/>
                <w:b/>
                <w:bCs/>
                <w:color w:val="FFFFFF"/>
                <w:sz w:val="18"/>
                <w:szCs w:val="18"/>
              </w:rPr>
              <w:t xml:space="preserve">Details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Revenue Impact</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$30K-100K/year. Charge $1-5 per certificate. High perceived value for legal/compliance buyers.</w:t>
            </w:r>
          </w:p>
        </w:tc>
      </w:tr>
      <w:tr>
        <w:tc>
          <w:tcPr>
            <w:tcW w:type="dxa" w:w="300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b/>
                <w:bCs/>
                <w:sz w:val="18"/>
                <w:szCs w:val="18"/>
              </w:rPr>
              <w:t xml:space="preserve">Implementation Effort</w:t>
            </w:r>
          </w:p>
        </w:tc>
        <w:tc>
          <w:tcPr>
            <w:tcW w:type="dxa" w:w="636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sz w:val="18"/>
                <w:szCs w:val="18"/>
              </w:rPr>
              <w:t xml:space="preserve">Small (S). PDF generation from proof data, branded template, QR code to verification endpoint.</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Dependencies</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Public verification page (8.5 Verification SDK), PDF rendering pipeline.</w:t>
            </w:r>
          </w:p>
        </w:tc>
      </w:tr>
    </w:tbl>
    <w:p>
      <w:pPr>
        <w:pStyle w:val="Heading2"/>
        <w:spacing w:after="160" w:before="280"/>
      </w:pPr>
      <w:r>
        <w:rPr>
          <w:rFonts w:ascii="Arial" w:cs="Arial" w:eastAsia="Arial" w:hAnsi="Arial"/>
          <w:b/>
          <w:bCs/>
          <w:color w:val="2E75B6"/>
          <w:sz w:val="24"/>
          <w:szCs w:val="24"/>
        </w:rPr>
        <w:t xml:space="preserve">12.3 Tiered Anchoring Pricing</w:t>
      </w:r>
    </w:p>
    <w:p>
      <w:pPr>
        <w:spacing w:after="120"/>
      </w:pPr>
      <w:r>
        <w:rPr>
          <w:rFonts w:ascii="Arial" w:cs="Arial" w:eastAsia="Arial" w:hAnsi="Arial"/>
          <w:sz w:val="21"/>
          <w:szCs w:val="21"/>
        </w:rPr>
        <w:t xml:space="preserve">Implement three-tier pricing: Basic (batch anchoring, 10-minute intervals, included in platform fee), Premium (configurable intervals down to 1 minute, priority RBF fee bumping, $0.01-0.05/anchor), and Enterprise (dedicated UTXO pool, custom batch intervals, staychain auditing, SLA-backed confirmation times, $0.10-0.50/anchor). This captures willingness-to-pay across customer segments.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Arial" w:cs="Arial" w:eastAsia="Arial" w:hAnsi="Arial"/>
                <w:b/>
                <w:bCs/>
                <w:color w:val="FFFFFF"/>
                <w:sz w:val="18"/>
                <w:szCs w:val="18"/>
              </w:rPr>
              <w:t xml:space="preserve">Attribute</w:t>
            </w:r>
          </w:p>
        </w:tc>
        <w:tc>
          <w:tcPr>
            <w:tcW w:type="dxa" w:w="636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Arial" w:cs="Arial" w:eastAsia="Arial" w:hAnsi="Arial"/>
                <w:b/>
                <w:bCs/>
                <w:color w:val="FFFFFF"/>
                <w:sz w:val="18"/>
                <w:szCs w:val="18"/>
              </w:rPr>
              <w:t xml:space="preserve">Details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Revenue Impact</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$100K-500K/year. The enterprise tier alone could drive $200K+ from 3-5 large accounts.</w:t>
            </w:r>
          </w:p>
        </w:tc>
      </w:tr>
      <w:tr>
        <w:tc>
          <w:tcPr>
            <w:tcW w:type="dxa" w:w="300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b/>
                <w:bCs/>
                <w:sz w:val="18"/>
                <w:szCs w:val="18"/>
              </w:rPr>
              <w:t xml:space="preserve">Implementation Effort</w:t>
            </w:r>
          </w:p>
        </w:tc>
        <w:tc>
          <w:tcPr>
            <w:tcW w:type="dxa" w:w="636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sz w:val="18"/>
                <w:szCs w:val="18"/>
              </w:rPr>
              <w:t xml:space="preserve">Medium (M). Requires per-tenant configuration, UTXO pool management, SLA monitoring.</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Dependencies</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Batch scheduler (8.2), billing infrastructure, UTXO management per tenant.</w:t>
            </w:r>
          </w:p>
        </w:tc>
      </w:tr>
    </w:tbl>
    <w:p>
      <w:pPr>
        <w:pStyle w:val="Heading2"/>
        <w:spacing w:after="160" w:before="280"/>
      </w:pPr>
      <w:r>
        <w:rPr>
          <w:rFonts w:ascii="Arial" w:cs="Arial" w:eastAsia="Arial" w:hAnsi="Arial"/>
          <w:b/>
          <w:bCs/>
          <w:color w:val="2E75B6"/>
          <w:sz w:val="24"/>
          <w:szCs w:val="24"/>
        </w:rPr>
        <w:t xml:space="preserve">12.4 Verification-as-a-Service (VaaS)</w:t>
      </w:r>
    </w:p>
    <w:p>
      <w:pPr>
        <w:spacing w:after="120"/>
      </w:pPr>
      <w:r>
        <w:rPr>
          <w:rFonts w:ascii="Arial" w:cs="Arial" w:eastAsia="Arial" w:hAnsi="Arial"/>
          <w:sz w:val="21"/>
          <w:szCs w:val="21"/>
        </w:rPr>
        <w:t xml:space="preserve">Charge third parties to verify documents against Arkova’s anchored corpus via API. A relying party (e.g., an employer verifying a candidate’s credential, or a regulator auditing compliance records) pays per verification call. This monetizes the read side of the anchoring infrastructure, not just the write side.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Arial" w:cs="Arial" w:eastAsia="Arial" w:hAnsi="Arial"/>
                <w:b/>
                <w:bCs/>
                <w:color w:val="FFFFFF"/>
                <w:sz w:val="18"/>
                <w:szCs w:val="18"/>
              </w:rPr>
              <w:t xml:space="preserve">Attribute</w:t>
            </w:r>
          </w:p>
        </w:tc>
        <w:tc>
          <w:tcPr>
            <w:tcW w:type="dxa" w:w="636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Arial" w:cs="Arial" w:eastAsia="Arial" w:hAnsi="Arial"/>
                <w:b/>
                <w:bCs/>
                <w:color w:val="FFFFFF"/>
                <w:sz w:val="18"/>
                <w:szCs w:val="18"/>
              </w:rPr>
              <w:t xml:space="preserve">Details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Revenue Impact</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$50K-300K/year. Charge $0.01-0.10 per verification. Volume scales with credential adoption. Potential 10:1 read-to-write ratio.</w:t>
            </w:r>
          </w:p>
        </w:tc>
      </w:tr>
      <w:tr>
        <w:tc>
          <w:tcPr>
            <w:tcW w:type="dxa" w:w="300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b/>
                <w:bCs/>
                <w:sz w:val="18"/>
                <w:szCs w:val="18"/>
              </w:rPr>
              <w:t xml:space="preserve">Implementation Effort</w:t>
            </w:r>
          </w:p>
        </w:tc>
        <w:tc>
          <w:tcPr>
            <w:tcW w:type="dxa" w:w="636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sz w:val="18"/>
                <w:szCs w:val="18"/>
              </w:rPr>
              <w:t xml:space="preserve">Medium (M). Public API endpoint, rate limiting, API key management, billing integration.</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Dependencies</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Verification SDK (8.5), proof storage infrastructure, API gateway.</w:t>
            </w:r>
          </w:p>
        </w:tc>
      </w:tr>
    </w:tbl>
    <w:p>
      <w:pPr>
        <w:pStyle w:val="Heading2"/>
        <w:spacing w:after="160" w:before="280"/>
      </w:pPr>
      <w:r>
        <w:rPr>
          <w:rFonts w:ascii="Arial" w:cs="Arial" w:eastAsia="Arial" w:hAnsi="Arial"/>
          <w:b/>
          <w:bCs/>
          <w:color w:val="2E75B6"/>
          <w:sz w:val="24"/>
          <w:szCs w:val="24"/>
        </w:rPr>
        <w:t xml:space="preserve">12.5 Anchor-on-Demand API via x402 Micropayments</w:t>
      </w:r>
    </w:p>
    <w:p>
      <w:pPr>
        <w:spacing w:after="120"/>
      </w:pPr>
      <w:r>
        <w:rPr>
          <w:rFonts w:ascii="Arial" w:cs="Arial" w:eastAsia="Arial" w:hAnsi="Arial"/>
          <w:sz w:val="21"/>
          <w:szCs w:val="21"/>
        </w:rPr>
        <w:t xml:space="preserve">Expose a pay-per-call anchoring API using the x402 HTTP payment protocol. Agents and automated systems pay $0.002/anchor via machine-to-machine micropayments with zero integration friction. This opens the AI agent ecosystem as a customer segment — any agent that needs to timestamp or notarize data can call Arkova’s API and pay inline.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Arial" w:cs="Arial" w:eastAsia="Arial" w:hAnsi="Arial"/>
                <w:b/>
                <w:bCs/>
                <w:color w:val="FFFFFF"/>
                <w:sz w:val="18"/>
                <w:szCs w:val="18"/>
              </w:rPr>
              <w:t xml:space="preserve">Attribute</w:t>
            </w:r>
          </w:p>
        </w:tc>
        <w:tc>
          <w:tcPr>
            <w:tcW w:type="dxa" w:w="636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Arial" w:cs="Arial" w:eastAsia="Arial" w:hAnsi="Arial"/>
                <w:b/>
                <w:bCs/>
                <w:color w:val="FFFFFF"/>
                <w:sz w:val="18"/>
                <w:szCs w:val="18"/>
              </w:rPr>
              <w:t xml:space="preserve">Details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Revenue Impact</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$20K-150K/year initially, with exponential upside as agent adoption grows. At 1M agent-initiated anchors/year at $0.002 = $2K floor, scaling to 100M+ as agent ecosystems mature.</w:t>
            </w:r>
          </w:p>
        </w:tc>
      </w:tr>
      <w:tr>
        <w:tc>
          <w:tcPr>
            <w:tcW w:type="dxa" w:w="300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b/>
                <w:bCs/>
                <w:sz w:val="18"/>
                <w:szCs w:val="18"/>
              </w:rPr>
              <w:t xml:space="preserve">Implementation Effort</w:t>
            </w:r>
          </w:p>
        </w:tc>
        <w:tc>
          <w:tcPr>
            <w:tcW w:type="dxa" w:w="636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sz w:val="18"/>
                <w:szCs w:val="18"/>
              </w:rPr>
              <w:t xml:space="preserve">Medium (M). x402 payment middleware, metering, rate limiting. Arkova is already exploring x402.</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Dependencies</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x402 payment infrastructure, public API endpoint, batch scheduler integration.</w:t>
            </w:r>
          </w:p>
        </w:tc>
      </w:tr>
    </w:tbl>
    <w:p>
      <w:pPr>
        <w:pStyle w:val="Heading2"/>
        <w:spacing w:after="160" w:before="280"/>
      </w:pPr>
      <w:r>
        <w:rPr>
          <w:rFonts w:ascii="Arial" w:cs="Arial" w:eastAsia="Arial" w:hAnsi="Arial"/>
          <w:b/>
          <w:bCs/>
          <w:color w:val="2E75B6"/>
          <w:sz w:val="24"/>
          <w:szCs w:val="24"/>
        </w:rPr>
        <w:t xml:space="preserve">12.6 White-Label Anchoring Infrastructure (SaaS Licensing)</w:t>
      </w:r>
    </w:p>
    <w:p>
      <w:pPr>
        <w:spacing w:after="120"/>
      </w:pPr>
      <w:r>
        <w:rPr>
          <w:rFonts w:ascii="Arial" w:cs="Arial" w:eastAsia="Arial" w:hAnsi="Arial"/>
          <w:sz w:val="21"/>
          <w:szCs w:val="21"/>
        </w:rPr>
        <w:t xml:space="preserve">License Arkova’s anchoring engine to other platforms that need Bitcoin timestamping but don’t want to build it. Targets: document management platforms, e-signature providers, compliance tools, other credential issuers. Deliver as a managed API or on-prem deployment with per-anchor or flat monthly pricing.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Arial" w:cs="Arial" w:eastAsia="Arial" w:hAnsi="Arial"/>
                <w:b/>
                <w:bCs/>
                <w:color w:val="FFFFFF"/>
                <w:sz w:val="18"/>
                <w:szCs w:val="18"/>
              </w:rPr>
              <w:t xml:space="preserve">Attribute</w:t>
            </w:r>
          </w:p>
        </w:tc>
        <w:tc>
          <w:tcPr>
            <w:tcW w:type="dxa" w:w="636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Arial" w:cs="Arial" w:eastAsia="Arial" w:hAnsi="Arial"/>
                <w:b/>
                <w:bCs/>
                <w:color w:val="FFFFFF"/>
                <w:sz w:val="18"/>
                <w:szCs w:val="18"/>
              </w:rPr>
              <w:t xml:space="preserve">Details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Revenue Impact</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$200K-1M+/year. Platform licensing deals at $2K-10K/month per customer, or per-anchor revenue share. High LTV.</w:t>
            </w:r>
          </w:p>
        </w:tc>
      </w:tr>
      <w:tr>
        <w:tc>
          <w:tcPr>
            <w:tcW w:type="dxa" w:w="300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b/>
                <w:bCs/>
                <w:sz w:val="18"/>
                <w:szCs w:val="18"/>
              </w:rPr>
              <w:t xml:space="preserve">Implementation Effort</w:t>
            </w:r>
          </w:p>
        </w:tc>
        <w:tc>
          <w:tcPr>
            <w:tcW w:type="dxa" w:w="636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sz w:val="18"/>
                <w:szCs w:val="18"/>
              </w:rPr>
              <w:t xml:space="preserve">Large (L). Requires multi-tenant isolation, white-label branding, SLA framework, onboarding documentation.</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Dependencies</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Production-hardened anchoring engine (Phase 1+2 complete), legal framework for licensing.</w:t>
            </w:r>
          </w:p>
        </w:tc>
      </w:tr>
    </w:tbl>
    <w:p>
      <w:pPr>
        <w:pStyle w:val="Heading2"/>
        <w:spacing w:after="160" w:before="280"/>
      </w:pPr>
      <w:r>
        <w:rPr>
          <w:rFonts w:ascii="Arial" w:cs="Arial" w:eastAsia="Arial" w:hAnsi="Arial"/>
          <w:b/>
          <w:bCs/>
          <w:color w:val="2E75B6"/>
          <w:sz w:val="24"/>
          <w:szCs w:val="24"/>
        </w:rPr>
        <w:t xml:space="preserve">12.7 Compliance Timestamp Certificates (eIDAS/ISO 18014)</w:t>
      </w:r>
    </w:p>
    <w:p>
      <w:pPr>
        <w:spacing w:after="120"/>
      </w:pPr>
      <w:r>
        <w:rPr>
          <w:rFonts w:ascii="Arial" w:cs="Arial" w:eastAsia="Arial" w:hAnsi="Arial"/>
          <w:sz w:val="21"/>
          <w:szCs w:val="21"/>
        </w:rPr>
        <w:t xml:space="preserve">Once QTSP certification is achieved (Phase 3), issue RFC 3161-compliant Qualified Timestamp certificates that satisfy eIDAS and ISO 18014 requirements. These carry legal presumption of accuracy in EU jurisdictions and command premium pricing. Target: regulated industries (financial services, pharma, legal, government) that need legally binding timestamps.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Arial" w:cs="Arial" w:eastAsia="Arial" w:hAnsi="Arial"/>
                <w:b/>
                <w:bCs/>
                <w:color w:val="FFFFFF"/>
                <w:sz w:val="18"/>
                <w:szCs w:val="18"/>
              </w:rPr>
              <w:t xml:space="preserve">Attribute</w:t>
            </w:r>
          </w:p>
        </w:tc>
        <w:tc>
          <w:tcPr>
            <w:tcW w:type="dxa" w:w="636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Arial" w:cs="Arial" w:eastAsia="Arial" w:hAnsi="Arial"/>
                <w:b/>
                <w:bCs/>
                <w:color w:val="FFFFFF"/>
                <w:sz w:val="18"/>
                <w:szCs w:val="18"/>
              </w:rPr>
              <w:t xml:space="preserve">Details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Revenue Impact</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$100K-500K/year. Qualified timestamps command $0.10-1.00 each. Low competition in Bitcoin-backed QTSP space.</w:t>
            </w:r>
          </w:p>
        </w:tc>
      </w:tr>
      <w:tr>
        <w:tc>
          <w:tcPr>
            <w:tcW w:type="dxa" w:w="300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b/>
                <w:bCs/>
                <w:sz w:val="18"/>
                <w:szCs w:val="18"/>
              </w:rPr>
              <w:t xml:space="preserve">Implementation Effort</w:t>
            </w:r>
          </w:p>
        </w:tc>
        <w:tc>
          <w:tcPr>
            <w:tcW w:type="dxa" w:w="636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sz w:val="18"/>
                <w:szCs w:val="18"/>
              </w:rPr>
              <w:t xml:space="preserve">Large (L). Requires QTSP certification (6+ months), RFC 3161 TSA implementation, conformity assessment.</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Dependencies</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Phase 3 completion, legal counsel, conformity assessment body, EU entity or partnership.</w:t>
            </w:r>
          </w:p>
        </w:tc>
      </w:tr>
    </w:tbl>
    <w:p>
      <w:pPr>
        <w:pStyle w:val="Heading2"/>
        <w:spacing w:after="160" w:before="280"/>
      </w:pPr>
      <w:r>
        <w:rPr>
          <w:rFonts w:ascii="Arial" w:cs="Arial" w:eastAsia="Arial" w:hAnsi="Arial"/>
          <w:b/>
          <w:bCs/>
          <w:color w:val="2E75B6"/>
          <w:sz w:val="24"/>
          <w:szCs w:val="24"/>
        </w:rPr>
        <w:t xml:space="preserve">12.8 Historical Proof Packages (Retroactive Verification)</w:t>
      </w:r>
    </w:p>
    <w:p>
      <w:pPr>
        <w:spacing w:after="120"/>
      </w:pPr>
      <w:r>
        <w:rPr>
          <w:rFonts w:ascii="Arial" w:cs="Arial" w:eastAsia="Arial" w:hAnsi="Arial"/>
          <w:sz w:val="21"/>
          <w:szCs w:val="21"/>
        </w:rPr>
        <w:t xml:space="preserve">Offer retroactive proof packages that demonstrate the state of a document at a specific past timestamp. For customers who anchored documents months or years ago, generate comprehensive verification reports showing the complete chain of evidence: original anchor, subsequent block confirmations, current chain depth, and mathematical proof of non-tampering. Charge a premium for the “forensic” nature of the report.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Arial" w:cs="Arial" w:eastAsia="Arial" w:hAnsi="Arial"/>
                <w:b/>
                <w:bCs/>
                <w:color w:val="FFFFFF"/>
                <w:sz w:val="18"/>
                <w:szCs w:val="18"/>
              </w:rPr>
              <w:t xml:space="preserve">Attribute</w:t>
            </w:r>
          </w:p>
        </w:tc>
        <w:tc>
          <w:tcPr>
            <w:tcW w:type="dxa" w:w="636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Arial" w:cs="Arial" w:eastAsia="Arial" w:hAnsi="Arial"/>
                <w:b/>
                <w:bCs/>
                <w:color w:val="FFFFFF"/>
                <w:sz w:val="18"/>
                <w:szCs w:val="18"/>
              </w:rPr>
              <w:t xml:space="preserve">Details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Revenue Impact</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$20K-80K/year. Charge $5-25 per historical proof package. Value increases with age of the anchor (deeper chain = stronger proof).</w:t>
            </w:r>
          </w:p>
        </w:tc>
      </w:tr>
      <w:tr>
        <w:tc>
          <w:tcPr>
            <w:tcW w:type="dxa" w:w="300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b/>
                <w:bCs/>
                <w:sz w:val="18"/>
                <w:szCs w:val="18"/>
              </w:rPr>
              <w:t xml:space="preserve">Implementation Effort</w:t>
            </w:r>
          </w:p>
        </w:tc>
        <w:tc>
          <w:tcPr>
            <w:tcW w:type="dxa" w:w="636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sz w:val="18"/>
                <w:szCs w:val="18"/>
              </w:rPr>
              <w:t xml:space="preserve">Small (S). Query existing proof database, enrich with current block depth and confirmations, generate formatted report.</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Dependencies</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Proof storage (8.3), block explorer API integration, PDF/report generation.</w:t>
            </w:r>
          </w:p>
        </w:tc>
      </w:tr>
    </w:tbl>
    <w:p>
      <w:pPr>
        <w:pStyle w:val="Heading2"/>
        <w:spacing w:after="160" w:before="280"/>
      </w:pPr>
      <w:r>
        <w:rPr>
          <w:rFonts w:ascii="Arial" w:cs="Arial" w:eastAsia="Arial" w:hAnsi="Arial"/>
          <w:b/>
          <w:bCs/>
          <w:color w:val="2E75B6"/>
          <w:sz w:val="24"/>
          <w:szCs w:val="24"/>
        </w:rPr>
        <w:t xml:space="preserve">12.9 Anchoring Analytics Dashboard (Enterprise Add-On)</w:t>
      </w:r>
    </w:p>
    <w:p>
      <w:pPr>
        <w:spacing w:after="120"/>
      </w:pPr>
      <w:r>
        <w:rPr>
          <w:rFonts w:ascii="Arial" w:cs="Arial" w:eastAsia="Arial" w:hAnsi="Arial"/>
          <w:sz w:val="21"/>
          <w:szCs w:val="21"/>
        </w:rPr>
        <w:t xml:space="preserve">Provide enterprise customers with a real-time dashboard showing their anchoring activity: documents anchored per period, batch sizes, confirmation times, fee costs, Merkle tree utilization, and proof verification activity. Charge as a premium add-on to the enterprise tier. This drives stickiness and upsell by making the anchoring infrastructure visible and valuable to non-technical stakeholders.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Arial" w:cs="Arial" w:eastAsia="Arial" w:hAnsi="Arial"/>
                <w:b/>
                <w:bCs/>
                <w:color w:val="FFFFFF"/>
                <w:sz w:val="18"/>
                <w:szCs w:val="18"/>
              </w:rPr>
              <w:t xml:space="preserve">Attribute</w:t>
            </w:r>
          </w:p>
        </w:tc>
        <w:tc>
          <w:tcPr>
            <w:tcW w:type="dxa" w:w="636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Arial" w:cs="Arial" w:eastAsia="Arial" w:hAnsi="Arial"/>
                <w:b/>
                <w:bCs/>
                <w:color w:val="FFFFFF"/>
                <w:sz w:val="18"/>
                <w:szCs w:val="18"/>
              </w:rPr>
              <w:t xml:space="preserve">Details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Revenue Impact</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$30K-100K/year. Charge $500-2,000/month as enterprise add-on. 15-25 enterprise accounts.</w:t>
            </w:r>
          </w:p>
        </w:tc>
      </w:tr>
      <w:tr>
        <w:tc>
          <w:tcPr>
            <w:tcW w:type="dxa" w:w="300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b/>
                <w:bCs/>
                <w:sz w:val="18"/>
                <w:szCs w:val="18"/>
              </w:rPr>
              <w:t xml:space="preserve">Implementation Effort</w:t>
            </w:r>
          </w:p>
        </w:tc>
        <w:tc>
          <w:tcPr>
            <w:tcW w:type="dxa" w:w="636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sz w:val="18"/>
                <w:szCs w:val="18"/>
              </w:rPr>
              <w:t xml:space="preserve">Medium (M). Dashboard frontend, metrics collection pipeline, per-tenant data aggregation.</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Dependencies</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Batch scheduler telemetry, enterprise billing tier, frontend infrastructure.</w:t>
            </w:r>
          </w:p>
        </w:tc>
      </w:tr>
    </w:tbl>
    <w:p>
      <w:pPr>
        <w:pStyle w:val="Heading2"/>
        <w:spacing w:after="160" w:before="280"/>
      </w:pPr>
      <w:r>
        <w:rPr>
          <w:rFonts w:ascii="Arial" w:cs="Arial" w:eastAsia="Arial" w:hAnsi="Arial"/>
          <w:b/>
          <w:bCs/>
          <w:color w:val="2E75B6"/>
          <w:sz w:val="24"/>
          <w:szCs w:val="24"/>
        </w:rPr>
        <w:t xml:space="preserve">12.10 Bulk Anchor Packages (Prepaid Credits)</w:t>
      </w:r>
    </w:p>
    <w:p>
      <w:pPr>
        <w:spacing w:after="120"/>
      </w:pPr>
      <w:r>
        <w:rPr>
          <w:rFonts w:ascii="Arial" w:cs="Arial" w:eastAsia="Arial" w:hAnsi="Arial"/>
          <w:sz w:val="21"/>
          <w:szCs w:val="21"/>
        </w:rPr>
        <w:t xml:space="preserve">Sell prepaid anchor credit packages at volume discounts: 10K anchors for $50 (vs. $100 at standard per-anchor pricing), 100K for $300, 1M for $1,500. Prepaid credits lock in revenue upfront, reduce churn, and create predictable cash flow. Unused credits expire after 12 months, providing natural revenue recognition.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Arial" w:cs="Arial" w:eastAsia="Arial" w:hAnsi="Arial"/>
                <w:b/>
                <w:bCs/>
                <w:color w:val="FFFFFF"/>
                <w:sz w:val="18"/>
                <w:szCs w:val="18"/>
              </w:rPr>
              <w:t xml:space="preserve">Attribute</w:t>
            </w:r>
          </w:p>
        </w:tc>
        <w:tc>
          <w:tcPr>
            <w:tcW w:type="dxa" w:w="636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Arial" w:cs="Arial" w:eastAsia="Arial" w:hAnsi="Arial"/>
                <w:b/>
                <w:bCs/>
                <w:color w:val="FFFFFF"/>
                <w:sz w:val="18"/>
                <w:szCs w:val="18"/>
              </w:rPr>
              <w:t xml:space="preserve">Details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Revenue Impact</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$50K-200K/year in upfront cash. Breakage (unused credits) adds 10-20% margin. Improves cash flow predictability.</w:t>
            </w:r>
          </w:p>
        </w:tc>
      </w:tr>
      <w:tr>
        <w:tc>
          <w:tcPr>
            <w:tcW w:type="dxa" w:w="300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b/>
                <w:bCs/>
                <w:sz w:val="18"/>
                <w:szCs w:val="18"/>
              </w:rPr>
              <w:t xml:space="preserve">Implementation Effort</w:t>
            </w:r>
          </w:p>
        </w:tc>
        <w:tc>
          <w:tcPr>
            <w:tcW w:type="dxa" w:w="636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sz w:val="18"/>
                <w:szCs w:val="18"/>
              </w:rPr>
              <w:t xml:space="preserve">Small (S). Credit ledger system, metering integration, expiration logic.</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Dependencies</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Billing infrastructure, metering system, terms of service for credit expiration.</w:t>
            </w:r>
          </w:p>
        </w:tc>
      </w:tr>
    </w:tbl>
    <w:p>
      <w:pPr>
        <w:spacing w:after="40"/>
      </w:pPr>
    </w:p>
    <w:p>
      <w:pPr>
        <w:spacing w:after="120"/>
      </w:pPr>
      <w:r>
        <w:rPr>
          <w:rFonts w:ascii="Arial" w:cs="Arial" w:eastAsia="Arial" w:hAnsi="Arial"/>
          <w:i/>
          <w:iCs/>
          <w:sz w:val="21"/>
          <w:szCs w:val="21"/>
        </w:rPr>
        <w:t xml:space="preserve">Revenue estimates assume Arkova reaches 1M+ annual anchors within 12 months of launch. Total addressable incremental revenue across all quick wins: $650K-3M+/year, with the white-label licensing and tiered pricing representing the largest opportunities.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026"/>
      </w:tabs>
    </w:pPr>
    <w:r>
      <w:rPr>
        <w:rFonts w:ascii="Arial" w:cs="Arial" w:eastAsia="Arial" w:hAnsi="Arial"/>
        <w:color w:val="666666"/>
        <w:sz w:val="16"/>
        <w:szCs w:val="16"/>
      </w:rPr>
      <w:t xml:space="preserve">DRAFT — Internal Use Only</w:t>
    </w:r>
    <w:r>
      <w:t xml:space="preserve">	</w:t>
    </w:r>
    <w:r>
      <w:rPr>
        <w:rFonts w:ascii="Arial" w:cs="Arial" w:eastAsia="Arial" w:hAnsi="Arial"/>
        <w:color w:val="666666"/>
        <w:sz w:val="16"/>
        <w:szCs w:val="16"/>
      </w:rPr>
      <w:t xml:space="preserve">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jc w:val="right"/>
    </w:pPr>
    <w:r>
      <w:rPr>
        <w:rFonts w:ascii="Arial" w:cs="Arial" w:eastAsia="Arial" w:hAnsi="Arial"/>
        <w:i/>
        <w:iCs/>
        <w:color w:val="666666"/>
        <w:sz w:val="16"/>
        <w:szCs w:val="16"/>
      </w:rPr>
      <w:t xml:space="preserve">ARKOVA — Bitcoin Anchoring Strategy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2A4A"/>
      <w:sz w:val="28"/>
      <w:szCs w:val="28"/>
    </w:rPr>
  </w:style>
  <w:style w:type="paragraph" w:styleId="Heading2">
    <w:name w:val="Heading 2"/>
    <w:basedOn w:val="Normal"/>
    <w:next w:val="Normal"/>
    <w:qFormat/>
    <w:pPr>
      <w:spacing w:after="160" w:before="280"/>
      <w:outlineLvl w:val="1"/>
    </w:pPr>
    <w:rPr>
      <w:rFonts w:ascii="Arial" w:cs="Arial" w:eastAsia="Arial" w:hAnsi="Arial"/>
      <w:b/>
      <w:bCs/>
      <w:color w:val="2E75B6"/>
      <w:sz w:val="24"/>
      <w:szCs w:val="24"/>
    </w:rPr>
  </w:style>
  <w:style w:type="paragraph" w:styleId="Heading3">
    <w:name w:val="Heading 3"/>
    <w:basedOn w:val="Normal"/>
    <w:next w:val="Normal"/>
    <w:qFormat/>
    <w:pPr>
      <w:spacing w:after="120" w:before="200"/>
      <w:outlineLvl w:val="2"/>
    </w:pPr>
    <w:rPr>
      <w:rFonts w:ascii="Arial" w:cs="Arial" w:eastAsia="Arial" w:hAnsi="Arial"/>
      <w:b/>
      <w:bCs/>
      <w:color w:val="1B2A4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2026-03-24T23:06:20.217Z</dcterms:created>
  <dcterms:modified xsi:type="dcterms:W3CDTF">2026-03-24T23:06:20.218Z</dcterms:modified>
</cp:coreProperties>
</file>

<file path=docProps/custom.xml><?xml version="1.0" encoding="utf-8"?>
<Properties xmlns="http://schemas.openxmlformats.org/officeDocument/2006/custom-properties" xmlns:vt="http://schemas.openxmlformats.org/officeDocument/2006/docPropsVTypes"/>
</file>