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ARKOVA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44"/>
          <w:szCs w:val="44"/>
        </w:rPr>
        <w:t xml:space="preserve">Nessie AI Strategy</w:t>
      </w:r>
    </w:p>
    <w:p>
      <w:pPr>
        <w:pBdr>
          <w:top w:val="single" w:color="2E75B6" w:sz="6" w:space="8"/>
        </w:pBdr>
        <w:spacing w:after="200" w:before="3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Verified Intelligence &amp; Revenue Opportunities | March 2026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Scope: Nessie SLM, Metadata Extraction, RAG Architecture, Client-Side AI, Evaluation, Competitive Intelligence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Fine-Tuning Best Practices for Nessie (Llama 3.1 8B)</w:t>
      </w:r>
    </w:p>
    <w:p>
      <w:pPr>
        <w:pStyle w:val="Heading2"/>
      </w:pPr>
      <w:r>
        <w:t xml:space="preserve">1.1 LoRA Hyperparameter Recommendations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Based on current community consensus from r/LocalLLaMA, Hugging Face, and Unsloth documentation: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LoRA rank (r)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16–32 (start 16)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r=32–64 for complex domain tasks (SEC, patents). r=16 sufficient for style adaptation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LoRA alpha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Equal to rank (16–32)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Alpha/rank ratio of 1.0 is the stable default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2e-4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Cosine warmup schedule; keep high rate for 80% of training, then decay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Batch 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8–16 effective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gradient accumulation (steps=2–4) if GPU memory limited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Epochs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Legal/financial data is dense; 1 epoch often sufficient with quality data. Use early stopping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 modules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all-linear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 best practice: target all linear layers, not just q_proj/v_proj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Optimizer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AdamW 8-bit (paged)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for QLoRA setups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Warmup 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0.03–0.05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Short warmup, then cosine decay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 sequence length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4096–8192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Legal docs are long; 8192 ideal but memory-dependent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Recommendation for Arkova: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Start with QLoRA (4-bit NF4 quantization) using Unsloth for 2x training speed and 60% memory reduction. An 8B model fine-tunes comfortably on a single A100 or even consumer 24GB cards. Use r=32, alpha=32, target_modules="all-linear" for your compliance domains.</w:t>
      </w:r>
    </w:p>
    <w:p>
      <w:pPr>
        <w:pStyle w:val="Heading2"/>
      </w:pPr>
      <w:r>
        <w:t xml:space="preserve">1.2 QLoRA vs LoRA vs Full Fine-Tune Decision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VRAM (8B model)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 vs Full FT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fine-tune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~80GB (multi-GPU)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 baseline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you have unlimited compute and need max performance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~16–24GB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95–98% of full FT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Multi-domain deployment (SEC, patents, regulatory adapters)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QLoRA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~6–8GB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90–95% of full FT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Resource-constrained training; rapid experimentation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Recommendation: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QLoRA for experimentation and initial adapter development; LoRA for production adapters. The performance gap is minimal for domain-specific tasks where the training data quality matters more than the method.</w:t>
      </w:r>
    </w:p>
    <w:p>
      <w:pPr>
        <w:pStyle w:val="Heading2"/>
      </w:pPr>
      <w:r>
        <w:t xml:space="preserve">1.3 Multi-LoRA Serving 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 state-of-the-art for serving multiple domain adapters: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LoRAServe (2025):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workload-aware dynamic adapter placement framework that delivers up to 2x higher throughput, 9x lower TTFT, and 50% fewer GPUs under SLO constraints. This is directly relevant to Arkova’s multi-adapter design (SEC, patents, academic, regulatory).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Adapter routing approaches: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Classifier-based routing: Train a lightweight classifier (e.g., distilbert) on document type to route to the correct LoRA adapter. Simple, deterministic, low latency.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Per-token routing (MoLoRA): Learned gating routes individual tokens to specialized adapters. Eliminates need to choose a single adapter per request. More complex but handles mixed-domain queries (e.g., a regulatory filing citing patents).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LoRAuter: Training-free routing using task representations — routes at the task level rather than adapter level.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Recommendation for Arkova: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Start with classifier-based routing (you already have document type metadata). Move to per-token routing (MoLoRA) as adapter count grows beyond 4–5 domains. Use vLLM or Ray Serve for the serving infrastructure — both have native multi-LoRA support.</w:t>
      </w:r>
    </w:p>
    <w:p>
      <w:pPr>
        <w:pStyle w:val="Heading2"/>
      </w:pPr>
      <w:r>
        <w:t xml:space="preserve">1.4 Synthetic Data Generation &amp; Validation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Since Arkova uses Claude/Gemini to generate training pairs, these quality practices are critical: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Generation best practices: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a “network of agents” approach: one agent generates questions, another generates answers, a third validates coherence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compliance data, generate from real document structures (10-K sections, patent claims) to preserve format fidelity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Include negative examples (incorrect citations, wrong regulatory references) for DPO training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Validation pipeline: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Execution-based validation: For structured outputs (metadata extraction), validate against known schemas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Cross-model verification: Generate with Claude, validate with Gemini (or vice versa). Agreement = higher confidence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Human-in-the-loop sampling: Random 5–10% manual review of generated pairs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Distribution alignment: Compare synthetic data statistics (token length, entity density, complexity) against real data distribution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Filtering at two stages: First during context generation, then during input-output pair generation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Recommendation: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Build a synthetic data quality dashboard tracking: generation volume, cross-model agreement rate, human review scores, and downstream eval impact. Target cross-model agreement &gt;85% before including pairs in training sets.</w:t>
      </w:r>
    </w:p>
    <w:p>
      <w:pPr>
        <w:pStyle w:val="Heading2"/>
      </w:pPr>
      <w:r>
        <w:t xml:space="preserve">1.5 DPO for Citation Accuracy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DPO reduces compute costs by 40–75% compared to RLHF while matching performance on factuality tasks. For Arkova’s citation accuracy specifically: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preference pairs: Given a query + source documents, generate (correct_citation, hallucinated_citation) pairs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your Bitcoin-anchored documents as ground truth: The immutable timestamp chain gives you a canonical reference for what the model should cite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DPO training order: SFT first (base domain knowledge) → DPO second (citation behavior alignment)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Caveat: A December 2025 study found DPO slightly weaker on structured reasoning tasks and out-of-distribution generalization. Monitor carefully on edge cases.</w:t>
      </w:r>
    </w:p>
    <w:p>
      <w:pPr>
        <w:pStyle w:val="Heading2"/>
      </w:pPr>
      <w:r>
        <w:t xml:space="preserve">1.6 Distillation from Larger Models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Nessie specifically (8B server-side model and 3B client-side variant, distilled from Claude/Gemini teachers):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Step-by-step distillation outperforms standard distillation: extract intermediate reasoning steps from the teacher, use them as additional training signal. This reduces data requirements significantly.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Legal/compliance constraint: Only use open-source models as teachers for production distillation. API-provider ToS (OpenAI, Anthropic) generally prohibit using outputs to train competing models. Use Claude/Gemini for synthetic data generation (allowed under most ToS), but be careful about framing as “distillation.”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Soft targets &gt; hard targets: Train student on teacher’s probability distributions, not just final answers.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Expected performance: 2–8x faster inference than teacher with 85–95% of teacher quality on domain-specific tasks.</w:t>
      </w:r>
    </w:p>
    <w:p>
      <w:r>
        <w:br w:type="page"/>
      </w:r>
    </w:p>
    <w:p>
      <w:pPr>
        <w:pStyle w:val="Heading1"/>
      </w:pPr>
      <w:r>
        <w:t xml:space="preserve">2. Metadata Extraction Improvements</w:t>
      </w:r>
    </w:p>
    <w:p>
      <w:pPr>
        <w:pStyle w:val="Heading2"/>
      </w:pPr>
      <w:r>
        <w:t xml:space="preserve">2.1 Current Architecture Assessment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current stack (PDF.js + Tesseract.js client-side, Gemini primary, Cloudflare AI fallback) is solid for privacy preservation. Here’s where to improve:</w:t>
      </w:r>
    </w:p>
    <w:p>
      <w:pPr>
        <w:pStyle w:val="Heading2"/>
      </w:pPr>
      <w:r>
        <w:t xml:space="preserve">2.2 SEC 10-K/Q Specific Extraction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Recommended tools and approaches: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4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Tool/Model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2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Client-Side?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XBRL/iXBRL parsing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sec-api, python-xbrl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Very high (structured data)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Partially (parsing is lightweight)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 extraction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YOLO + BERT layout models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Feasible with ONNX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 segmentation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LayoutLMv3, DocTR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Possible via transformers.js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Entity extraction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FinBERT, SEC-BERT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(small models)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End-to-end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LlamaExtract (LlamaIndex)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Moderate-High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(server-side)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insight: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SEC filings increasingly use iXBRL (inline XBRL) format, which embeds structured data directly in the HTML. Parsing iXBRL first eliminates the need for AI extraction of financial data entirely — it’s already tagged. Fall back to AI extraction only for narrative sections (MD&amp;A, Risk Factors).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Recommendation: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 iXBRL parsing as the primary extraction path for SEC filings. Use AI extraction only for unstructured narrative sections. This will dramatically improve accuracy for financial data while reducing compute.</w:t>
      </w:r>
    </w:p>
    <w:p>
      <w:pPr>
        <w:pStyle w:val="Heading2"/>
      </w:pPr>
      <w:r>
        <w:t xml:space="preserve">2.3 Client-Side Document AI Models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Transformers.js v4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(released February 2026) is a game-changer: C++ rewritten WebGPU runtime delivers 3–10x speed improvements over v3, supports models with 8B+ parameters, and has built-in support for NER, text classification, and embedding generation.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Recommended client-side models: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Tesseract.js → supplement with DocTR ONNX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~50MB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Significant accuracy improvement on complex layouts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Layout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LayoutLMv3 (ONNX)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~125MB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Structure-aware extraction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NER/PII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GLiNER or Phi-3-mini (quantized)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~200MB–1GB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Flexible entity extraction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all-MiniLM-L6-v2 (via transformers.js)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~23MB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Good enough for in-browser similarity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DistilBERT fine-tuned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~65MB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type routing</w:t>
            </w:r>
          </w:p>
        </w:tc>
      </w:tr>
    </w:tbl>
    <w:p>
      <w:pPr>
        <w:pStyle w:val="Heading2"/>
      </w:pPr>
      <w:r>
        <w:t xml:space="preserve">2.4 PII Detection Improvements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 best approaches for client-side PII stripping: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Microsoft Presidio patterns ported to JS for regex-based detection (SSN, credit cards, etc.)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GLiNER for flexible, zero-shot NER (can detect custom entity types without retraining)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Layered approach: Regex first (fast, high precision for structured PII), then model-based (for names, addresses, contextual PII)</w:t>
      </w:r>
    </w:p>
    <w:p>
      <w:pPr>
        <w:pStyle w:val="Heading2"/>
      </w:pPr>
      <w:r>
        <w:t xml:space="preserve">2.5 Table Extraction State of the Art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PDF tables specifically: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YOLO-based detection (real-time object detection) identifies table boundaries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BERT-based models resolve cell content and relationships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 Transformer (TATR) from Microsoft — specifically designed for table structure recognition in documents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SEC filings: prefer HTML table parsing over PDF table extraction where possible (EDGAR provides HTML)</w:t>
      </w:r>
    </w:p>
    <w:p>
      <w:r>
        <w:br w:type="page"/>
      </w:r>
    </w:p>
    <w:p>
      <w:pPr>
        <w:pStyle w:val="Heading1"/>
      </w:pPr>
      <w:r>
        <w:t xml:space="preserve">3. RAG Architecture Recommendations</w:t>
      </w:r>
    </w:p>
    <w:p>
      <w:pPr>
        <w:pStyle w:val="Heading2"/>
      </w:pPr>
      <w:r>
        <w:t xml:space="preserve">3.1 Chunking Strategy for Legal/Financial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Improvement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Markdown/section-aware chunking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strategy for all structured docs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+5–10% over naive fixed-size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Metadata-enriched chunks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chunks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Boosts QA accuracy from ~55% to ~73%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Semantic chunking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Unstructured narrative sections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Moderate improvement; higher compute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 chunking (Jina AI)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context preservation is 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chunk retains full document context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Recommended configuration for Arkova: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Chunk size: 1,024 tokens for financial documents (validated by Snowflake’s FinanceBench research)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Overlap: 200 tokens (20% overlap)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Metadata injection: Append document-level context to every chunk: company name, filing date, form type, section header, Bitcoin anchor hash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Section-aware splitting: Respect SEC filing section boundaries (Item 1, 1A, 7, 8, etc.)</w:t>
      </w:r>
    </w:p>
    <w:p>
      <w:pPr>
        <w:pStyle w:val="Heading2"/>
      </w:pPr>
      <w:r>
        <w:t xml:space="preserve">3.2 Embedding Model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Dimensions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 Window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 Performance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Voyage-3-large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32K tokens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MTEB leader; +9.7% over OpenAI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voyage-law-2-harvey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Legal-specific (Harvey partnership)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Fin-E5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512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+30% FinanceBench Recall@10 vs BGE-large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Jina-embeddings-v3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Good multilingual; late chunking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BGE-large-en-v1.5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512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Strong open-source baseline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all-MiniLM-L6-v2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384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512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Client-side only (tiny, fast)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Recommendation: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 Voyage-3-large for server-side (best overall performance, 32K context handles long legal sections without splitting). Use all-MiniLM-L6-v2 for client-side preview/similarity. Consider training a custom embedding model on your compliance corpus once you have &gt;100K document pairs.</w:t>
      </w:r>
    </w:p>
    <w:p>
      <w:pPr>
        <w:pStyle w:val="Heading2"/>
      </w:pPr>
      <w:r>
        <w:t xml:space="preserve">3.3 Hybrid Search 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Hybrid retrieval (dense + sparse) improves NDCG by 26–31% over dense-only. Recommended architecture: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Query → BM25 sparse search (Top-100) + Dense embedding search (Top-100) → Reciprocal Rank Fusion (Top-50) → Cross-encoder reranker (Top-10) → Nessie generation with citations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Reranking: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 a cross-encoder reranker (e.g., ms-marco-MiniLM-L-12-v2 or train a custom one). The HR+QDA research shows a 1.77M-parameter cross-attention reranker can be trained on-premise in 13 minutes with just 1,500 labeled examples — excellent for Arkova’s privacy requirements.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For compliance-specific queries: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 metadata filters before semantic search (jurisdiction, document type, date range) to narrow the search space.</w:t>
      </w:r>
    </w:p>
    <w:p>
      <w:pPr>
        <w:pStyle w:val="Heading2"/>
      </w:pPr>
      <w:r>
        <w:t xml:space="preserve">3.4 Citation Mapping to Bitcoin-Anchored Documents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Critical for Arkova’s value proposition: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 Bitcoin anchor hashes as chunk metadata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 retrieval time, return the anchor hash alongside each cited chunk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Verification flow: cited chunk → chunk hash → document hash → Bitcoin timestamp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Consider storing chunk-level Merkle tree hashes for granular citation verification</w:t>
      </w:r>
    </w:p>
    <w:p>
      <w:r>
        <w:br w:type="page"/>
      </w:r>
    </w:p>
    <w:p>
      <w:pPr>
        <w:pStyle w:val="Heading1"/>
      </w:pPr>
      <w:r>
        <w:t xml:space="preserve">4. Client-Side AI Roadmap</w:t>
      </w:r>
    </w:p>
    <w:p>
      <w:pPr>
        <w:pStyle w:val="Heading2"/>
      </w:pPr>
      <w:r>
        <w:t xml:space="preserve">4.1 WebLLM Performance Reality Check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Current benchmarks (2025–2026):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2100"/>
        <w:gridCol w:w="20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Quantization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VRAM Required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Tokens/sec (M3 Max)</w:t>
            </w:r>
          </w:p>
        </w:tc>
        <w:tc>
          <w:tcPr>
            <w:tcW w:type="dxa" w:w="2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Tokens/sec (avg laptop)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 3.1 8B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4-bit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~3.5 GB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~41 tok/s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~4–7 tok/s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 3.2 3B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4-bit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~1.4 GB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~80 tok/s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~15–25 tok/s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Phi-3 mini (3.8B)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4-bit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~1.8 GB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~60 tok/s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~10–20 tok/s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SmolLM2 1.7B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4-bit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~0.8 GB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~120 tok/s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~30–50 tok/s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Critical constraint: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Chrome caps VRAM at ~4GB per tab. The 8B model at 3.5GB is borderline and will fail on many consumer devices.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Recommendation: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Nessie’s client-side target should be 3B parameters or smaller, not 8B. Fine-tune a 3B model (Llama 3.2 3B or Phi-3 mini) for client-side use. Use the 8B model server-side only.</w:t>
      </w:r>
    </w:p>
    <w:p>
      <w:pPr>
        <w:pStyle w:val="Heading2"/>
      </w:pPr>
      <w:r>
        <w:t xml:space="preserve">4.2 Quantization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 Loss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INT4 (MLC/WebLLM)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WebGPU required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~2–5%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GGUF (llama.cpp WASM)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Broad (WASM)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Varies by quantization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WebGPU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~1–3%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Limited browser support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~2–4%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Moderate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Recommendation: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 INT4 via MLC/WebLLM for WebGPU-capable browsers. Provide WASM fallback via llama.cpp for non-WebGPU browsers (Firefox). AWQ preferred over GPTQ for quality/speed balance.</w:t>
      </w:r>
    </w:p>
    <w:p>
      <w:pPr>
        <w:pStyle w:val="Heading2"/>
      </w:pPr>
      <w:r>
        <w:t xml:space="preserve">4.3 Client-Side RAG Feasibility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Fully client-side RAG is possible today with these constraints: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Vector store: IndexedDB-backed, practical up to ~5,000–10,000 chunks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Embeddings: all-MiniLM-L6-v2 via transformers.js (~23MB)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LLM: 1.7B–3B quantized model via WebLLM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First-load: 1–2GB model download (cached after first load)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 processing: PDF.js + transformers.js for parsing and embedding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Recommended progressive enhancement strategy: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1 (Now): Client-side document parsing, PII stripping, and metadata extraction. Server-side for generation.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2 (Q3 2026): Client-side embeddings and vector search for document similarity/preview. Server-side for complex generation.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3 (Q1 2027): Full client-side RAG with 3B model for simple queries. Server-side for complex multi-document analysis.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Fallback: Always maintain server-side path. Progressive enhancement, not replacement.</w:t>
      </w:r>
    </w:p>
    <w:p>
      <w:pPr>
        <w:pStyle w:val="Heading2"/>
      </w:pPr>
      <w:r>
        <w:t xml:space="preserve">4.4 Browser Compatibility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Browser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WebGPU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(March 2026)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 113+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Shipped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Edge 113+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Shipped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Safari 18+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Shipped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Firefox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Flag 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default-enabled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Evaluation Framework Design</w:t>
      </w:r>
    </w:p>
    <w:p>
      <w:pPr>
        <w:pStyle w:val="Heading2"/>
      </w:pPr>
      <w:r>
        <w:t xml:space="preserve">5.1 Metrics Beyond F1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current F1=82.1% is a reasonable start but insufficient for compliance AI. Here’s a comprehensive framework: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Measures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F1 Score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Extraction accuracy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&gt;90%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eval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Faithfulness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Are claims supported by retrieved context?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&gt;0.90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Answer Relevance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Does the answer address the query?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&gt;0.85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Context Precision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Are retrieved chunks relevant?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&gt;0.80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Context Recall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Are all relevant chunks retrieved?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&gt;0.85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Hallucination 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Claims not supported by any 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RAGAS Faithfulness + CleanLab TLM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Citation Accuracy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 citations map to correct source docs?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&gt;95%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(Bitcoin anchor verification)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Confidence Correlation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Does model confidence predict accuracy?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r&gt;0.70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(currently r=0.426)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Latency P95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&lt;3s server, &lt;10s client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Monitoring</w:t>
            </w:r>
          </w:p>
        </w:tc>
      </w:tr>
    </w:tbl>
    <w:p>
      <w:pPr>
        <w:pStyle w:val="Heading2"/>
      </w:pPr>
      <w:r>
        <w:t xml:space="preserve">5.2 Golden Dataset Construction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compliance/legal evaluation: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Source real documents: 100+ SEC 10-Ks, 50+ patent filings, 50+ regulatory documents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Expert annotation: Have compliance professionals create Q&amp;A pairs with exact citation spans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Stratify by difficulty: Easy (single-hop lookup), Medium (multi-section synthesis), Hard (cross-document reasoning)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Include adversarial examples: Questions designed to trigger hallucination (e.g., asking about provisions that don’t exist)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Version the dataset: As regulations change, the golden set must evolve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Size target: 500–1,000 evaluation pairs minimum; 200 per domain</w:t>
      </w:r>
    </w:p>
    <w:p>
      <w:pPr>
        <w:pStyle w:val="Heading2"/>
      </w:pPr>
      <w:r>
        <w:t xml:space="preserve">5.3 Confidence Correlation Improvement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current r=0.426 is concerning — the model’s confidence doesn’t reliably predict accuracy. To improve: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Calibration training: Add a calibration head that learns to predict accuracy from internal representations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Ensemble-based confidence: Run query through multiple LoRA adapters; agreement = higher confidence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Retrieval-grounded confidence: Confidence should correlate with retrieval score — if the retrieved chunks are low-relevance, output confidence should be low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Target: r&gt;0.70 for production deployment. Below that, confidence scores mislead users.</w:t>
      </w:r>
    </w:p>
    <w:p>
      <w:pPr>
        <w:pStyle w:val="Heading2"/>
      </w:pPr>
      <w:r>
        <w:t xml:space="preserve">5.4 Continuous Production Monitoring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RAGAS metrics computed on sampled production queries (5–10% sample)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Drift detection: Monitor embedding distribution shift as new document types appear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Latency monitoring: P50, P95, P99 for both server and client paths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feedback loop: Thumbs up/down on citations → feeds back into DPO training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Weekly automated eval runs against golden dataset on latest model checkpoint</w:t>
      </w:r>
    </w:p>
    <w:p>
      <w:r>
        <w:br w:type="page"/>
      </w:r>
    </w:p>
    <w:p>
      <w:pPr>
        <w:pStyle w:val="Heading1"/>
      </w:pPr>
      <w:r>
        <w:t xml:space="preserve">6. Competitive Intelligence</w:t>
      </w:r>
    </w:p>
    <w:p>
      <w:pPr>
        <w:pStyle w:val="Heading2"/>
      </w:pPr>
      <w:r>
        <w:t xml:space="preserve">6.1 Harvey AI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Architecture: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Multi-model orchestrator (no longer single-model). Routes legal drafting to models optimized for extended reasoning, research queries to models with superior recall, and jurisdiction-specific questions to regionally-trained models. Uses Anthropic, Google, and custom models.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moat: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Partnership with Voyage AI produced voyage-law-2-harvey, a custom legal embedding model trained on 20B+ tokens of legal text. This gives Harvey significantly better retrieval quality than generic embeddings.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Harvey Agents (March 2025):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Proactive workflow management — moved from reactive Q&amp;A to planning capabilities for complex legal tasks.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Revenue/Scale: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Not public, but raised $300M+ at $3B+ valuation. Deep enterprise penetration at Am Law 100 firms.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Implications for Arkova: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Harvey focuses on law firms; Arkova focuses on compliance infrastructure. Different market segments, but overlapping AI capabilities. Harvey’s multi-model routing is a pattern Arkova should adopt. Their legal embeddings partnership is worth noting — a compliance-specific embedding model could be a similar differentiator for Arkova.</w:t>
      </w:r>
    </w:p>
    <w:p>
      <w:pPr>
        <w:pStyle w:val="Heading2"/>
      </w:pPr>
      <w:r>
        <w:t xml:space="preserve">6.2 AlphaSense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Architecture: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Multi-agent orchestrator using Anthropic Sonnet 4, Gemini 2.5, and OpenAI o3. Dynamically selects models based on task type. 500M+ document searchable database.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products (2025):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Workflow agents that automate market landscapes, competitive analysis, and SWOT — compressing weeks of analysis into minutes. “Deep Research” feature uses agentic AI for in-depth analysis.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Scale: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6,000+ organizations, 88% of S&amp;P 100, $400M+ ARR.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Implications for Arkova: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AlphaSense is a market intelligence platform, not a compliance infrastructure provider. However, their multi-model orchestration pattern and agent-based workflows are relevant architecture patterns. Their approach to integrating structured financial data with qualitative content is directly applicable to Arkova’s metadata extraction + RAG pipeline.</w:t>
      </w:r>
    </w:p>
    <w:p>
      <w:pPr>
        <w:pStyle w:val="Heading2"/>
      </w:pPr>
      <w:r>
        <w:t xml:space="preserve">6.3 Other Competitors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Differentiator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Relevance to Arkova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Legora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 legal 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$1.8B valuation (Oct 2025), fast EU growth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Emerging threat in legal compliance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Personal injury law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Vertical-specific, high accuracy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Shows value of narrow domain focus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Thomson Reuters / Westlaw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Legal research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Massive content moat, CoCounsel AI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Incumbent integration 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LexisNexis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Legal research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Similar to TR, adding AI layers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Semantic Scholar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Academic papers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Free, Allen AI-backed, excellent paper understanding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Relevant for academic domain adapter</w:t>
            </w:r>
          </w:p>
        </w:tc>
      </w:tr>
    </w:tbl>
    <w:p>
      <w:pPr>
        <w:pStyle w:val="Heading2"/>
      </w:pPr>
      <w:r>
        <w:t xml:space="preserve">6.4 Open-Source Legal/Financial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6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2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FinGPT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Financial LLM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Financial sentiment,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SEC-BERT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BERT for SEC filings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 entity extraction, classification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LegalBERT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BERT for legal 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Legal NER, classification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InstructLab (Red Hat)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 fine-tuning framework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Apache 2.0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Community-contributed compliance knowledge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Granite-7B (IBM)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General + InstructLab trained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Apache 2.0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Alternative base model for Nessie</w:t>
            </w:r>
          </w:p>
        </w:tc>
      </w:tr>
    </w:tbl>
    <w:p>
      <w:pPr>
        <w:pStyle w:val="Heading2"/>
      </w:pPr>
      <w:r>
        <w:t xml:space="preserve">6.5 InstructLab Opportunity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InstructLab’s community-driven fine-tuning model is worth watching. It uses the LAB methodology (Large-scale Alignment for chatBots) with synthetic data generation, which aligns with Arkova’s approach. The pull-request-based contribution model could be adapted for compliance: domain experts submit knowledge contributions that get validated and merged into Nessie’s training data.</w:t>
      </w:r>
    </w:p>
    <w:p>
      <w:r>
        <w:br w:type="page"/>
      </w:r>
    </w:p>
    <w:p>
      <w:pPr>
        <w:pStyle w:val="Heading1"/>
      </w:pPr>
      <w:r>
        <w:t xml:space="preserve">7. Prioritized Recommendations</w:t>
      </w:r>
    </w:p>
    <w:p>
      <w:pPr>
        <w:pStyle w:val="Heading2"/>
      </w:pPr>
      <w:r>
        <w:t xml:space="preserve">Tier 1: High Impact, Low-Medium Effort (Do Now)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800"/>
        <w:gridCol w:w="1600"/>
        <w:gridCol w:w="1460"/>
      </w:tblGrid>
      <w:tr>
        <w:trPr>
          <w:tblHeader/>
        </w:trP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iXBRL parsing for SEC filings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Dramatically improves financial data extraction accuracy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(library integration)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2–4 weeks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Upgrade to Voyage-3-large embeddings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+9.7% retrieval quality over current embeddings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(API swap)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hybrid search (BM25 + dense)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+26–31% NDCG improvement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4–6 weeks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Adopt RAGAS evaluation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Systematic quality measurement beyond F1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3–4 weeks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Switch client-side target to 3B 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Reliable browser inference on consumer hardware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(model swap)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2–3 weeks</w:t>
            </w:r>
          </w:p>
        </w:tc>
      </w:tr>
    </w:tbl>
    <w:p>
      <w:pPr>
        <w:pStyle w:val="Heading2"/>
      </w:pPr>
      <w:r>
        <w:t xml:space="preserve">Tier 2: High Impact, Medium-High Effort (Next Quarter)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800"/>
        <w:gridCol w:w="1600"/>
        <w:gridCol w:w="1460"/>
      </w:tblGrid>
      <w:tr>
        <w:trPr>
          <w:tblHeader/>
        </w:trP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golden evaluation dataset (500+ expert-annotated pairs)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Foundation for all quality improvement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(expert annotation)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6–8 weeks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DPO for citation accuracy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Better citation behavior, less hallucination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4–6 weeks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metadata-enriched chunking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+15–20% QA accuracy on financial docs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3–4 weeks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multi-LoRA serving (vLLM + classifier routing)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Efficient multi-domain serving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4–6 weeks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Upgrade to transformers.js v4 for client-side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3–10x speed improvement, 8B+ parameter support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3–4 weeks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Improve confidence calibration to r&gt;0.70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r=0.426 is misleading — critical trust issue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6–8 weeks</w:t>
            </w:r>
          </w:p>
        </w:tc>
      </w:tr>
    </w:tbl>
    <w:p>
      <w:pPr>
        <w:pStyle w:val="Heading2"/>
      </w:pPr>
      <w:r>
        <w:t xml:space="preserve">Tier 3: Strategic, High Effort (6+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800"/>
        <w:gridCol w:w="1600"/>
        <w:gridCol w:w="1460"/>
      </w:tblGrid>
      <w:tr>
        <w:trPr>
          <w:tblHeader/>
        </w:trP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 custom compliance embeddings (like Harvey’s voyage-law-2)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Major retrieval quality moat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Very High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3–6 months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multi-model orchestration (like Harvey/AlphaSense)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Best-model-per-task routing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3–4 months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fully client-side RAG (Phase 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 privacy preservation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Very High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6–12 months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Per-token LoRA routing (MoLoRA)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Mixed-domain query handling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4–6 months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Sources</w:t>
      </w:r>
    </w:p>
    <w:p>
      <w:pPr>
        <w:pStyle w:val="Heading3"/>
      </w:pPr>
      <w:r>
        <w:t xml:space="preserve">Fine-Tuning &amp; LoRA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Unsloth LoRA Hyperparameters Guide (unsloth.ai)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Fine-tune Llama 3.1 with Unsloth (Hugging Face)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Fine-Tuning LLMs: Hyperparameter Best Practices (Latitude)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to Fine-Tune Open LLMs in 2025 (Phil Schmid)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LoRA vs QLoRA vs Full Fine-Tuning for Legal AI (Hugging Face)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LoRA vs QLoRA (Modal)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Efficient Fine-Tuning with LoRA (Databricks)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Llama Fine-Tuning How-To Guide (Meta)</w:t>
      </w:r>
    </w:p>
    <w:p>
      <w:pPr>
        <w:pStyle w:val="Heading3"/>
      </w:pPr>
      <w:r>
        <w:t xml:space="preserve">Multi-LoRA Serving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LoRAServe: Heterogeneous LoRA Adapter Serving (arXiv)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MoLoRA: Per-Token Adapter Routing (arXiv)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Multi-LoRA Deployment (Ray Serve)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LoRAuter: Task-Based Adapter Routing (arXiv)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Multi-LoRA Adapters (Anyscale)</w:t>
      </w:r>
    </w:p>
    <w:p>
      <w:pPr>
        <w:pStyle w:val="Heading3"/>
      </w:pPr>
      <w:r>
        <w:t xml:space="preserve">Synthetic Data &amp; Distillation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Synthetic Data Generation Using LLMs (arXiv 2503.14023)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Synthetic Data for LLM Training (Neptune.ai)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LLM Data Auditor (arXiv)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LLM Distillation Playbook (Predibase GitHub)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Distilling Step-by-Step (Google Research)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Distillation (Microsoft Azure AI)</w:t>
      </w:r>
    </w:p>
    <w:p>
      <w:pPr>
        <w:pStyle w:val="Heading3"/>
      </w:pPr>
      <w:r>
        <w:t xml:space="preserve">DPO/RLHF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DPO: Your Language Model is Secretly a Reward Model (arXiv)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Fine-Tuning with DPO Guide (OpenAI Cookbook)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Fine-Tuning with DPO (Cerebras)</w:t>
      </w:r>
    </w:p>
    <w:p>
      <w:pPr>
        <w:pStyle w:val="Heading3"/>
      </w:pPr>
      <w:r>
        <w:t xml:space="preserve">RAG &amp; Retrieval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Best Chunking Strategies for RAG (Firecrawl)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Best Embedding Models for Financial RAG (Deep Right AI)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Long-Context vs Retrieval &amp; Chunking in Finance RAG (Snowflake)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Hybrid Retrieval: Dense + Sparse Methods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Privacy-Preserving Reranker for Enterprise Search (Springer)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Legal RAG with Summary Augmented Chunks (ACL 2025)</w:t>
      </w:r>
    </w:p>
    <w:p>
      <w:pPr>
        <w:pStyle w:val="Heading3"/>
      </w:pPr>
      <w:r>
        <w:t xml:space="preserve">Document AI &amp; Metadata Extraction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Mining Financial Data from SEC Filings (LlamaIndex)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Document Processing Guide 2025 (Unstract)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LLMs for Financial Document Analysis (IntuitionLabs)</w:t>
      </w:r>
    </w:p>
    <w:p>
      <w:pPr>
        <w:pStyle w:val="Heading3"/>
      </w:pPr>
      <w:r>
        <w:t xml:space="preserve">Client-Side AI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WebLLM: High-Performance In-Browser LLM Inference (arXiv)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WebGPU Browser AI Inference 2026 (buildmvpfast.com)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3W for In-Browser AI: WebLLM + WASM + WebWorkers (Mozilla)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Transformers.js v3: WebGPU Support (Hugging Face)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Transformers.js v4 + WebGPU (SwiftWand)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Building Browser-Based RAG with WebGPU (DEV)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Client-Side RAG: Knowledge Graphs in Browser (SitePoint)</w:t>
      </w:r>
    </w:p>
    <w:p>
      <w:pPr>
        <w:pStyle w:val="Heading3"/>
      </w:pPr>
      <w:r>
        <w:t xml:space="preserve">Evaluation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RAGAS: Automated Evaluation of RAG (arXiv)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RAGAS Available Metrics (docs.ragas.io)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Evaluating RAG Systems in 2025 (Cohorte)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Benchmarking Hallucination Detection in RAG (CleanLab)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Evaluation Models for RAG (arXiv)</w:t>
      </w:r>
    </w:p>
    <w:p>
      <w:pPr>
        <w:pStyle w:val="Heading3"/>
      </w:pPr>
      <w:r>
        <w:t xml:space="preserve">Competitive Intelligence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Harvey AI Review 2025 (Purple Law)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Scaling Domain-Specific AI: Harvey (ComplexDiscovery)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Expanding Harvey’s Model Offerings (harvey.ai)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AlphaSense Platform Review (IntuitionLabs)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AlphaSense Product Releases 2025 (alpha-sense.com)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InstructLab: Open Source Generative AI (Red Hat)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InstructLab Synthetic Data for LLM Fine-Tuning (InfoQ)</w:t>
      </w:r>
    </w:p>
    <w:p>
      <w:r>
        <w:br w:type="page"/>
      </w:r>
    </w:p>
    <w:p>
      <w:pPr>
        <w:pStyle w:val="Heading1"/>
      </w:pPr>
      <w:r>
        <w:t xml:space="preserve">9. Quick Wins to Increase Revenue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revenue accelerators leverage Nessie’s unique position as a verified-intelligence engine backed by Bitcoin-anchored document provenance. Each item is designed to be implementable on top of existing infrastructure with clear monetization paths.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400"/>
        <w:gridCol w:w="1700"/>
        <w:gridCol w:w="1860"/>
      </w:tblGrid>
      <w:tr>
        <w:trPr>
          <w:tblHeader/>
        </w:trP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Win</w:t>
            </w:r>
          </w:p>
        </w:tc>
        <w:tc>
          <w:tcPr>
            <w:tcW w:type="dxa" w:w="3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Revenue Impact</w:t>
            </w:r>
          </w:p>
        </w:tc>
        <w:tc>
          <w:tcPr>
            <w:tcW w:type="dxa" w:w="1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 / Dependencies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Nessie API Query Tier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Expose Nessie’s RAG pipeline as a metered API. Charge $0.01–$0.05/query depending on complexity (simple lookup vs. multi-doc synthesis). Significantly higher margin than basic verification at $0.002/anchor.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Dependencies: API gateway, usage metering, rate limiting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$50K–$200K/yr at modest volume (1M–10M queries/yr)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 / API gateway, billing integration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“Verified Intelligence” Premium Tier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Answers with Bitcoin-anchored citations command premium pricing. Every claim links to an immutable proof chain (chunk → document hash → Bitcoin TX). Position as “audit-grade AI answers” for regulated industries.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Dependencies: Citation mapping (Section 3.4), confidence calibration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$100K–$500K/yr (enterprise subscriptions at $5K–25K/mo)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 / Citation pipeline, confidence scoring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Compliance Q&amp;A Chatbot (Enterprise SaaS)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White-label or standalone chatbot that answers compliance questions against a customer’s anchored document corpus. Think “Ask your compliance library.” Subscription model at $2K–5K/mo per enterprise.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Dependencies: Multi-tenant RAG, customer document onboarding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$120K–$600K/yr (10–20 enterprise customers)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 / Multi-tenant infra, onboarding workflow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Classification-as-a-Service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Auto-categorize uploaded documents before anchoring: SEC filing type, patent category, regulatory domain, risk level. Uses Nessie’s fine-tuned classifier. Charge per document or bundled with anchoring.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Dependencies: DistilBERT classifier (Section 2.3)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$30K–$100K/yr (bundled upsell on anchoring volume)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 / Classification model already planned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AI-Powered Due Diligence Reports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Compile verified information about a company from anchored SEC filings, patent portfolios, and regulatory filings. Automated report generation with Nessie + verified citations. Sell per report ($500–2,000) or subscription.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Dependencies: Multi-document RAG, report template engine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$150K–$500K/yr (300–1,000 reports/yr)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 / Report templates, multi-doc synthesis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Regulatory Change Alerts (Subscription)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 anchored regulatory documents for changes. When new filings appear, Nessie identifies what changed and alerts subscribers. Push notification + diff summary. $500–2,000/mo per jurisdiction/domain.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Dependencies: Document monitoring, diff engine, notification system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$60K–$240K/yr (10–20 subscribers across jurisdictions)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 / Monitoring pipeline, alerting infra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Fine-Tuned Domain Adapters (Add-On Licensing)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Sell access to specialized LoRA adapters: SEC adapter, patent adapter, regulatory adapter, academic adapter. Customers pay per adapter on top of base Nessie access. Moat: adapters trained on verified, anchored data.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Dependencies: Multi-LoRA serving (Section 1.3)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$80K–$300K/yr (adapter licensing fees)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 / Multi-LoRA infra, adapter marketplace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Training Data Licensing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Sell access to Arkova’s structured, verified training dataset: cleaned SEC filings, annotated patents, compliance Q&amp;A pairs with provenance. Unique value: every data point has a Bitcoin-anchored audit trail.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Dependencies: Data licensing agreements, access portal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$100K–$400K/yr (research institutions, other AI companies)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 / Legal review, data portal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Embedded Nessie Widget (Third-Party Licensing)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Licensable widget that third-party compliance platforms embed in their products. Customer’s users query Nessie inline without leaving the host platform. Revenue share or per-query licensing.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Dependencies: Embeddable SDK, iframe/API integration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$100K–$500K/yr (2–5 platform partnerships)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 / SDK development, partner agreements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Extraction Accuracy Guarantees (Premium SLA)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Offer SLA-backed metadata extraction: guaranteed &gt;95% accuracy on supported document types or credits applied. Premium tier for enterprises who need contractual accuracy commitments.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Dependencies: Golden eval dataset (Section 5.2), monitoring dashboard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$50K–$200K/yr (premium pricing uplift on existing customers)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 / Eval framework, SLA legal terms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Revenue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Combined estimated annual revenue potential from these 10 quick wins: $840K–$3.5M, representing a significant multiplier on Arkova’s current anchoring-only revenue base. The highest-impact items (Verified Intelligence Premium Tier, Due Diligence Reports, and Embedded Widget) each have $100K+ potential and create durable competitive moats tied to Nessie’s unique verified-intelligence positioning.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Recommended Sequencing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Immediate (S effort): Document Classification-as-a-Service (#4), Training Data Licensing (#8), AI Extraction Accuracy Guarantees (#10)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Next 60 days (M effort): Nessie API Query Tier (#1), Verified Intelligence Premium Tier (#2), Regulatory Change Alerts (#6), Domain Adapter Licensing (#7)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Next quarter (L effort): Compliance Q&amp;A Chatbot (#3), Due Diligence Reports (#5), Embedded Nessie Widget (#9)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DRAFT — Confidential</w:t>
    </w:r>
    <w: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ARKOVA — Nessie AI Strategy</w:t>
    </w:r>
    <w:r>
      <w:t xml:space="preserve">	</w:t>
    </w:r>
    <w:r>
      <w:rPr>
        <w:rFonts w:ascii="Arial" w:cs="Arial" w:eastAsia="Arial" w:hAnsi="Arial"/>
        <w:b/>
        <w:bCs/>
        <w:color w:val="CC0000"/>
        <w:sz w:val="18"/>
        <w:szCs w:val="18"/>
      </w:rPr>
      <w:t xml:space="preserve">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12"/>
    <w:lvlOverride w:ilvl="0">
      <w:startOverride w:val="1"/>
    </w:lvlOverride>
  </w:num>
  <w:num w:numId="11">
    <w:abstractNumId w:val="13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5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2026-03-24T23:05:00.246Z</dcterms:created>
  <dcterms:modified xsi:type="dcterms:W3CDTF">2026-03-24T23:05:00.246Z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