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sz w:val="96"/>
          <w:szCs w:val="96"/>
        </w:rPr>
        <w:t xml:space="preserve">ARKOVA</w:t>
      </w:r>
    </w:p>
    <w:p>
      <w:pPr>
        <w:spacing w:after="120"/>
        <w:jc w:val="center"/>
      </w:pPr>
      <w:r>
        <w:rPr>
          <w:rFonts w:ascii="Arial" w:cs="Arial" w:eastAsia="Arial" w:hAnsi="Arial"/>
          <w:sz w:val="64"/>
          <w:szCs w:val="64"/>
        </w:rPr>
        <w:t xml:space="preserve">Research Intelligence Report</w:t>
      </w:r>
    </w:p>
    <w:p>
      <w:pPr>
        <w:spacing w:after="600"/>
        <w:jc w:val="center"/>
      </w:pPr>
      <w:r>
        <w:rPr>
          <w:rFonts w:ascii="Arial" w:cs="Arial" w:eastAsia="Arial" w:hAnsi="Arial"/>
          <w:i/>
          <w:iCs/>
          <w:sz w:val="28"/>
          <w:szCs w:val="28"/>
        </w:rPr>
        <w:t xml:space="preserve">Forum Crawl &amp; Market Analysis | March 2026</w:t>
      </w:r>
    </w:p>
    <w:p>
      <w:pPr>
        <w:spacing w:after="400"/>
      </w:pPr>
    </w:p>
    <w:p>
      <w:pPr>
        <w:pStyle w:val="Heading1"/>
        <w:spacing w:after="120" w:before="240"/>
        <w:outlineLvl w:val="0"/>
      </w:pPr>
      <w:r>
        <w:t xml:space="preserve">Executive Summary</w:t>
      </w:r>
    </w:p>
    <w:p>
      <w:pPr>
        <w:spacing w:after="120"/>
      </w:pPr>
      <w:r>
        <w:t xml:space="preserve">This comprehensive report synthesizes research across four critical domains for Arkova's strategic positioning:</w:t>
      </w:r>
    </w:p>
    <w:p>
      <w:pPr>
        <w:pStyle w:val="ListParagraph"/>
        <w:numPr>
          <w:ilvl w:val="0"/>
          <w:numId w:val="1"/>
        </w:numPr>
        <w:spacing w:after="120"/>
      </w:pPr>
      <w:r>
        <w:t xml:space="preserve">Bitcoin Anchoring Strategy: Arkova's core differentiator uses direct OP_RETURN anchoring to Bitcoin for immutable document verification. The strategy emphasizes self-hosted facilitators for production deployments (x402), non-custodial models, and ensuring documents never leave client devices. This approach provides maximum security and compliance assurance compared to centralized timestamping solutions.</w:t>
      </w:r>
    </w:p>
    <w:p>
      <w:pPr>
        <w:pStyle w:val="ListParagraph"/>
        <w:numPr>
          <w:ilvl w:val="0"/>
          <w:numId w:val="1"/>
        </w:numPr>
        <w:spacing w:after="120"/>
      </w:pPr>
      <w:r>
        <w:t xml:space="preserve">Nessie AI Strategy &amp; Implementation: Building on Llama 3.1 8B (server-side) with a 3B client-side variant, Arkova's AI approach emphasizes fine-tuning best practices (QLoRA), multi-LoRA adapter serving for domain-specific compliance tasks, and comprehensive evaluation frameworks. Recent advances in Transformers.js v4, client-side RAG feasibility, and confidence calibration optimization create a clear path to production AI capabilities while maintaining privacy.</w:t>
      </w:r>
    </w:p>
    <w:p>
      <w:pPr>
        <w:pStyle w:val="ListParagraph"/>
        <w:numPr>
          <w:ilvl w:val="0"/>
          <w:numId w:val="1"/>
        </w:numPr>
        <w:spacing w:after="120"/>
      </w:pPr>
      <w:r>
        <w:t xml:space="preserve">Security &amp; Product Improvements: The research identifies critical improvements across infrastructure (Kubernetes/Docker hardening), API security (OAuth 2.0, rate limiting, encryption), database security (encryption at rest/transit), and user authentication. Key recommendations include adopting Zero Trust Architecture, implementing SIEM monitoring, and establishing a vulnerability disclosure program. These improvements strengthen Arkova's position in compliance-critical markets.</w:t>
      </w:r>
    </w:p>
    <w:p>
      <w:pPr>
        <w:pStyle w:val="ListParagraph"/>
        <w:numPr>
          <w:ilvl w:val="0"/>
          <w:numId w:val="1"/>
        </w:numPr>
        <w:spacing w:after="240"/>
      </w:pPr>
      <w:r>
        <w:t xml:space="preserve">Sales &amp; Market Intelligence: Arkova operates in rapidly expanding markets (RegTech, higher education, fintech compliance) with clear demand signals: 77% of compliance teams still use manual processes, 80% of organizations plan AI compliance investments by 2026, and 75M+ x402 transactions settled monthly. Hot leads span Tennessee Board of Regents (37 institutions, largest deployment), Digital Credentials Consortium (MIT-led standards body), and emerging opportunities in EUDI Wallet integration (EU Nov 2026 deadline) and x402-based agent verification.</w:t>
      </w:r>
    </w:p>
    <w:p>
      <w:pPr>
        <w:pageBreakBefore/>
      </w:pPr>
    </w:p>
    <w:p>
      <w:pPr>
        <w:pStyle w:val="Heading1"/>
        <w:spacing w:after="120" w:before="240"/>
        <w:outlineLvl w:val="0"/>
      </w:pPr>
      <w:r>
        <w:t xml:space="preserve">Part 1: Bitcoin Anchoring Strategy</w:t>
      </w:r>
    </w:p>
    <w:p>
      <w:pPr>
        <w:pStyle w:val="Heading1"/>
        <w:spacing w:after="120" w:before="240"/>
        <w:outlineLvl w:val="0"/>
      </w:pPr>
      <w:r>
        <w:t xml:space="preserve">Arkova Bitcoin Anchoring Strategy</w:t>
      </w:r>
    </w:p>
    <w:p>
      <w:pPr>
        <w:pStyle w:val="Heading2"/>
        <w:spacing w:after="120" w:before="240"/>
        <w:outlineLvl w:val="1"/>
      </w:pPr>
      <w:r>
        <w:t xml:space="preserve">Comprehensive Technical Analysis &amp; Improvement Roadmap</w:t>
      </w:r>
    </w:p>
    <w:p>
      <w:pPr>
        <w:spacing w:after="120"/>
      </w:pPr>
      <w:r>
        <w:rPr>
          <w:rFonts w:ascii="Arial" w:cs="Arial" w:eastAsia="Arial" w:hAnsi="Arial"/>
          <w:b/>
          <w:bCs/>
        </w:rPr>
        <w:t xml:space="preserve">Prepared for:</w:t>
      </w:r>
      <w:r>
        <w:rPr>
          <w:rFonts w:ascii="Arial" w:cs="Arial" w:eastAsia="Arial" w:hAnsi="Arial"/>
        </w:rPr>
        <w:t xml:space="preserve"> Carson, Arkova</w:t>
      </w:r>
    </w:p>
    <w:p>
      <w:pPr>
        <w:spacing w:after="120"/>
      </w:pPr>
      <w:r>
        <w:rPr>
          <w:rFonts w:ascii="Arial" w:cs="Arial" w:eastAsia="Arial" w:hAnsi="Arial"/>
          <w:b/>
          <w:bCs/>
        </w:rPr>
        <w:t xml:space="preserve">Date:</w:t>
      </w:r>
      <w:r>
        <w:rPr>
          <w:rFonts w:ascii="Arial" w:cs="Arial" w:eastAsia="Arial" w:hAnsi="Arial"/>
        </w:rPr>
        <w:t xml:space="preserve"> March 24, 2026</w:t>
      </w:r>
    </w:p>
    <w:p>
      <w:pPr>
        <w:spacing w:after="120"/>
      </w:pPr>
      <w:r>
        <w:rPr>
          <w:rFonts w:ascii="Arial" w:cs="Arial" w:eastAsia="Arial" w:hAnsi="Arial"/>
          <w:b/>
          <w:bCs/>
        </w:rPr>
        <w:t xml:space="preserve">Classification:</w:t>
      </w:r>
      <w:r>
        <w:rPr>
          <w:rFonts w:ascii="Arial" w:cs="Arial" w:eastAsia="Arial" w:hAnsi="Arial"/>
        </w:rPr>
        <w:t xml:space="preserve"> Internal — Engineering Strategy</w:t>
      </w:r>
    </w:p>
    <w:p>
      <w:pPr>
        <w:pStyle w:val="Heading2"/>
        <w:spacing w:after="120" w:before="240"/>
        <w:outlineLvl w:val="1"/>
      </w:pPr>
      <w:r>
        <w:t xml:space="preserve">Table of Contents</w:t>
      </w:r>
    </w:p>
    <w:p>
      <w:pPr>
        <w:pStyle w:val="ListParagraph"/>
        <w:numPr>
          <w:ilvl w:val="0"/>
          <w:numId w:val="1"/>
        </w:numPr>
        <w:spacing w:after="100"/>
      </w:pPr>
      <w:r>
        <w:t xml:space="preserve">[Executive Summary](#1-executive-summary)</w:t>
      </w:r>
    </w:p>
    <w:p>
      <w:pPr>
        <w:pStyle w:val="ListParagraph"/>
        <w:numPr>
          <w:ilvl w:val="0"/>
          <w:numId w:val="1"/>
        </w:numPr>
        <w:spacing w:after="100"/>
      </w:pPr>
      <w:r>
        <w:t xml:space="preserve">[Current Landscape](#2-current-landscape)</w:t>
      </w:r>
    </w:p>
    <w:p>
      <w:pPr>
        <w:pStyle w:val="ListParagraph"/>
        <w:numPr>
          <w:ilvl w:val="0"/>
          <w:numId w:val="1"/>
        </w:numPr>
        <w:spacing w:after="100"/>
      </w:pPr>
      <w:r>
        <w:t xml:space="preserve">[Technical Evaluation of Anchoring Approaches](#3-technical-evaluation-of-anchoring-approaches)</w:t>
      </w:r>
    </w:p>
    <w:p>
      <w:pPr>
        <w:pStyle w:val="ListParagraph"/>
        <w:numPr>
          <w:ilvl w:val="0"/>
          <w:numId w:val="1"/>
        </w:numPr>
        <w:spacing w:after="100"/>
      </w:pPr>
      <w:r>
        <w:t xml:space="preserve">[Cost Modeling](#4-cost-modeling)</w:t>
      </w:r>
    </w:p>
    <w:p>
      <w:pPr>
        <w:pStyle w:val="ListParagraph"/>
        <w:numPr>
          <w:ilvl w:val="0"/>
          <w:numId w:val="1"/>
        </w:numPr>
        <w:spacing w:after="100"/>
      </w:pPr>
      <w:r>
        <w:t xml:space="preserve">[Competitive Positioning](#5-competitive-positioning)</w:t>
      </w:r>
    </w:p>
    <w:p>
      <w:pPr>
        <w:pStyle w:val="ListParagraph"/>
        <w:numPr>
          <w:ilvl w:val="0"/>
          <w:numId w:val="1"/>
        </w:numPr>
        <w:spacing w:after="100"/>
      </w:pPr>
      <w:r>
        <w:t xml:space="preserve">[BitcoinTalk Forum Intelligence](#6-bitcointalk-forum-intelligence)</w:t>
      </w:r>
    </w:p>
    <w:p>
      <w:pPr>
        <w:pStyle w:val="ListParagraph"/>
        <w:numPr>
          <w:ilvl w:val="0"/>
          <w:numId w:val="1"/>
        </w:numPr>
        <w:spacing w:after="100"/>
      </w:pPr>
      <w:r>
        <w:t xml:space="preserve">[Regulatory &amp; Standards Landscape](#7-regulatory--standards-landscape)</w:t>
      </w:r>
    </w:p>
    <w:p>
      <w:pPr>
        <w:pStyle w:val="ListParagraph"/>
        <w:numPr>
          <w:ilvl w:val="0"/>
          <w:numId w:val="1"/>
        </w:numPr>
        <w:spacing w:after="100"/>
      </w:pPr>
      <w:r>
        <w:t xml:space="preserve">[Recommended Improvements](#8-recommended-improvements)</w:t>
      </w:r>
    </w:p>
    <w:p>
      <w:pPr>
        <w:pStyle w:val="ListParagraph"/>
        <w:numPr>
          <w:ilvl w:val="0"/>
          <w:numId w:val="1"/>
        </w:numPr>
        <w:spacing w:after="100"/>
      </w:pPr>
      <w:r>
        <w:t xml:space="preserve">[Implementation Roadmap](#9-implementation-roadmap)</w:t>
      </w:r>
    </w:p>
    <w:p>
      <w:pPr>
        <w:pStyle w:val="ListParagraph"/>
        <w:numPr>
          <w:ilvl w:val="0"/>
          <w:numId w:val="1"/>
        </w:numPr>
        <w:spacing w:after="100"/>
      </w:pPr>
      <w:r>
        <w:t xml:space="preserve">[Risks &amp; Mitigations](#10-risks--mitigations)</w:t>
      </w:r>
    </w:p>
    <w:p>
      <w:pPr>
        <w:pStyle w:val="ListParagraph"/>
        <w:numPr>
          <w:ilvl w:val="0"/>
          <w:numId w:val="1"/>
        </w:numPr>
        <w:spacing w:after="100"/>
      </w:pPr>
      <w:r>
        <w:t xml:space="preserve">[Sources](#11-sources)</w:t>
      </w:r>
    </w:p>
    <w:p>
      <w:pPr>
        <w:pStyle w:val="Heading2"/>
        <w:spacing w:after="120" w:before="240"/>
        <w:outlineLvl w:val="1"/>
      </w:pPr>
      <w:r>
        <w:t xml:space="preserve">1. Executive Summary</w:t>
      </w:r>
    </w:p>
    <w:p>
      <w:pPr>
        <w:spacing w:after="120"/>
      </w:pPr>
      <w:r>
        <w:rPr>
          <w:rFonts w:ascii="Arial" w:cs="Arial" w:eastAsia="Arial" w:hAnsi="Arial"/>
        </w:rPr>
        <w:t xml:space="preserve">Arkova's current approach — direct OP_RETURN with SHA-256 hashes via bitcoinjs-lib + AWS KMS — is technically sound but leaves significant cost and capability improvements on the table. The Bitcoin protocol landscape shifted materially in 2025, and Arkova should capitalize on these changes.</w:t>
      </w:r>
    </w:p>
    <w:p>
      <w:pPr>
        <w:spacing w:after="120"/>
      </w:pPr>
      <w:r>
        <w:rPr>
          <w:rFonts w:ascii="Arial" w:cs="Arial" w:eastAsia="Arial" w:hAnsi="Arial"/>
          <w:b/>
          <w:bCs/>
        </w:rPr>
        <w:t xml:space="preserve">Three key findings:</w:t>
      </w:r>
    </w:p>
    <w:p>
      <w:pPr>
        <w:spacing w:after="120"/>
      </w:pPr>
      <w:r>
        <w:rPr>
          <w:rFonts w:ascii="Arial" w:cs="Arial" w:eastAsia="Arial" w:hAnsi="Arial"/>
        </w:rPr>
        <w:t xml:space="preserve">First, </w:t>
      </w:r>
      <w:r>
        <w:rPr>
          <w:rFonts w:ascii="Arial" w:cs="Arial" w:eastAsia="Arial" w:hAnsi="Arial"/>
          <w:b/>
          <w:bCs/>
        </w:rPr>
        <w:t xml:space="preserve">Bitcoin Core v30 (October 2025) removed the 80-byte OP_RETURN limit</w:t>
      </w:r>
      <w:r>
        <w:rPr>
          <w:rFonts w:ascii="Arial" w:cs="Arial" w:eastAsia="Arial" w:hAnsi="Arial"/>
        </w:rPr>
        <w:t xml:space="preserve">, raising the default to ~100KB and permitting multiple OP_RETURN outputs per transaction. This eliminates a long-standing constraint but doesn't change Arkova's optimal strategy since SHA-256 hashes fit in 32 bytes. The real significance is political: it validates OP_RETURN as the sanctioned data embedding method.</w:t>
      </w:r>
    </w:p>
    <w:p>
      <w:pPr>
        <w:spacing w:after="120"/>
      </w:pPr>
      <w:r>
        <w:rPr>
          <w:rFonts w:ascii="Arial" w:cs="Arial" w:eastAsia="Arial" w:hAnsi="Arial"/>
        </w:rPr>
        <w:t xml:space="preserve">Second, </w:t>
      </w:r>
      <w:r>
        <w:rPr>
          <w:rFonts w:ascii="Arial" w:cs="Arial" w:eastAsia="Arial" w:hAnsi="Arial"/>
          <w:b/>
          <w:bCs/>
        </w:rPr>
        <w:t xml:space="preserve">Merkle tree batching is the single highest-ROI improvement</w:t>
      </w:r>
      <w:r>
        <w:rPr>
          <w:rFonts w:ascii="Arial" w:cs="Arial" w:eastAsia="Arial" w:hAnsi="Arial"/>
        </w:rPr>
        <w:t xml:space="preserve">. At 10M anchors/year with batch sizes of 1,000, Arkova reduces per-anchor Bitcoin cost from ~$0.08 to ~$0.00008 — a 1,000x reduction. This is the planned approach, and this analysis provides the engineering specifics to execute it optimally.</w:t>
      </w:r>
    </w:p>
    <w:p>
      <w:pPr>
        <w:spacing w:after="120"/>
      </w:pPr>
      <w:r>
        <w:rPr>
          <w:rFonts w:ascii="Arial" w:cs="Arial" w:eastAsia="Arial" w:hAnsi="Arial"/>
        </w:rPr>
        <w:t xml:space="preserve">Third, </w:t>
      </w:r>
      <w:r>
        <w:rPr>
          <w:rFonts w:ascii="Arial" w:cs="Arial" w:eastAsia="Arial" w:hAnsi="Arial"/>
          <w:b/>
          <w:bCs/>
        </w:rPr>
        <w:t xml:space="preserve">a hybrid Pay-to-Contract (P2C) + Merkle batching approach</w:t>
      </w:r>
      <w:r>
        <w:rPr>
          <w:rFonts w:ascii="Arial" w:cs="Arial" w:eastAsia="Arial" w:hAnsi="Arial"/>
        </w:rPr>
        <w:t xml:space="preserve"> offers the best long-term architecture. P2C commitments (used by RGB protocol) embed the Merkle root in a tweaked Taproot public key, producing zero visible on-chain footprint. This is strictly superior to OP_RETURN for privacy, UTXO hygiene, and cost — at the expense of verification complexity that Arkova can abstract away.</w:t>
      </w:r>
    </w:p>
    <w:p>
      <w:pPr>
        <w:spacing w:after="120"/>
      </w:pPr>
      <w:r>
        <w:rPr>
          <w:rFonts w:ascii="Arial" w:cs="Arial" w:eastAsia="Arial" w:hAnsi="Arial"/>
          <w:b/>
          <w:bCs/>
        </w:rPr>
        <w:t xml:space="preserve">Recommended architecture evolution:</w:t>
      </w:r>
    </w:p>
    <w:p>
      <w:pPr>
        <w:pStyle w:val="ListParagraph"/>
        <w:numPr>
          <w:ilvl w:val="0"/>
          <w:numId w:val="1"/>
        </w:numPr>
        <w:spacing w:after="100"/>
      </w:pPr>
      <w:r>
        <w:t xml:space="preserve">**Phase 1 (Now):** Ship Merkle tree batching with OP_RETURN. Immediate 100-1,000x cost reduction.</w:t>
      </w:r>
    </w:p>
    <w:p>
      <w:pPr>
        <w:pStyle w:val="ListParagraph"/>
        <w:numPr>
          <w:ilvl w:val="0"/>
          <w:numId w:val="1"/>
        </w:numPr>
        <w:spacing w:after="100"/>
      </w:pPr>
      <w:r>
        <w:t xml:space="preserve">**Phase 2 (Q3 2026):** Migrate commitment method from OP_RETURN to Pay-to-Contract via Taproot. Better privacy, lower cost, cleaner UTXO footprint.</w:t>
      </w:r>
    </w:p>
    <w:p>
      <w:pPr>
        <w:pStyle w:val="ListParagraph"/>
        <w:numPr>
          <w:ilvl w:val="0"/>
          <w:numId w:val="1"/>
        </w:numPr>
        <w:spacing w:after="100"/>
      </w:pPr>
      <w:r>
        <w:t xml:space="preserve">**Phase 3 (Q1 2027):** Add RFC 3161 wrapper for regulatory compliance. Target eIDAS 2.0 Electronic Ledger qualification.</w:t>
      </w:r>
    </w:p>
    <w:p>
      <w:pPr>
        <w:pStyle w:val="Heading2"/>
        <w:spacing w:after="120" w:before="240"/>
        <w:outlineLvl w:val="1"/>
      </w:pPr>
      <w:r>
        <w:t xml:space="preserve">2. Current Landscape</w:t>
      </w:r>
    </w:p>
    <w:p>
      <w:pPr>
        <w:pStyle w:val="Heading3"/>
        <w:spacing w:after="120" w:before="240"/>
        <w:outlineLvl w:val="2"/>
      </w:pPr>
      <w:r>
        <w:t xml:space="preserve">2.1 Bitcoin Protocol State (March 2026)</w:t>
      </w:r>
    </w:p>
    <w:p>
      <w:pPr>
        <w:spacing w:after="120"/>
      </w:pPr>
      <w:r>
        <w:rPr>
          <w:rFonts w:ascii="Arial" w:cs="Arial" w:eastAsia="Arial" w:hAnsi="Arial"/>
          <w:b/>
          <w:bCs/>
        </w:rPr>
        <w:t xml:space="preserve">OP_RETURN policy overhaul.</w:t>
      </w:r>
      <w:r>
        <w:rPr>
          <w:rFonts w:ascii="Arial" w:cs="Arial" w:eastAsia="Arial" w:hAnsi="Arial"/>
        </w:rPr>
        <w:t xml:space="preserve"> Bitcoin Core v30 (October 2025) merged PR #32406, increasing the default </w:t>
      </w:r>
      <w:r>
        <w:rPr>
          <w:rFonts w:ascii="Courier New" w:cs="Courier New" w:eastAsia="Courier New" w:hAnsi="Courier New"/>
          <w:shd w:fill="F5F5F5" w:val="clear"/>
        </w:rPr>
        <w:t xml:space="preserve">-datacarriersize</w:t>
      </w:r>
      <w:r>
        <w:rPr>
          <w:rFonts w:ascii="Arial" w:cs="Arial" w:eastAsia="Arial" w:hAnsi="Arial"/>
        </w:rPr>
        <w:t xml:space="preserve"> from 83 bytes to 100,000 bytes and permitting multiple OP_RETURN outputs per transaction. This was driven by Gloria Zhao's analysis that the 80-byte limit created perverse incentives — users bypassed it via Taproot witness data (which is worse for UTXO hygiene). The change was controversial: Bitcoin Core's node share dropped from 98% to 88%, with Bitcoin Knots gaining share among operators who prefer stricter data policies. However, the change is now settled consensus among Core developers.</w:t>
      </w:r>
    </w:p>
    <w:p>
      <w:pPr>
        <w:spacing w:after="120"/>
      </w:pPr>
      <w:r>
        <w:rPr>
          <w:rFonts w:ascii="Arial" w:cs="Arial" w:eastAsia="Arial" w:hAnsi="Arial"/>
          <w:b/>
          <w:bCs/>
        </w:rPr>
        <w:t xml:space="preserve">Full RBF is default.</w:t>
      </w:r>
      <w:r>
        <w:rPr>
          <w:rFonts w:ascii="Arial" w:cs="Arial" w:eastAsia="Arial" w:hAnsi="Arial"/>
        </w:rPr>
        <w:t xml:space="preserve"> Bitcoin Core v28 (early 2025) made </w:t>
      </w:r>
      <w:r>
        <w:rPr>
          <w:rFonts w:ascii="Courier New" w:cs="Courier New" w:eastAsia="Courier New" w:hAnsi="Courier New"/>
          <w:shd w:fill="F5F5F5" w:val="clear"/>
        </w:rPr>
        <w:t xml:space="preserve">mempoolfullrbf=1</w:t>
      </w:r>
      <w:r>
        <w:rPr>
          <w:rFonts w:ascii="Arial" w:cs="Arial" w:eastAsia="Arial" w:hAnsi="Arial"/>
        </w:rPr>
        <w:t xml:space="preserve"> the default. Any unconfirmed transaction can be replaced with a higher-fee version, regardless of signaling. This is net positive for anchoring: it guarantees fee-bumping capability if mempool conditions spike after broadcast.</w:t>
      </w:r>
    </w:p>
    <w:p>
      <w:pPr>
        <w:spacing w:after="120"/>
      </w:pPr>
      <w:r>
        <w:rPr>
          <w:rFonts w:ascii="Arial" w:cs="Arial" w:eastAsia="Arial" w:hAnsi="Arial"/>
          <w:b/>
          <w:bCs/>
        </w:rPr>
        <w:t xml:space="preserve">Taproot adoption mature.</w:t>
      </w:r>
      <w:r>
        <w:rPr>
          <w:rFonts w:ascii="Arial" w:cs="Arial" w:eastAsia="Arial" w:hAnsi="Arial"/>
        </w:rPr>
        <w:t xml:space="preserve"> Taproot (activated November 2021) is now 4+ years old with broad wallet and service support. P2TR outputs are standard, Schnorr signatures are 64 bytes (vs. 71-72 for ECDSA), and the witness discount (4:1 weight ratio) makes witness-heavy transactions economically attractive.</w:t>
      </w:r>
    </w:p>
    <w:p>
      <w:pPr>
        <w:spacing w:after="120"/>
      </w:pPr>
      <w:r>
        <w:rPr>
          <w:rFonts w:ascii="Arial" w:cs="Arial" w:eastAsia="Arial" w:hAnsi="Arial"/>
          <w:b/>
          <w:bCs/>
        </w:rPr>
        <w:t xml:space="preserve">OP_CAT progress.</w:t>
      </w:r>
      <w:r>
        <w:rPr>
          <w:rFonts w:ascii="Arial" w:cs="Arial" w:eastAsia="Arial" w:hAnsi="Arial"/>
        </w:rPr>
        <w:t xml:space="preserve"> BIP 347 formalizes OP_CAT for Tapscript. Taproot Wizards raised $30M in February 2025 to build the ecosystem. OP_CAT would enable on-chain Merkle tree verification, potentially allowing trustless proof validation in Script. However, activation is years away — don't plan around it.</w:t>
      </w:r>
    </w:p>
    <w:p>
      <w:pPr>
        <w:spacing w:after="120"/>
      </w:pPr>
      <w:r>
        <w:rPr>
          <w:rFonts w:ascii="Arial" w:cs="Arial" w:eastAsia="Arial" w:hAnsi="Arial"/>
          <w:b/>
          <w:bCs/>
        </w:rPr>
        <w:t xml:space="preserve">Ordinals normalized the data embedding debate.</w:t>
      </w:r>
      <w:r>
        <w:rPr>
          <w:rFonts w:ascii="Arial" w:cs="Arial" w:eastAsia="Arial" w:hAnsi="Arial"/>
        </w:rPr>
        <w:t xml:space="preserve"> With 75-80M inscriptions on-chain and non-financial data comprising 36% of blockspace by December 2025, the philosophical debate about whether Bitcoin should store data is effectively settled. The network handles it; policy now reflects reality.</w:t>
      </w:r>
    </w:p>
    <w:p>
      <w:pPr>
        <w:pStyle w:val="Heading3"/>
        <w:spacing w:after="120" w:before="240"/>
        <w:outlineLvl w:val="2"/>
      </w:pPr>
      <w:r>
        <w:t xml:space="preserve">2.2 Fee Market Conditions</w:t>
      </w:r>
    </w:p>
    <w:p>
      <w:pPr>
        <w:spacing w:after="120"/>
      </w:pPr>
      <w:r>
        <w:rPr>
          <w:rFonts w:ascii="Arial" w:cs="Arial" w:eastAsia="Arial" w:hAnsi="Arial"/>
        </w:rPr>
        <w:t xml:space="preserve">Bitcoin transaction fees have been moderate through 2025-2026:</w:t>
      </w:r>
    </w:p>
    <w:p>
      <w:pPr>
        <w:pStyle w:val="ListParagraph"/>
        <w:numPr>
          <w:ilvl w:val="0"/>
          <w:numId w:val="1"/>
        </w:numPr>
        <w:spacing w:after="100"/>
      </w:pPr>
      <w:r>
        <w:t xml:space="preserve">**Quiet periods:** 1-2 sat/vB (effectively free)</w:t>
      </w:r>
    </w:p>
    <w:p>
      <w:pPr>
        <w:pStyle w:val="ListParagraph"/>
        <w:numPr>
          <w:ilvl w:val="0"/>
          <w:numId w:val="1"/>
        </w:numPr>
        <w:spacing w:after="100"/>
      </w:pPr>
      <w:r>
        <w:t xml:space="preserve">**Normal load:** 4-10 sat/vB</w:t>
      </w:r>
    </w:p>
    <w:p>
      <w:pPr>
        <w:pStyle w:val="ListParagraph"/>
        <w:numPr>
          <w:ilvl w:val="0"/>
          <w:numId w:val="1"/>
        </w:numPr>
        <w:spacing w:after="100"/>
      </w:pPr>
      <w:r>
        <w:t xml:space="preserve">**Peak congestion:** 50-265 sat/vB (rare spikes, usually inscription-driven)</w:t>
      </w:r>
    </w:p>
    <w:p>
      <w:pPr>
        <w:pStyle w:val="ListParagraph"/>
        <w:numPr>
          <w:ilvl w:val="0"/>
          <w:numId w:val="1"/>
        </w:numPr>
        <w:spacing w:after="100"/>
      </w:pPr>
      <w:r>
        <w:t xml:space="preserve">**March 2026 average:** ~$0.49 per transaction</w:t>
      </w:r>
    </w:p>
    <w:p>
      <w:pPr>
        <w:pStyle w:val="ListParagraph"/>
        <w:numPr>
          <w:ilvl w:val="0"/>
          <w:numId w:val="1"/>
        </w:numPr>
        <w:spacing w:after="100"/>
      </w:pPr>
      <w:r>
        <w:t xml:space="preserve">**Aggregate 2025 fees:** ~$239M (down 45% from $439M in 2024)</w:t>
      </w:r>
    </w:p>
    <w:p>
      <w:pPr>
        <w:spacing w:after="120"/>
      </w:pPr>
      <w:r>
        <w:rPr>
          <w:rFonts w:ascii="Arial" w:cs="Arial" w:eastAsia="Arial" w:hAnsi="Arial"/>
        </w:rPr>
        <w:t xml:space="preserve">Weekly patterns are pronounced: Saturday late afternoon UTC consistently shows 47% lower fees than Tuesday/Wednesday peaks. This is exploitable for batch anchoring.</w:t>
      </w:r>
    </w:p>
    <w:p>
      <w:pPr>
        <w:pStyle w:val="Heading3"/>
        <w:spacing w:after="120" w:before="240"/>
        <w:outlineLvl w:val="2"/>
      </w:pPr>
      <w:r>
        <w:t xml:space="preserve">2.3 Arkova's Current Architecture</w:t>
      </w:r>
    </w:p>
    <w:p>
      <w:pPr>
        <w:pStyle w:val="ListParagraph"/>
        <w:numPr>
          <w:ilvl w:val="0"/>
          <w:numId w:val="1"/>
        </w:numPr>
        <w:spacing w:after="100"/>
      </w:pPr>
      <w:r>
        <w:t xml:space="preserve">**Commitment method:** OP_RETURN with SHA-256 document fingerprint (32 bytes)</w:t>
      </w:r>
    </w:p>
    <w:p>
      <w:pPr>
        <w:pStyle w:val="ListParagraph"/>
        <w:numPr>
          <w:ilvl w:val="0"/>
          <w:numId w:val="1"/>
        </w:numPr>
        <w:spacing w:after="100"/>
      </w:pPr>
      <w:r>
        <w:t xml:space="preserve">**Library:** bitcoinjs-lib</w:t>
      </w:r>
    </w:p>
    <w:p>
      <w:pPr>
        <w:pStyle w:val="ListParagraph"/>
        <w:numPr>
          <w:ilvl w:val="0"/>
          <w:numId w:val="1"/>
        </w:numPr>
        <w:spacing w:after="100"/>
      </w:pPr>
      <w:r>
        <w:t xml:space="preserve">**Key management:** AWS KMS (target, provisioning pending)</w:t>
      </w:r>
    </w:p>
    <w:p>
      <w:pPr>
        <w:pStyle w:val="ListParagraph"/>
        <w:numPr>
          <w:ilvl w:val="0"/>
          <w:numId w:val="1"/>
        </w:numPr>
        <w:spacing w:after="100"/>
      </w:pPr>
      <w:r>
        <w:t xml:space="preserve">**Network:** Signet (mainnet pending KMS)</w:t>
      </w:r>
    </w:p>
    <w:p>
      <w:pPr>
        <w:pStyle w:val="ListParagraph"/>
        <w:numPr>
          <w:ilvl w:val="0"/>
          <w:numId w:val="1"/>
        </w:numPr>
        <w:spacing w:after="100"/>
      </w:pPr>
      <w:r>
        <w:t xml:space="preserve">**Model:** Non-custodial; on-chain fees from corporate fee account</w:t>
      </w:r>
    </w:p>
    <w:p>
      <w:pPr>
        <w:pStyle w:val="ListParagraph"/>
        <w:numPr>
          <w:ilvl w:val="0"/>
          <w:numId w:val="1"/>
        </w:numPr>
        <w:spacing w:after="100"/>
      </w:pPr>
      <w:r>
        <w:t xml:space="preserve">**Batching:** Planned (Merkle trees) but not yet implemented</w:t>
      </w:r>
    </w:p>
    <w:p>
      <w:pPr>
        <w:spacing w:after="120"/>
      </w:pPr>
      <w:r>
        <w:rPr>
          <w:rFonts w:ascii="Arial" w:cs="Arial" w:eastAsia="Arial" w:hAnsi="Arial"/>
        </w:rPr>
        <w:t xml:space="preserve">This is a clean, correct starting point. The improvements below build on it without requiring architectural rewrites.</w:t>
      </w:r>
    </w:p>
    <w:p>
      <w:pPr>
        <w:pStyle w:val="Heading2"/>
        <w:spacing w:after="120" w:before="240"/>
        <w:outlineLvl w:val="1"/>
      </w:pPr>
      <w:r>
        <w:t xml:space="preserve">3. Technical Evaluation of Anchoring Approaches</w:t>
      </w:r>
    </w:p>
    <w:p>
      <w:pPr>
        <w:pStyle w:val="Heading3"/>
        <w:spacing w:after="120" w:before="240"/>
        <w:outlineLvl w:val="2"/>
      </w:pPr>
      <w:r>
        <w:t xml:space="preserve">3.1 Raw OP_RETURN (Current Approach)</w:t>
      </w:r>
    </w:p>
    <w:p>
      <w:pPr>
        <w:spacing w:after="120"/>
      </w:pPr>
      <w:r>
        <w:rPr>
          <w:rFonts w:ascii="Arial" w:cs="Arial" w:eastAsia="Arial" w:hAnsi="Arial"/>
          <w:b/>
          <w:bCs/>
        </w:rPr>
        <w:t xml:space="preserve">Mechanism:</w:t>
      </w:r>
      <w:r>
        <w:rPr>
          <w:rFonts w:ascii="Arial" w:cs="Arial" w:eastAsia="Arial" w:hAnsi="Arial"/>
        </w:rPr>
        <w:t xml:space="preserve"> Create a transaction with one OP_RETURN output containing the SHA-256 hash (32 bytes). The output is provably unspendable and never enters the UTXO 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W w:type="dxa" w:w="4788"/>
            <w:tcBorders>
              <w:top w:val="single" w:sz="1"/>
              <w:left w:val="single" w:sz="1"/>
              <w:bottom w:val="single" w:sz="1"/>
              <w:right w:val="single" w:sz="1"/>
            </w:tcBorders>
            <w:shd w:fill="D3D3D3" w:val="clear"/>
            <w:vAlign w:val="center"/>
          </w:tcPr>
          <w:p>
            <w:r>
              <w:t xml:space="preserve">Dimension</w:t>
            </w:r>
          </w:p>
        </w:tc>
        <w:tc>
          <w:tcPr>
            <w:tcW w:type="dxa" w:w="4788"/>
            <w:tcBorders>
              <w:top w:val="single" w:sz="1"/>
              <w:left w:val="single" w:sz="1"/>
              <w:bottom w:val="single" w:sz="1"/>
              <w:right w:val="single" w:sz="1"/>
            </w:tcBorders>
            <w:shd w:fill="D3D3D3" w:val="clear"/>
            <w:vAlign w:val="center"/>
          </w:tcPr>
          <w:p>
            <w:r>
              <w:t xml:space="preserve">Assessment</w:t>
            </w:r>
          </w:p>
        </w:tc>
      </w:tr>
      <w:tr>
        <w:tc>
          <w:tcPr>
            <w:tcW w:type="dxa" w:w="4788"/>
            <w:tcBorders>
              <w:top w:val="single" w:sz="1"/>
              <w:left w:val="single" w:sz="1"/>
              <w:bottom w:val="single" w:sz="1"/>
              <w:right w:val="single" w:sz="1"/>
            </w:tcBorders>
            <w:vAlign w:val="top"/>
          </w:tcPr>
          <w:p>
            <w:r>
              <w:t xml:space="preserve">**Data capacity**</w:t>
            </w:r>
          </w:p>
        </w:tc>
        <w:tc>
          <w:tcPr>
            <w:tcW w:type="dxa" w:w="4788"/>
            <w:tcBorders>
              <w:top w:val="single" w:sz="1"/>
              <w:left w:val="single" w:sz="1"/>
              <w:bottom w:val="single" w:sz="1"/>
              <w:right w:val="single" w:sz="1"/>
            </w:tcBorders>
            <w:vAlign w:val="top"/>
          </w:tcPr>
          <w:p>
            <w:r>
              <w:t xml:space="preserve">32 bytes (SHA-256 hash). Sufficient. Now up to ~100KB with Core v30.</w:t>
            </w:r>
          </w:p>
        </w:tc>
      </w:tr>
      <w:tr>
        <w:tc>
          <w:tcPr>
            <w:tcW w:type="dxa" w:w="4788"/>
            <w:tcBorders>
              <w:top w:val="single" w:sz="1"/>
              <w:left w:val="single" w:sz="1"/>
              <w:bottom w:val="single" w:sz="1"/>
              <w:right w:val="single" w:sz="1"/>
            </w:tcBorders>
            <w:vAlign w:val="top"/>
          </w:tcPr>
          <w:p>
            <w:r>
              <w:t xml:space="preserve">**Transaction size**</w:t>
            </w:r>
          </w:p>
        </w:tc>
        <w:tc>
          <w:tcPr>
            <w:tcW w:type="dxa" w:w="4788"/>
            <w:tcBorders>
              <w:top w:val="single" w:sz="1"/>
              <w:left w:val="single" w:sz="1"/>
              <w:bottom w:val="single" w:sz="1"/>
              <w:right w:val="single" w:sz="1"/>
            </w:tcBorders>
            <w:vAlign w:val="top"/>
          </w:tcPr>
          <w:p>
            <w:r>
              <w:t xml:space="preserve">~150-180 vB (SegWit, 1 input + 1 change + 1 OP_RETURN)</w:t>
            </w:r>
          </w:p>
        </w:tc>
      </w:tr>
      <w:tr>
        <w:tc>
          <w:tcPr>
            <w:tcW w:type="dxa" w:w="4788"/>
            <w:tcBorders>
              <w:top w:val="single" w:sz="1"/>
              <w:left w:val="single" w:sz="1"/>
              <w:bottom w:val="single" w:sz="1"/>
              <w:right w:val="single" w:sz="1"/>
            </w:tcBorders>
            <w:vAlign w:val="top"/>
          </w:tcPr>
          <w:p>
            <w:r>
              <w:t xml:space="preserve">**Cost at 10 sat/vB**</w:t>
            </w:r>
          </w:p>
        </w:tc>
        <w:tc>
          <w:tcPr>
            <w:tcW w:type="dxa" w:w="4788"/>
            <w:tcBorders>
              <w:top w:val="single" w:sz="1"/>
              <w:left w:val="single" w:sz="1"/>
              <w:bottom w:val="single" w:sz="1"/>
              <w:right w:val="single" w:sz="1"/>
            </w:tcBorders>
            <w:vAlign w:val="top"/>
          </w:tcPr>
          <w:p>
            <w:r>
              <w:t xml:space="preserve">~$0.08 per anchor (at $84K BTC)</w:t>
            </w:r>
          </w:p>
        </w:tc>
      </w:tr>
      <w:tr>
        <w:tc>
          <w:tcPr>
            <w:tcW w:type="dxa" w:w="4788"/>
            <w:tcBorders>
              <w:top w:val="single" w:sz="1"/>
              <w:left w:val="single" w:sz="1"/>
              <w:bottom w:val="single" w:sz="1"/>
              <w:right w:val="single" w:sz="1"/>
            </w:tcBorders>
            <w:vAlign w:val="top"/>
          </w:tcPr>
          <w:p>
            <w:r>
              <w:t xml:space="preserve">**Verification**</w:t>
            </w:r>
          </w:p>
        </w:tc>
        <w:tc>
          <w:tcPr>
            <w:tcW w:type="dxa" w:w="4788"/>
            <w:tcBorders>
              <w:top w:val="single" w:sz="1"/>
              <w:left w:val="single" w:sz="1"/>
              <w:bottom w:val="single" w:sz="1"/>
              <w:right w:val="single" w:sz="1"/>
            </w:tcBorders>
            <w:vAlign w:val="top"/>
          </w:tcPr>
          <w:p>
            <w:r>
              <w:t xml:space="preserve">Trivial: find tx, extract OP_RETURN data, compare hash</w:t>
            </w:r>
          </w:p>
        </w:tc>
      </w:tr>
      <w:tr>
        <w:tc>
          <w:tcPr>
            <w:tcW w:type="dxa" w:w="4788"/>
            <w:tcBorders>
              <w:top w:val="single" w:sz="1"/>
              <w:left w:val="single" w:sz="1"/>
              <w:bottom w:val="single" w:sz="1"/>
              <w:right w:val="single" w:sz="1"/>
            </w:tcBorders>
            <w:vAlign w:val="top"/>
          </w:tcPr>
          <w:p>
            <w:r>
              <w:t xml:space="preserve">**Privacy**</w:t>
            </w:r>
          </w:p>
        </w:tc>
        <w:tc>
          <w:tcPr>
            <w:tcW w:type="dxa" w:w="4788"/>
            <w:tcBorders>
              <w:top w:val="single" w:sz="1"/>
              <w:left w:val="single" w:sz="1"/>
              <w:bottom w:val="single" w:sz="1"/>
              <w:right w:val="single" w:sz="1"/>
            </w:tcBorders>
            <w:vAlign w:val="top"/>
          </w:tcPr>
          <w:p>
            <w:r>
              <w:t xml:space="preserve">Poor: hash is visible on-chain to anyone scanning OP_RETURN outputs</w:t>
            </w:r>
          </w:p>
        </w:tc>
      </w:tr>
      <w:tr>
        <w:tc>
          <w:tcPr>
            <w:tcW w:type="dxa" w:w="4788"/>
            <w:tcBorders>
              <w:top w:val="single" w:sz="1"/>
              <w:left w:val="single" w:sz="1"/>
              <w:bottom w:val="single" w:sz="1"/>
              <w:right w:val="single" w:sz="1"/>
            </w:tcBorders>
            <w:vAlign w:val="top"/>
          </w:tcPr>
          <w:p>
            <w:r>
              <w:t xml:space="preserve">**UTXO impact**</w:t>
            </w:r>
          </w:p>
        </w:tc>
        <w:tc>
          <w:tcPr>
            <w:tcW w:type="dxa" w:w="4788"/>
            <w:tcBorders>
              <w:top w:val="single" w:sz="1"/>
              <w:left w:val="single" w:sz="1"/>
              <w:bottom w:val="single" w:sz="1"/>
              <w:right w:val="single" w:sz="1"/>
            </w:tcBorders>
            <w:vAlign w:val="top"/>
          </w:tcPr>
          <w:p>
            <w:r>
              <w:t xml:space="preserve">Clean: OP_RETURN outputs don't enter UTXO set</w:t>
            </w:r>
          </w:p>
        </w:tc>
      </w:tr>
      <w:tr>
        <w:tc>
          <w:tcPr>
            <w:tcW w:type="dxa" w:w="4788"/>
            <w:tcBorders>
              <w:top w:val="single" w:sz="1"/>
              <w:left w:val="single" w:sz="1"/>
              <w:bottom w:val="single" w:sz="1"/>
              <w:right w:val="single" w:sz="1"/>
            </w:tcBorders>
            <w:vAlign w:val="top"/>
          </w:tcPr>
          <w:p>
            <w:r>
              <w:t xml:space="preserve">**Reliability**</w:t>
            </w:r>
          </w:p>
        </w:tc>
        <w:tc>
          <w:tcPr>
            <w:tcW w:type="dxa" w:w="4788"/>
            <w:tcBorders>
              <w:top w:val="single" w:sz="1"/>
              <w:left w:val="single" w:sz="1"/>
              <w:bottom w:val="single" w:sz="1"/>
              <w:right w:val="single" w:sz="1"/>
            </w:tcBorders>
            <w:vAlign w:val="top"/>
          </w:tcPr>
          <w:p>
            <w:r>
              <w:t xml:space="preserve">High: standard transaction type, universally relayed</w:t>
            </w:r>
          </w:p>
        </w:tc>
      </w:tr>
    </w:tbl>
    <w:p>
      <w:pPr>
        <w:spacing w:after="120"/>
      </w:pPr>
      <w:r>
        <w:rPr>
          <w:rFonts w:ascii="Arial" w:cs="Arial" w:eastAsia="Arial" w:hAnsi="Arial"/>
          <w:b/>
          <w:bCs/>
        </w:rPr>
        <w:t xml:space="preserve">Verdict:</w:t>
      </w:r>
      <w:r>
        <w:rPr>
          <w:rFonts w:ascii="Arial" w:cs="Arial" w:eastAsia="Arial" w:hAnsi="Arial"/>
        </w:rPr>
        <w:t xml:space="preserve"> Solid baseline. Simple, well-understood, universally compatible. But expensive at scale (one tx per document) and offers no privacy.</w:t>
      </w:r>
    </w:p>
    <w:p>
      <w:pPr>
        <w:pStyle w:val="Heading3"/>
        <w:spacing w:after="120" w:before="240"/>
        <w:outlineLvl w:val="2"/>
      </w:pPr>
      <w:r>
        <w:t xml:space="preserve">3.2 Merkle Tree Batching + OP_RETURN (Planned)</w:t>
      </w:r>
    </w:p>
    <w:p>
      <w:pPr>
        <w:spacing w:after="120"/>
      </w:pPr>
      <w:r>
        <w:rPr>
          <w:rFonts w:ascii="Arial" w:cs="Arial" w:eastAsia="Arial" w:hAnsi="Arial"/>
          <w:b/>
          <w:bCs/>
        </w:rPr>
        <w:t xml:space="preserve">Mechanism:</w:t>
      </w:r>
      <w:r>
        <w:rPr>
          <w:rFonts w:ascii="Arial" w:cs="Arial" w:eastAsia="Arial" w:hAnsi="Arial"/>
        </w:rPr>
        <w:t xml:space="preserve"> Collect N document hashes over a batch interval. Build a Merkle tree. Write the Merkle root (32 bytes) to a single OP_RETURN. Store Merkle proofs off-chain for each document.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W w:type="dxa" w:w="4788"/>
            <w:tcBorders>
              <w:top w:val="single" w:sz="1"/>
              <w:left w:val="single" w:sz="1"/>
              <w:bottom w:val="single" w:sz="1"/>
              <w:right w:val="single" w:sz="1"/>
            </w:tcBorders>
            <w:shd w:fill="D3D3D3" w:val="clear"/>
            <w:vAlign w:val="center"/>
          </w:tcPr>
          <w:p>
            <w:r>
              <w:t xml:space="preserve">Dimension</w:t>
            </w:r>
          </w:p>
        </w:tc>
        <w:tc>
          <w:tcPr>
            <w:tcW w:type="dxa" w:w="4788"/>
            <w:tcBorders>
              <w:top w:val="single" w:sz="1"/>
              <w:left w:val="single" w:sz="1"/>
              <w:bottom w:val="single" w:sz="1"/>
              <w:right w:val="single" w:sz="1"/>
            </w:tcBorders>
            <w:shd w:fill="D3D3D3" w:val="clear"/>
            <w:vAlign w:val="center"/>
          </w:tcPr>
          <w:p>
            <w:r>
              <w:t xml:space="preserve">Assessment</w:t>
            </w:r>
          </w:p>
        </w:tc>
      </w:tr>
      <w:tr>
        <w:tc>
          <w:tcPr>
            <w:tcW w:type="dxa" w:w="4788"/>
            <w:tcBorders>
              <w:top w:val="single" w:sz="1"/>
              <w:left w:val="single" w:sz="1"/>
              <w:bottom w:val="single" w:sz="1"/>
              <w:right w:val="single" w:sz="1"/>
            </w:tcBorders>
            <w:vAlign w:val="top"/>
          </w:tcPr>
          <w:p>
            <w:r>
              <w:t xml:space="preserve">**Data capacity**</w:t>
            </w:r>
          </w:p>
        </w:tc>
        <w:tc>
          <w:tcPr>
            <w:tcW w:type="dxa" w:w="4788"/>
            <w:tcBorders>
              <w:top w:val="single" w:sz="1"/>
              <w:left w:val="single" w:sz="1"/>
              <w:bottom w:val="single" w:sz="1"/>
              <w:right w:val="single" w:sz="1"/>
            </w:tcBorders>
            <w:vAlign w:val="top"/>
          </w:tcPr>
          <w:p>
            <w:r>
              <w:t xml:space="preserve">Unlimited documents per batch (32-byte root on-chain)</w:t>
            </w:r>
          </w:p>
        </w:tc>
      </w:tr>
      <w:tr>
        <w:tc>
          <w:tcPr>
            <w:tcW w:type="dxa" w:w="4788"/>
            <w:tcBorders>
              <w:top w:val="single" w:sz="1"/>
              <w:left w:val="single" w:sz="1"/>
              <w:bottom w:val="single" w:sz="1"/>
              <w:right w:val="single" w:sz="1"/>
            </w:tcBorders>
            <w:vAlign w:val="top"/>
          </w:tcPr>
          <w:p>
            <w:r>
              <w:t xml:space="preserve">**Transaction size**</w:t>
            </w:r>
          </w:p>
        </w:tc>
        <w:tc>
          <w:tcPr>
            <w:tcW w:type="dxa" w:w="4788"/>
            <w:tcBorders>
              <w:top w:val="single" w:sz="1"/>
              <w:left w:val="single" w:sz="1"/>
              <w:bottom w:val="single" w:sz="1"/>
              <w:right w:val="single" w:sz="1"/>
            </w:tcBorders>
            <w:vAlign w:val="top"/>
          </w:tcPr>
          <w:p>
            <w:r>
              <w:t xml:space="preserve">Same ~150-180 vB regardless of batch size</w:t>
            </w:r>
          </w:p>
        </w:tc>
      </w:tr>
      <w:tr>
        <w:tc>
          <w:tcPr>
            <w:tcW w:type="dxa" w:w="4788"/>
            <w:tcBorders>
              <w:top w:val="single" w:sz="1"/>
              <w:left w:val="single" w:sz="1"/>
              <w:bottom w:val="single" w:sz="1"/>
              <w:right w:val="single" w:sz="1"/>
            </w:tcBorders>
            <w:vAlign w:val="top"/>
          </w:tcPr>
          <w:p>
            <w:r>
              <w:t xml:space="preserve">**Cost at 10 sat/vB**</w:t>
            </w:r>
          </w:p>
        </w:tc>
        <w:tc>
          <w:tcPr>
            <w:tcW w:type="dxa" w:w="4788"/>
            <w:tcBorders>
              <w:top w:val="single" w:sz="1"/>
              <w:left w:val="single" w:sz="1"/>
              <w:bottom w:val="single" w:sz="1"/>
              <w:right w:val="single" w:sz="1"/>
            </w:tcBorders>
            <w:vAlign w:val="top"/>
          </w:tcPr>
          <w:p>
            <w:r>
              <w:t xml:space="preserve">~$0.08 / N per anchor</w:t>
            </w:r>
          </w:p>
        </w:tc>
      </w:tr>
      <w:tr>
        <w:tc>
          <w:tcPr>
            <w:tcW w:type="dxa" w:w="4788"/>
            <w:tcBorders>
              <w:top w:val="single" w:sz="1"/>
              <w:left w:val="single" w:sz="1"/>
              <w:bottom w:val="single" w:sz="1"/>
              <w:right w:val="single" w:sz="1"/>
            </w:tcBorders>
            <w:vAlign w:val="top"/>
          </w:tcPr>
          <w:p>
            <w:r>
              <w:t xml:space="preserve">**Verification**</w:t>
            </w:r>
          </w:p>
        </w:tc>
        <w:tc>
          <w:tcPr>
            <w:tcW w:type="dxa" w:w="4788"/>
            <w:tcBorders>
              <w:top w:val="single" w:sz="1"/>
              <w:left w:val="single" w:sz="1"/>
              <w:bottom w:val="single" w:sz="1"/>
              <w:right w:val="single" w:sz="1"/>
            </w:tcBorders>
            <w:vAlign w:val="top"/>
          </w:tcPr>
          <w:p>
            <w:r>
              <w:t xml:space="preserve">Moderate: verify Merkle proof (log₂N hashes) against on-chain root</w:t>
            </w:r>
          </w:p>
        </w:tc>
      </w:tr>
      <w:tr>
        <w:tc>
          <w:tcPr>
            <w:tcW w:type="dxa" w:w="4788"/>
            <w:tcBorders>
              <w:top w:val="single" w:sz="1"/>
              <w:left w:val="single" w:sz="1"/>
              <w:bottom w:val="single" w:sz="1"/>
              <w:right w:val="single" w:sz="1"/>
            </w:tcBorders>
            <w:vAlign w:val="top"/>
          </w:tcPr>
          <w:p>
            <w:r>
              <w:t xml:space="preserve">**Privacy**</w:t>
            </w:r>
          </w:p>
        </w:tc>
        <w:tc>
          <w:tcPr>
            <w:tcW w:type="dxa" w:w="4788"/>
            <w:tcBorders>
              <w:top w:val="single" w:sz="1"/>
              <w:left w:val="single" w:sz="1"/>
              <w:bottom w:val="single" w:sz="1"/>
              <w:right w:val="single" w:sz="1"/>
            </w:tcBorders>
            <w:vAlign w:val="top"/>
          </w:tcPr>
          <w:p>
            <w:r>
              <w:t xml:space="preserve">Marginal improvement: individual hashes not on-chain, but root is visible</w:t>
            </w:r>
          </w:p>
        </w:tc>
      </w:tr>
      <w:tr>
        <w:tc>
          <w:tcPr>
            <w:tcW w:type="dxa" w:w="4788"/>
            <w:tcBorders>
              <w:top w:val="single" w:sz="1"/>
              <w:left w:val="single" w:sz="1"/>
              <w:bottom w:val="single" w:sz="1"/>
              <w:right w:val="single" w:sz="1"/>
            </w:tcBorders>
            <w:vAlign w:val="top"/>
          </w:tcPr>
          <w:p>
            <w:r>
              <w:t xml:space="preserve">**UTXO impact**</w:t>
            </w:r>
          </w:p>
        </w:tc>
        <w:tc>
          <w:tcPr>
            <w:tcW w:type="dxa" w:w="4788"/>
            <w:tcBorders>
              <w:top w:val="single" w:sz="1"/>
              <w:left w:val="single" w:sz="1"/>
              <w:bottom w:val="single" w:sz="1"/>
              <w:right w:val="single" w:sz="1"/>
            </w:tcBorders>
            <w:vAlign w:val="top"/>
          </w:tcPr>
          <w:p>
            <w:r>
              <w:t xml:space="preserve">Clean</w:t>
            </w:r>
          </w:p>
        </w:tc>
      </w:tr>
      <w:tr>
        <w:tc>
          <w:tcPr>
            <w:tcW w:type="dxa" w:w="4788"/>
            <w:tcBorders>
              <w:top w:val="single" w:sz="1"/>
              <w:left w:val="single" w:sz="1"/>
              <w:bottom w:val="single" w:sz="1"/>
              <w:right w:val="single" w:sz="1"/>
            </w:tcBorders>
            <w:vAlign w:val="top"/>
          </w:tcPr>
          <w:p>
            <w:r>
              <w:t xml:space="preserve">**Proof size**</w:t>
            </w:r>
          </w:p>
        </w:tc>
        <w:tc>
          <w:tcPr>
            <w:tcW w:type="dxa" w:w="4788"/>
            <w:tcBorders>
              <w:top w:val="single" w:sz="1"/>
              <w:left w:val="single" w:sz="1"/>
              <w:bottom w:val="single" w:sz="1"/>
              <w:right w:val="single" w:sz="1"/>
            </w:tcBorders>
            <w:vAlign w:val="top"/>
          </w:tcPr>
          <w:p>
            <w:r>
              <w:t xml:space="preserve">32 × log₂(N) bytes per document. N=1024 → 320 bytes per proof</w:t>
            </w:r>
          </w:p>
        </w:tc>
      </w:tr>
    </w:tbl>
    <w:p>
      <w:pPr>
        <w:spacing w:after="120"/>
      </w:pPr>
      <w:r>
        <w:rPr>
          <w:rFonts w:ascii="Arial" w:cs="Arial" w:eastAsia="Arial" w:hAnsi="Arial"/>
          <w:b/>
          <w:bCs/>
        </w:rPr>
        <w:t xml:space="preserve">Optimal batch parameters:</w:t>
      </w:r>
    </w:p>
    <w:p>
      <w:pPr>
        <w:pStyle w:val="ListParagraph"/>
        <w:numPr>
          <w:ilvl w:val="0"/>
          <w:numId w:val="1"/>
        </w:numPr>
        <w:spacing w:after="100"/>
      </w:pPr>
      <w:r>
        <w:t xml:space="preserve">**Batch interval:** 10-60 minutes for credential use cases (balance latency vs. cost)</w:t>
      </w:r>
    </w:p>
    <w:p>
      <w:pPr>
        <w:pStyle w:val="ListParagraph"/>
        <w:numPr>
          <w:ilvl w:val="0"/>
          <w:numId w:val="1"/>
        </w:numPr>
        <w:spacing w:after="100"/>
      </w:pPr>
      <w:r>
        <w:t xml:space="preserve">**Batch size target:** 100-10,000 documents per batch</w:t>
      </w:r>
    </w:p>
    <w:p>
      <w:pPr>
        <w:pStyle w:val="ListParagraph"/>
        <w:numPr>
          <w:ilvl w:val="0"/>
          <w:numId w:val="1"/>
        </w:numPr>
        <w:spacing w:after="100"/>
      </w:pPr>
      <w:r>
        <w:t xml:space="preserve">**Tree depth:** 10-14 levels (1,024 to 16,384 leaves)</w:t>
      </w:r>
    </w:p>
    <w:p>
      <w:pPr>
        <w:pStyle w:val="ListParagraph"/>
        <w:numPr>
          <w:ilvl w:val="0"/>
          <w:numId w:val="1"/>
        </w:numPr>
        <w:spacing w:after="100"/>
      </w:pPr>
      <w:r>
        <w:t xml:space="preserve">**Proof size:** 320-448 bytes per document</w:t>
      </w:r>
    </w:p>
    <w:p>
      <w:pPr>
        <w:pStyle w:val="ListParagraph"/>
        <w:numPr>
          <w:ilvl w:val="0"/>
          <w:numId w:val="1"/>
        </w:numPr>
        <w:spacing w:after="100"/>
      </w:pPr>
      <w:r>
        <w:t xml:space="preserve">**Deterministic ordering:** Sort leaves lexicographically for reproducible tree construction</w:t>
      </w:r>
    </w:p>
    <w:p>
      <w:pPr>
        <w:spacing w:after="120"/>
      </w:pPr>
      <w:r>
        <w:rPr>
          <w:rFonts w:ascii="Arial" w:cs="Arial" w:eastAsia="Arial" w:hAnsi="Arial"/>
          <w:b/>
          <w:bCs/>
        </w:rPr>
        <w:t xml:space="preserve">Implementation notes:</w:t>
      </w:r>
    </w:p>
    <w:p>
      <w:pPr>
        <w:pStyle w:val="ListParagraph"/>
        <w:numPr>
          <w:ilvl w:val="0"/>
          <w:numId w:val="1"/>
        </w:numPr>
        <w:spacing w:after="100"/>
      </w:pPr>
      <w:r>
        <w:t xml:space="preserve">Use SHA-256 for internal nodes (consistent with document hashing)</w:t>
      </w:r>
    </w:p>
    <w:p>
      <w:pPr>
        <w:pStyle w:val="ListParagraph"/>
        <w:numPr>
          <w:ilvl w:val="0"/>
          <w:numId w:val="1"/>
        </w:numPr>
        <w:spacing w:after="100"/>
      </w:pPr>
      <w:r>
        <w:t xml:space="preserve">Prepend 0x00 to leaf hashes and 0x01 to internal node hashes (second preimage resistance)</w:t>
      </w:r>
    </w:p>
    <w:p>
      <w:pPr>
        <w:pStyle w:val="ListParagraph"/>
        <w:numPr>
          <w:ilvl w:val="0"/>
          <w:numId w:val="1"/>
        </w:numPr>
        <w:spacing w:after="100"/>
      </w:pPr>
      <w:r>
        <w:t xml:space="preserve">Store proofs in DynamoDB or S3 alongside credential metadata</w:t>
      </w:r>
    </w:p>
    <w:p>
      <w:pPr>
        <w:pStyle w:val="ListParagraph"/>
        <w:numPr>
          <w:ilvl w:val="0"/>
          <w:numId w:val="1"/>
        </w:numPr>
        <w:spacing w:after="100"/>
      </w:pPr>
      <w:r>
        <w:t xml:space="preserve">If batch has only 1 document, degrade gracefully to direct OP_RETURN (root = hash)</w:t>
      </w:r>
    </w:p>
    <w:p>
      <w:pPr>
        <w:spacing w:after="120"/>
      </w:pPr>
      <w:r>
        <w:rPr>
          <w:rFonts w:ascii="Arial" w:cs="Arial" w:eastAsia="Arial" w:hAnsi="Arial"/>
          <w:b/>
          <w:bCs/>
        </w:rPr>
        <w:t xml:space="preserve">Verdict:</w:t>
      </w:r>
      <w:r>
        <w:rPr>
          <w:rFonts w:ascii="Arial" w:cs="Arial" w:eastAsia="Arial" w:hAnsi="Arial"/>
        </w:rPr>
        <w:t xml:space="preserve"> Highest-ROI improvement. Implement this first.</w:t>
      </w:r>
    </w:p>
    <w:p>
      <w:pPr>
        <w:pStyle w:val="Heading3"/>
        <w:spacing w:after="120" w:before="240"/>
        <w:outlineLvl w:val="2"/>
      </w:pPr>
      <w:r>
        <w:t xml:space="preserve">3.3 Pay-to-Contract (P2C) via Taproot</w:t>
      </w:r>
    </w:p>
    <w:p>
      <w:pPr>
        <w:spacing w:after="120"/>
      </w:pPr>
      <w:r>
        <w:rPr>
          <w:rFonts w:ascii="Arial" w:cs="Arial" w:eastAsia="Arial" w:hAnsi="Arial"/>
          <w:b/>
          <w:bCs/>
        </w:rPr>
        <w:t xml:space="preserve">Mechanism:</w:t>
      </w:r>
      <w:r>
        <w:rPr>
          <w:rFonts w:ascii="Arial" w:cs="Arial" w:eastAsia="Arial" w:hAnsi="Arial"/>
        </w:rPr>
        <w:t xml:space="preserve"> Tweak the internal Taproot public key P with the commitment data c to produce output key Q = P + H(P||c)·G. The resulting P2TR output looks identical to any other Taproot output. To verify, a party needs the original P and the commitment 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W w:type="dxa" w:w="4788"/>
            <w:tcBorders>
              <w:top w:val="single" w:sz="1"/>
              <w:left w:val="single" w:sz="1"/>
              <w:bottom w:val="single" w:sz="1"/>
              <w:right w:val="single" w:sz="1"/>
            </w:tcBorders>
            <w:shd w:fill="D3D3D3" w:val="clear"/>
            <w:vAlign w:val="center"/>
          </w:tcPr>
          <w:p>
            <w:r>
              <w:t xml:space="preserve">Dimension</w:t>
            </w:r>
          </w:p>
        </w:tc>
        <w:tc>
          <w:tcPr>
            <w:tcW w:type="dxa" w:w="4788"/>
            <w:tcBorders>
              <w:top w:val="single" w:sz="1"/>
              <w:left w:val="single" w:sz="1"/>
              <w:bottom w:val="single" w:sz="1"/>
              <w:right w:val="single" w:sz="1"/>
            </w:tcBorders>
            <w:shd w:fill="D3D3D3" w:val="clear"/>
            <w:vAlign w:val="center"/>
          </w:tcPr>
          <w:p>
            <w:r>
              <w:t xml:space="preserve">Assessment</w:t>
            </w:r>
          </w:p>
        </w:tc>
      </w:tr>
      <w:tr>
        <w:tc>
          <w:tcPr>
            <w:tcW w:type="dxa" w:w="4788"/>
            <w:tcBorders>
              <w:top w:val="single" w:sz="1"/>
              <w:left w:val="single" w:sz="1"/>
              <w:bottom w:val="single" w:sz="1"/>
              <w:right w:val="single" w:sz="1"/>
            </w:tcBorders>
            <w:vAlign w:val="top"/>
          </w:tcPr>
          <w:p>
            <w:r>
              <w:t xml:space="preserve">**Data capacity**</w:t>
            </w:r>
          </w:p>
        </w:tc>
        <w:tc>
          <w:tcPr>
            <w:tcW w:type="dxa" w:w="4788"/>
            <w:tcBorders>
              <w:top w:val="single" w:sz="1"/>
              <w:left w:val="single" w:sz="1"/>
              <w:bottom w:val="single" w:sz="1"/>
              <w:right w:val="single" w:sz="1"/>
            </w:tcBorders>
            <w:vAlign w:val="top"/>
          </w:tcPr>
          <w:p>
            <w:r>
              <w:t xml:space="preserve">32 bytes (hash input to tweak function)</w:t>
            </w:r>
          </w:p>
        </w:tc>
      </w:tr>
      <w:tr>
        <w:tc>
          <w:tcPr>
            <w:tcW w:type="dxa" w:w="4788"/>
            <w:tcBorders>
              <w:top w:val="single" w:sz="1"/>
              <w:left w:val="single" w:sz="1"/>
              <w:bottom w:val="single" w:sz="1"/>
              <w:right w:val="single" w:sz="1"/>
            </w:tcBorders>
            <w:vAlign w:val="top"/>
          </w:tcPr>
          <w:p>
            <w:r>
              <w:t xml:space="preserve">**Transaction size**</w:t>
            </w:r>
          </w:p>
        </w:tc>
        <w:tc>
          <w:tcPr>
            <w:tcW w:type="dxa" w:w="4788"/>
            <w:tcBorders>
              <w:top w:val="single" w:sz="1"/>
              <w:left w:val="single" w:sz="1"/>
              <w:bottom w:val="single" w:sz="1"/>
              <w:right w:val="single" w:sz="1"/>
            </w:tcBorders>
            <w:vAlign w:val="top"/>
          </w:tcPr>
          <w:p>
            <w:r>
              <w:t xml:space="preserve">~110 vB (standard P2TR spend, no extra outputs)</w:t>
            </w:r>
          </w:p>
        </w:tc>
      </w:tr>
      <w:tr>
        <w:tc>
          <w:tcPr>
            <w:tcW w:type="dxa" w:w="4788"/>
            <w:tcBorders>
              <w:top w:val="single" w:sz="1"/>
              <w:left w:val="single" w:sz="1"/>
              <w:bottom w:val="single" w:sz="1"/>
              <w:right w:val="single" w:sz="1"/>
            </w:tcBorders>
            <w:vAlign w:val="top"/>
          </w:tcPr>
          <w:p>
            <w:r>
              <w:t xml:space="preserve">**Cost at 10 sat/vB**</w:t>
            </w:r>
          </w:p>
        </w:tc>
        <w:tc>
          <w:tcPr>
            <w:tcW w:type="dxa" w:w="4788"/>
            <w:tcBorders>
              <w:top w:val="single" w:sz="1"/>
              <w:left w:val="single" w:sz="1"/>
              <w:bottom w:val="single" w:sz="1"/>
              <w:right w:val="single" w:sz="1"/>
            </w:tcBorders>
            <w:vAlign w:val="top"/>
          </w:tcPr>
          <w:p>
            <w:r>
              <w:t xml:space="preserve">~$0.046 per anchor</w:t>
            </w:r>
          </w:p>
        </w:tc>
      </w:tr>
      <w:tr>
        <w:tc>
          <w:tcPr>
            <w:tcW w:type="dxa" w:w="4788"/>
            <w:tcBorders>
              <w:top w:val="single" w:sz="1"/>
              <w:left w:val="single" w:sz="1"/>
              <w:bottom w:val="single" w:sz="1"/>
              <w:right w:val="single" w:sz="1"/>
            </w:tcBorders>
            <w:vAlign w:val="top"/>
          </w:tcPr>
          <w:p>
            <w:r>
              <w:t xml:space="preserve">**Verification**</w:t>
            </w:r>
          </w:p>
        </w:tc>
        <w:tc>
          <w:tcPr>
            <w:tcW w:type="dxa" w:w="4788"/>
            <w:tcBorders>
              <w:top w:val="single" w:sz="1"/>
              <w:left w:val="single" w:sz="1"/>
              <w:bottom w:val="single" w:sz="1"/>
              <w:right w:val="single" w:sz="1"/>
            </w:tcBorders>
            <w:vAlign w:val="top"/>
          </w:tcPr>
          <w:p>
            <w:r>
              <w:t xml:space="preserve">Moderate: requires original public key P and commitment c</w:t>
            </w:r>
          </w:p>
        </w:tc>
      </w:tr>
      <w:tr>
        <w:tc>
          <w:tcPr>
            <w:tcW w:type="dxa" w:w="4788"/>
            <w:tcBorders>
              <w:top w:val="single" w:sz="1"/>
              <w:left w:val="single" w:sz="1"/>
              <w:bottom w:val="single" w:sz="1"/>
              <w:right w:val="single" w:sz="1"/>
            </w:tcBorders>
            <w:vAlign w:val="top"/>
          </w:tcPr>
          <w:p>
            <w:r>
              <w:t xml:space="preserve">**Privacy**</w:t>
            </w:r>
          </w:p>
        </w:tc>
        <w:tc>
          <w:tcPr>
            <w:tcW w:type="dxa" w:w="4788"/>
            <w:tcBorders>
              <w:top w:val="single" w:sz="1"/>
              <w:left w:val="single" w:sz="1"/>
              <w:bottom w:val="single" w:sz="1"/>
              <w:right w:val="single" w:sz="1"/>
            </w:tcBorders>
            <w:vAlign w:val="top"/>
          </w:tcPr>
          <w:p>
            <w:r>
              <w:t xml:space="preserve">Excellent: indistinguishable from normal Taproot spend</w:t>
            </w:r>
          </w:p>
        </w:tc>
      </w:tr>
      <w:tr>
        <w:tc>
          <w:tcPr>
            <w:tcW w:type="dxa" w:w="4788"/>
            <w:tcBorders>
              <w:top w:val="single" w:sz="1"/>
              <w:left w:val="single" w:sz="1"/>
              <w:bottom w:val="single" w:sz="1"/>
              <w:right w:val="single" w:sz="1"/>
            </w:tcBorders>
            <w:vAlign w:val="top"/>
          </w:tcPr>
          <w:p>
            <w:r>
              <w:t xml:space="preserve">**UTXO impact**</w:t>
            </w:r>
          </w:p>
        </w:tc>
        <w:tc>
          <w:tcPr>
            <w:tcW w:type="dxa" w:w="4788"/>
            <w:tcBorders>
              <w:top w:val="single" w:sz="1"/>
              <w:left w:val="single" w:sz="1"/>
              <w:bottom w:val="single" w:sz="1"/>
              <w:right w:val="single" w:sz="1"/>
            </w:tcBorders>
            <w:vAlign w:val="top"/>
          </w:tcPr>
          <w:p>
            <w:r>
              <w:t xml:space="preserve">Neutral: creates a normal spendable UTXO (can be spent later)</w:t>
            </w:r>
          </w:p>
        </w:tc>
      </w:tr>
    </w:tbl>
    <w:p>
      <w:pPr>
        <w:spacing w:after="120"/>
      </w:pPr>
      <w:r>
        <w:rPr>
          <w:rFonts w:ascii="Arial" w:cs="Arial" w:eastAsia="Arial" w:hAnsi="Arial"/>
          <w:b/>
          <w:bCs/>
        </w:rPr>
        <w:t xml:space="preserve">How Arkova would use this:</w:t>
      </w:r>
    </w:p>
    <w:p>
      <w:pPr>
        <w:pStyle w:val="ListParagraph"/>
        <w:numPr>
          <w:ilvl w:val="0"/>
          <w:numId w:val="1"/>
        </w:numPr>
        <w:spacing w:after="100"/>
      </w:pPr>
      <w:r>
        <w:t xml:space="preserve">Arkova holds an internal key P (derived from AWS KMS)</w:t>
      </w:r>
    </w:p>
    <w:p>
      <w:pPr>
        <w:pStyle w:val="ListParagraph"/>
        <w:numPr>
          <w:ilvl w:val="0"/>
          <w:numId w:val="1"/>
        </w:numPr>
        <w:spacing w:after="100"/>
      </w:pPr>
      <w:r>
        <w:t xml:space="preserve">For each batch, compute Merkle root R of document hashes</w:t>
      </w:r>
    </w:p>
    <w:p>
      <w:pPr>
        <w:pStyle w:val="ListParagraph"/>
        <w:numPr>
          <w:ilvl w:val="0"/>
          <w:numId w:val="1"/>
        </w:numPr>
        <w:spacing w:after="100"/>
      </w:pPr>
      <w:r>
        <w:t xml:space="preserve">Compute tweaked key: Q = P + H(P||R)·G</w:t>
      </w:r>
    </w:p>
    <w:p>
      <w:pPr>
        <w:pStyle w:val="ListParagraph"/>
        <w:numPr>
          <w:ilvl w:val="0"/>
          <w:numId w:val="1"/>
        </w:numPr>
        <w:spacing w:after="100"/>
      </w:pPr>
      <w:r>
        <w:t xml:space="preserve">Create a P2TR output paying to Q</w:t>
      </w:r>
    </w:p>
    <w:p>
      <w:pPr>
        <w:pStyle w:val="ListParagraph"/>
        <w:numPr>
          <w:ilvl w:val="0"/>
          <w:numId w:val="1"/>
        </w:numPr>
        <w:spacing w:after="100"/>
      </w:pPr>
      <w:r>
        <w:t xml:space="preserve">The output is spendable by Arkova (using the tweaked private key), so funds are recoverable</w:t>
      </w:r>
    </w:p>
    <w:p>
      <w:pPr>
        <w:pStyle w:val="ListParagraph"/>
        <w:numPr>
          <w:ilvl w:val="0"/>
          <w:numId w:val="1"/>
        </w:numPr>
        <w:spacing w:after="100"/>
      </w:pPr>
      <w:r>
        <w:t xml:space="preserve">To verify: Arkova publishes P and provides R + Merkle proof. Verifier checks Q = P + H(P||R)·G against the on-chain output</w:t>
      </w:r>
    </w:p>
    <w:p>
      <w:pPr>
        <w:spacing w:after="120"/>
      </w:pPr>
      <w:r>
        <w:rPr>
          <w:rFonts w:ascii="Arial" w:cs="Arial" w:eastAsia="Arial" w:hAnsi="Arial"/>
          <w:b/>
          <w:bCs/>
        </w:rPr>
        <w:t xml:space="preserve">Key advantage:</w:t>
      </w:r>
      <w:r>
        <w:rPr>
          <w:rFonts w:ascii="Arial" w:cs="Arial" w:eastAsia="Arial" w:hAnsi="Arial"/>
        </w:rPr>
        <w:t xml:space="preserve"> The anchoring transaction is also a normal payment to yourself. No wasted OP_RETURN output. Funds cycle back. The on-chain footprint is zero — no observer can distinguish Arkova's anchoring transactions from normal Taproot payments.</w:t>
      </w:r>
    </w:p>
    <w:p>
      <w:pPr>
        <w:spacing w:after="120"/>
      </w:pPr>
      <w:r>
        <w:rPr>
          <w:rFonts w:ascii="Arial" w:cs="Arial" w:eastAsia="Arial" w:hAnsi="Arial"/>
          <w:b/>
          <w:bCs/>
        </w:rPr>
        <w:t xml:space="preserve">Key disadvantage:</w:t>
      </w:r>
      <w:r>
        <w:rPr>
          <w:rFonts w:ascii="Arial" w:cs="Arial" w:eastAsia="Arial" w:hAnsi="Arial"/>
        </w:rPr>
        <w:t xml:space="preserve"> Verification requires Arkova to publish the internal key P and cooperate in the verification process. If Arkova disappears, verifiers need P to confirm the commitment. This can be mitigated by publishing P in a transparency log or including it in the credential proof format.</w:t>
      </w:r>
    </w:p>
    <w:p>
      <w:pPr>
        <w:spacing w:after="120"/>
      </w:pPr>
      <w:r>
        <w:rPr>
          <w:rFonts w:ascii="Arial" w:cs="Arial" w:eastAsia="Arial" w:hAnsi="Arial"/>
          <w:b/>
          <w:bCs/>
        </w:rPr>
        <w:t xml:space="preserve">Verdict:</w:t>
      </w:r>
      <w:r>
        <w:rPr>
          <w:rFonts w:ascii="Arial" w:cs="Arial" w:eastAsia="Arial" w:hAnsi="Arial"/>
        </w:rPr>
        <w:t xml:space="preserve"> Best long-term approach for privacy and cost. Combine with Merkle batching for the optimal architecture.</w:t>
      </w:r>
    </w:p>
    <w:p>
      <w:pPr>
        <w:pStyle w:val="Heading3"/>
        <w:spacing w:after="120" w:before="240"/>
        <w:outlineLvl w:val="2"/>
      </w:pPr>
      <w:r>
        <w:t xml:space="preserve">3.4 Taproot Script Path Commitments (MAST)</w:t>
      </w:r>
    </w:p>
    <w:p>
      <w:pPr>
        <w:spacing w:after="120"/>
      </w:pPr>
      <w:r>
        <w:rPr>
          <w:rFonts w:ascii="Arial" w:cs="Arial" w:eastAsia="Arial" w:hAnsi="Arial"/>
          <w:b/>
          <w:bCs/>
        </w:rPr>
        <w:t xml:space="preserve">Mechanism:</w:t>
      </w:r>
      <w:r>
        <w:rPr>
          <w:rFonts w:ascii="Arial" w:cs="Arial" w:eastAsia="Arial" w:hAnsi="Arial"/>
        </w:rPr>
        <w:t xml:space="preserve"> Embed commitment data in an unexecuted Taproot script path. The data only appears on-chain if that path is spent (which it never would be for anchoring).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W w:type="dxa" w:w="4788"/>
            <w:tcBorders>
              <w:top w:val="single" w:sz="1"/>
              <w:left w:val="single" w:sz="1"/>
              <w:bottom w:val="single" w:sz="1"/>
              <w:right w:val="single" w:sz="1"/>
            </w:tcBorders>
            <w:shd w:fill="D3D3D3" w:val="clear"/>
            <w:vAlign w:val="center"/>
          </w:tcPr>
          <w:p>
            <w:r>
              <w:t xml:space="preserve">Dimension</w:t>
            </w:r>
          </w:p>
        </w:tc>
        <w:tc>
          <w:tcPr>
            <w:tcW w:type="dxa" w:w="4788"/>
            <w:tcBorders>
              <w:top w:val="single" w:sz="1"/>
              <w:left w:val="single" w:sz="1"/>
              <w:bottom w:val="single" w:sz="1"/>
              <w:right w:val="single" w:sz="1"/>
            </w:tcBorders>
            <w:shd w:fill="D3D3D3" w:val="clear"/>
            <w:vAlign w:val="center"/>
          </w:tcPr>
          <w:p>
            <w:r>
              <w:t xml:space="preserve">Assessment</w:t>
            </w:r>
          </w:p>
        </w:tc>
      </w:tr>
      <w:tr>
        <w:tc>
          <w:tcPr>
            <w:tcW w:type="dxa" w:w="4788"/>
            <w:tcBorders>
              <w:top w:val="single" w:sz="1"/>
              <w:left w:val="single" w:sz="1"/>
              <w:bottom w:val="single" w:sz="1"/>
              <w:right w:val="single" w:sz="1"/>
            </w:tcBorders>
            <w:vAlign w:val="top"/>
          </w:tcPr>
          <w:p>
            <w:r>
              <w:t xml:space="preserve">**Data capacity**</w:t>
            </w:r>
          </w:p>
        </w:tc>
        <w:tc>
          <w:tcPr>
            <w:tcW w:type="dxa" w:w="4788"/>
            <w:tcBorders>
              <w:top w:val="single" w:sz="1"/>
              <w:left w:val="single" w:sz="1"/>
              <w:bottom w:val="single" w:sz="1"/>
              <w:right w:val="single" w:sz="1"/>
            </w:tcBorders>
            <w:vAlign w:val="top"/>
          </w:tcPr>
          <w:p>
            <w:r>
              <w:t xml:space="preserve">High (multiple script paths, each with substantial data)</w:t>
            </w:r>
          </w:p>
        </w:tc>
      </w:tr>
      <w:tr>
        <w:tc>
          <w:tcPr>
            <w:tcW w:type="dxa" w:w="4788"/>
            <w:tcBorders>
              <w:top w:val="single" w:sz="1"/>
              <w:left w:val="single" w:sz="1"/>
              <w:bottom w:val="single" w:sz="1"/>
              <w:right w:val="single" w:sz="1"/>
            </w:tcBorders>
            <w:vAlign w:val="top"/>
          </w:tcPr>
          <w:p>
            <w:r>
              <w:t xml:space="preserve">**Cost**</w:t>
            </w:r>
          </w:p>
        </w:tc>
        <w:tc>
          <w:tcPr>
            <w:tcW w:type="dxa" w:w="4788"/>
            <w:tcBorders>
              <w:top w:val="single" w:sz="1"/>
              <w:left w:val="single" w:sz="1"/>
              <w:bottom w:val="single" w:sz="1"/>
              <w:right w:val="single" w:sz="1"/>
            </w:tcBorders>
            <w:vAlign w:val="top"/>
          </w:tcPr>
          <w:p>
            <w:r>
              <w:t xml:space="preserve">Low during commitment (key path spend). Higher if script path revealed.</w:t>
            </w:r>
          </w:p>
        </w:tc>
      </w:tr>
      <w:tr>
        <w:tc>
          <w:tcPr>
            <w:tcW w:type="dxa" w:w="4788"/>
            <w:tcBorders>
              <w:top w:val="single" w:sz="1"/>
              <w:left w:val="single" w:sz="1"/>
              <w:bottom w:val="single" w:sz="1"/>
              <w:right w:val="single" w:sz="1"/>
            </w:tcBorders>
            <w:vAlign w:val="top"/>
          </w:tcPr>
          <w:p>
            <w:r>
              <w:t xml:space="preserve">**Verification**</w:t>
            </w:r>
          </w:p>
        </w:tc>
        <w:tc>
          <w:tcPr>
            <w:tcW w:type="dxa" w:w="4788"/>
            <w:tcBorders>
              <w:top w:val="single" w:sz="1"/>
              <w:left w:val="single" w:sz="1"/>
              <w:bottom w:val="single" w:sz="1"/>
              <w:right w:val="single" w:sz="1"/>
            </w:tcBorders>
            <w:vAlign w:val="top"/>
          </w:tcPr>
          <w:p>
            <w:r>
              <w:t xml:space="preserve">Complex: requires revealing the script path and Merkle proof</w:t>
            </w:r>
          </w:p>
        </w:tc>
      </w:tr>
      <w:tr>
        <w:tc>
          <w:tcPr>
            <w:tcW w:type="dxa" w:w="4788"/>
            <w:tcBorders>
              <w:top w:val="single" w:sz="1"/>
              <w:left w:val="single" w:sz="1"/>
              <w:bottom w:val="single" w:sz="1"/>
              <w:right w:val="single" w:sz="1"/>
            </w:tcBorders>
            <w:vAlign w:val="top"/>
          </w:tcPr>
          <w:p>
            <w:r>
              <w:t xml:space="preserve">**Privacy**</w:t>
            </w:r>
          </w:p>
        </w:tc>
        <w:tc>
          <w:tcPr>
            <w:tcW w:type="dxa" w:w="4788"/>
            <w:tcBorders>
              <w:top w:val="single" w:sz="1"/>
              <w:left w:val="single" w:sz="1"/>
              <w:bottom w:val="single" w:sz="1"/>
              <w:right w:val="single" w:sz="1"/>
            </w:tcBorders>
            <w:vAlign w:val="top"/>
          </w:tcPr>
          <w:p>
            <w:r>
              <w:t xml:space="preserve">Excellent during commitment; lost if script path is revealed</w:t>
            </w:r>
          </w:p>
        </w:tc>
      </w:tr>
    </w:tbl>
    <w:p>
      <w:pPr>
        <w:spacing w:after="120"/>
      </w:pPr>
      <w:r>
        <w:rPr>
          <w:rFonts w:ascii="Arial" w:cs="Arial" w:eastAsia="Arial" w:hAnsi="Arial"/>
          <w:b/>
          <w:bCs/>
        </w:rPr>
        <w:t xml:space="preserve">Verdict:</w:t>
      </w:r>
      <w:r>
        <w:rPr>
          <w:rFonts w:ascii="Arial" w:cs="Arial" w:eastAsia="Arial" w:hAnsi="Arial"/>
        </w:rPr>
        <w:t xml:space="preserve"> Over-engineered for Arkova's use case. P2C is simpler and achieves the same privacy properties. MAST is better suited for complex smart contracts with multiple execution paths.</w:t>
      </w:r>
    </w:p>
    <w:p>
      <w:pPr>
        <w:pStyle w:val="Heading3"/>
        <w:spacing w:after="120" w:before="240"/>
        <w:outlineLvl w:val="2"/>
      </w:pPr>
      <w:r>
        <w:t xml:space="preserve">3.5 OP_FALSE OP_IF Envelope (Ordinals Pattern)</w:t>
      </w:r>
    </w:p>
    <w:p>
      <w:pPr>
        <w:spacing w:after="120"/>
      </w:pPr>
      <w:r>
        <w:rPr>
          <w:rFonts w:ascii="Arial" w:cs="Arial" w:eastAsia="Arial" w:hAnsi="Arial"/>
          <w:b/>
          <w:bCs/>
        </w:rPr>
        <w:t xml:space="preserve">Mechanism:</w:t>
      </w:r>
      <w:r>
        <w:rPr>
          <w:rFonts w:ascii="Arial" w:cs="Arial" w:eastAsia="Arial" w:hAnsi="Arial"/>
        </w:rPr>
        <w:t xml:space="preserve"> Wrap data in witness using OP_FALSE OP_IF ... OP_ENDIF. Data benefits from witness discount but is fully visible on-chain.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W w:type="dxa" w:w="4788"/>
            <w:tcBorders>
              <w:top w:val="single" w:sz="1"/>
              <w:left w:val="single" w:sz="1"/>
              <w:bottom w:val="single" w:sz="1"/>
              <w:right w:val="single" w:sz="1"/>
            </w:tcBorders>
            <w:shd w:fill="D3D3D3" w:val="clear"/>
            <w:vAlign w:val="center"/>
          </w:tcPr>
          <w:p>
            <w:r>
              <w:t xml:space="preserve">Dimension</w:t>
            </w:r>
          </w:p>
        </w:tc>
        <w:tc>
          <w:tcPr>
            <w:tcW w:type="dxa" w:w="4788"/>
            <w:tcBorders>
              <w:top w:val="single" w:sz="1"/>
              <w:left w:val="single" w:sz="1"/>
              <w:bottom w:val="single" w:sz="1"/>
              <w:right w:val="single" w:sz="1"/>
            </w:tcBorders>
            <w:shd w:fill="D3D3D3" w:val="clear"/>
            <w:vAlign w:val="center"/>
          </w:tcPr>
          <w:p>
            <w:r>
              <w:t xml:space="preserve">Assessment</w:t>
            </w:r>
          </w:p>
        </w:tc>
      </w:tr>
      <w:tr>
        <w:tc>
          <w:tcPr>
            <w:tcW w:type="dxa" w:w="4788"/>
            <w:tcBorders>
              <w:top w:val="single" w:sz="1"/>
              <w:left w:val="single" w:sz="1"/>
              <w:bottom w:val="single" w:sz="1"/>
              <w:right w:val="single" w:sz="1"/>
            </w:tcBorders>
            <w:vAlign w:val="top"/>
          </w:tcPr>
          <w:p>
            <w:r>
              <w:t xml:space="preserve">**Data capacity**</w:t>
            </w:r>
          </w:p>
        </w:tc>
        <w:tc>
          <w:tcPr>
            <w:tcW w:type="dxa" w:w="4788"/>
            <w:tcBorders>
              <w:top w:val="single" w:sz="1"/>
              <w:left w:val="single" w:sz="1"/>
              <w:bottom w:val="single" w:sz="1"/>
              <w:right w:val="single" w:sz="1"/>
            </w:tcBorders>
            <w:vAlign w:val="top"/>
          </w:tcPr>
          <w:p>
            <w:r>
              <w:t xml:space="preserve">Very high (~4MB per transaction)</w:t>
            </w:r>
          </w:p>
        </w:tc>
      </w:tr>
      <w:tr>
        <w:tc>
          <w:tcPr>
            <w:tcW w:type="dxa" w:w="4788"/>
            <w:tcBorders>
              <w:top w:val="single" w:sz="1"/>
              <w:left w:val="single" w:sz="1"/>
              <w:bottom w:val="single" w:sz="1"/>
              <w:right w:val="single" w:sz="1"/>
            </w:tcBorders>
            <w:vAlign w:val="top"/>
          </w:tcPr>
          <w:p>
            <w:r>
              <w:t xml:space="preserve">**Cost**</w:t>
            </w:r>
          </w:p>
        </w:tc>
        <w:tc>
          <w:tcPr>
            <w:tcW w:type="dxa" w:w="4788"/>
            <w:tcBorders>
              <w:top w:val="single" w:sz="1"/>
              <w:left w:val="single" w:sz="1"/>
              <w:bottom w:val="single" w:sz="1"/>
              <w:right w:val="single" w:sz="1"/>
            </w:tcBorders>
            <w:vAlign w:val="top"/>
          </w:tcPr>
          <w:p>
            <w:r>
              <w:t xml:space="preserve">Witness discount (1/4 weight), but large absolute size</w:t>
            </w:r>
          </w:p>
        </w:tc>
      </w:tr>
      <w:tr>
        <w:tc>
          <w:tcPr>
            <w:tcW w:type="dxa" w:w="4788"/>
            <w:tcBorders>
              <w:top w:val="single" w:sz="1"/>
              <w:left w:val="single" w:sz="1"/>
              <w:bottom w:val="single" w:sz="1"/>
              <w:right w:val="single" w:sz="1"/>
            </w:tcBorders>
            <w:vAlign w:val="top"/>
          </w:tcPr>
          <w:p>
            <w:r>
              <w:t xml:space="preserve">**Privacy**</w:t>
            </w:r>
          </w:p>
        </w:tc>
        <w:tc>
          <w:tcPr>
            <w:tcW w:type="dxa" w:w="4788"/>
            <w:tcBorders>
              <w:top w:val="single" w:sz="1"/>
              <w:left w:val="single" w:sz="1"/>
              <w:bottom w:val="single" w:sz="1"/>
              <w:right w:val="single" w:sz="1"/>
            </w:tcBorders>
            <w:vAlign w:val="top"/>
          </w:tcPr>
          <w:p>
            <w:r>
              <w:t xml:space="preserve">None: all data visible in witness</w:t>
            </w:r>
          </w:p>
        </w:tc>
      </w:tr>
    </w:tbl>
    <w:p>
      <w:pPr>
        <w:spacing w:after="120"/>
      </w:pPr>
      <w:r>
        <w:rPr>
          <w:rFonts w:ascii="Arial" w:cs="Arial" w:eastAsia="Arial" w:hAnsi="Arial"/>
          <w:b/>
          <w:bCs/>
        </w:rPr>
        <w:t xml:space="preserve">Verdict:</w:t>
      </w:r>
      <w:r>
        <w:rPr>
          <w:rFonts w:ascii="Arial" w:cs="Arial" w:eastAsia="Arial" w:hAnsi="Arial"/>
        </w:rPr>
        <w:t xml:space="preserve"> Wrong tool for Arkova. Designed for large content inscription (images, HTML), not compact hash anchoring. More expensive than OP_RETURN for 32-byte hashes and offers no privacy benefit.</w:t>
      </w:r>
    </w:p>
    <w:p>
      <w:pPr>
        <w:pStyle w:val="Heading3"/>
        <w:spacing w:after="120" w:before="240"/>
        <w:outlineLvl w:val="2"/>
      </w:pPr>
      <w:r>
        <w:t xml:space="preserve">3.6 Bare Multisig Data Embedding</w:t>
      </w:r>
    </w:p>
    <w:p>
      <w:pPr>
        <w:spacing w:after="120"/>
      </w:pPr>
      <w:r>
        <w:rPr>
          <w:rFonts w:ascii="Arial" w:cs="Arial" w:eastAsia="Arial" w:hAnsi="Arial"/>
          <w:b/>
          <w:bCs/>
        </w:rPr>
        <w:t xml:space="preserve">Mechanism:</w:t>
      </w:r>
      <w:r>
        <w:rPr>
          <w:rFonts w:ascii="Arial" w:cs="Arial" w:eastAsia="Arial" w:hAnsi="Arial"/>
        </w:rPr>
        <w:t xml:space="preserve"> Encode data as fake public keys in a bare multisig script.</w:t>
      </w:r>
    </w:p>
    <w:p>
      <w:pPr>
        <w:spacing w:after="120"/>
      </w:pPr>
      <w:r>
        <w:rPr>
          <w:rFonts w:ascii="Arial" w:cs="Arial" w:eastAsia="Arial" w:hAnsi="Arial"/>
          <w:b/>
          <w:bCs/>
        </w:rPr>
        <w:t xml:space="preserve">Verdict:</w:t>
      </w:r>
      <w:r>
        <w:rPr>
          <w:rFonts w:ascii="Arial" w:cs="Arial" w:eastAsia="Arial" w:hAnsi="Arial"/>
        </w:rPr>
        <w:t xml:space="preserve"> Do not use. Creates permanent UTXO set bloat (unspendable outputs that nodes must track forever). Historically used by Counterparty (created 112K unspendable UTXOs). Considered antisocial by the Bitcoin developer community. OP_RETURN was specifically created to replace this pattern.</w:t>
      </w:r>
    </w:p>
    <w:p>
      <w:pPr>
        <w:pStyle w:val="Heading3"/>
        <w:spacing w:after="120" w:before="240"/>
        <w:outlineLvl w:val="2"/>
      </w:pPr>
      <w:r>
        <w:t xml:space="preserve">3.7 Sidechain Anchoring (Liquid, Stacks)</w:t>
      </w:r>
    </w:p>
    <w:p>
      <w:pPr>
        <w:spacing w:after="120"/>
      </w:pPr>
      <w:r>
        <w:rPr>
          <w:rFonts w:ascii="Arial" w:cs="Arial" w:eastAsia="Arial" w:hAnsi="Arial"/>
          <w:b/>
          <w:bCs/>
        </w:rPr>
        <w:t xml:space="preserve">Mechanism:</w:t>
      </w:r>
      <w:r>
        <w:rPr>
          <w:rFonts w:ascii="Arial" w:cs="Arial" w:eastAsia="Arial" w:hAnsi="Arial"/>
        </w:rPr>
        <w:t xml:space="preserve"> Anchor credentials to a sidechain, periodically checkpoint the sidechain to Bitcoin mainnet.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W w:type="dxa" w:w="4788"/>
            <w:tcBorders>
              <w:top w:val="single" w:sz="1"/>
              <w:left w:val="single" w:sz="1"/>
              <w:bottom w:val="single" w:sz="1"/>
              <w:right w:val="single" w:sz="1"/>
            </w:tcBorders>
            <w:shd w:fill="D3D3D3" w:val="clear"/>
            <w:vAlign w:val="center"/>
          </w:tcPr>
          <w:p>
            <w:r>
              <w:t xml:space="preserve">Dimension</w:t>
            </w:r>
          </w:p>
        </w:tc>
        <w:tc>
          <w:tcPr>
            <w:tcW w:type="dxa" w:w="4788"/>
            <w:tcBorders>
              <w:top w:val="single" w:sz="1"/>
              <w:left w:val="single" w:sz="1"/>
              <w:bottom w:val="single" w:sz="1"/>
              <w:right w:val="single" w:sz="1"/>
            </w:tcBorders>
            <w:shd w:fill="D3D3D3" w:val="clear"/>
            <w:vAlign w:val="center"/>
          </w:tcPr>
          <w:p>
            <w:r>
              <w:t xml:space="preserve">Assessment</w:t>
            </w:r>
          </w:p>
        </w:tc>
      </w:tr>
      <w:tr>
        <w:tc>
          <w:tcPr>
            <w:tcW w:type="dxa" w:w="4788"/>
            <w:tcBorders>
              <w:top w:val="single" w:sz="1"/>
              <w:left w:val="single" w:sz="1"/>
              <w:bottom w:val="single" w:sz="1"/>
              <w:right w:val="single" w:sz="1"/>
            </w:tcBorders>
            <w:vAlign w:val="top"/>
          </w:tcPr>
          <w:p>
            <w:r>
              <w:t xml:space="preserve">**Cost**</w:t>
            </w:r>
          </w:p>
        </w:tc>
        <w:tc>
          <w:tcPr>
            <w:tcW w:type="dxa" w:w="4788"/>
            <w:tcBorders>
              <w:top w:val="single" w:sz="1"/>
              <w:left w:val="single" w:sz="1"/>
              <w:bottom w:val="single" w:sz="1"/>
              <w:right w:val="single" w:sz="1"/>
            </w:tcBorders>
            <w:vAlign w:val="top"/>
          </w:tcPr>
          <w:p>
            <w:r>
              <w:t xml:space="preserve">Very low per anchor (sidechain fees + amortized Bitcoin checkpoints)</w:t>
            </w:r>
          </w:p>
        </w:tc>
      </w:tr>
      <w:tr>
        <w:tc>
          <w:tcPr>
            <w:tcW w:type="dxa" w:w="4788"/>
            <w:tcBorders>
              <w:top w:val="single" w:sz="1"/>
              <w:left w:val="single" w:sz="1"/>
              <w:bottom w:val="single" w:sz="1"/>
              <w:right w:val="single" w:sz="1"/>
            </w:tcBorders>
            <w:vAlign w:val="top"/>
          </w:tcPr>
          <w:p>
            <w:r>
              <w:t xml:space="preserve">**Verification**</w:t>
            </w:r>
          </w:p>
        </w:tc>
        <w:tc>
          <w:tcPr>
            <w:tcW w:type="dxa" w:w="4788"/>
            <w:tcBorders>
              <w:top w:val="single" w:sz="1"/>
              <w:left w:val="single" w:sz="1"/>
              <w:bottom w:val="single" w:sz="1"/>
              <w:right w:val="single" w:sz="1"/>
            </w:tcBorders>
            <w:vAlign w:val="top"/>
          </w:tcPr>
          <w:p>
            <w:r>
              <w:t xml:space="preserve">Two-step: verify on sidechain, verify sidechain checkpoint on Bitcoin</w:t>
            </w:r>
          </w:p>
        </w:tc>
      </w:tr>
      <w:tr>
        <w:tc>
          <w:tcPr>
            <w:tcW w:type="dxa" w:w="4788"/>
            <w:tcBorders>
              <w:top w:val="single" w:sz="1"/>
              <w:left w:val="single" w:sz="1"/>
              <w:bottom w:val="single" w:sz="1"/>
              <w:right w:val="single" w:sz="1"/>
            </w:tcBorders>
            <w:vAlign w:val="top"/>
          </w:tcPr>
          <w:p>
            <w:r>
              <w:t xml:space="preserve">**Trust model**</w:t>
            </w:r>
          </w:p>
        </w:tc>
        <w:tc>
          <w:tcPr>
            <w:tcW w:type="dxa" w:w="4788"/>
            <w:tcBorders>
              <w:top w:val="single" w:sz="1"/>
              <w:left w:val="single" w:sz="1"/>
              <w:bottom w:val="single" w:sz="1"/>
              <w:right w:val="single" w:sz="1"/>
            </w:tcBorders>
            <w:vAlign w:val="top"/>
          </w:tcPr>
          <w:p>
            <w:r>
              <w:t xml:space="preserve">Depends on sidechain consensus (federated for Liquid, PoX for Stacks)</w:t>
            </w:r>
          </w:p>
        </w:tc>
      </w:tr>
    </w:tbl>
    <w:p>
      <w:pPr>
        <w:spacing w:after="120"/>
      </w:pPr>
      <w:r>
        <w:rPr>
          <w:rFonts w:ascii="Arial" w:cs="Arial" w:eastAsia="Arial" w:hAnsi="Arial"/>
          <w:b/>
          <w:bCs/>
        </w:rPr>
        <w:t xml:space="preserve">Verdict:</w:t>
      </w:r>
      <w:r>
        <w:rPr>
          <w:rFonts w:ascii="Arial" w:cs="Arial" w:eastAsia="Arial" w:hAnsi="Arial"/>
        </w:rPr>
        <w:t xml:space="preserve"> Adds unnecessary trust assumptions and complexity for Arkova's use case. Arkova's value proposition is direct Bitcoin anchoring. Introducing a sidechain layer dilutes the security story. Only consider if anchoring volume exceeds 100M/year and cost becomes prohibitive even with Merkle batching.</w:t>
      </w:r>
    </w:p>
    <w:p>
      <w:pPr>
        <w:pStyle w:val="Heading3"/>
        <w:spacing w:after="120" w:before="240"/>
        <w:outlineLvl w:val="2"/>
      </w:pPr>
      <w:r>
        <w:t xml:space="preserve">3.8 BitVM-Style Commitments</w:t>
      </w:r>
    </w:p>
    <w:p>
      <w:pPr>
        <w:spacing w:after="120"/>
      </w:pPr>
      <w:r>
        <w:rPr>
          <w:rFonts w:ascii="Arial" w:cs="Arial" w:eastAsia="Arial" w:hAnsi="Arial"/>
          <w:b/>
          <w:bCs/>
        </w:rPr>
        <w:t xml:space="preserve">Mechanism:</w:t>
      </w:r>
      <w:r>
        <w:rPr>
          <w:rFonts w:ascii="Arial" w:cs="Arial" w:eastAsia="Arial" w:hAnsi="Arial"/>
        </w:rPr>
        <w:t xml:space="preserve"> Bit-commitment scheme with challenge-response verification.</w:t>
      </w:r>
    </w:p>
    <w:p>
      <w:pPr>
        <w:spacing w:after="120"/>
      </w:pPr>
      <w:r>
        <w:rPr>
          <w:rFonts w:ascii="Arial" w:cs="Arial" w:eastAsia="Arial" w:hAnsi="Arial"/>
          <w:b/>
          <w:bCs/>
        </w:rPr>
        <w:t xml:space="preserve">Verdict:</w:t>
      </w:r>
      <w:r>
        <w:rPr>
          <w:rFonts w:ascii="Arial" w:cs="Arial" w:eastAsia="Arial" w:hAnsi="Arial"/>
        </w:rPr>
        <w:t xml:space="preserve"> Not applicable. BitVM is designed for verifiable computation (proving a program executed correctly), not data anchoring. The commitment overhead (Lamport signatures, pre-signed transaction trees) is dramatically disproportionate to Arkova's needs.</w:t>
      </w:r>
    </w:p>
    <w:p>
      <w:pPr>
        <w:pStyle w:val="Heading3"/>
        <w:spacing w:after="120" w:before="240"/>
        <w:outlineLvl w:val="2"/>
      </w:pPr>
      <w:r>
        <w:t xml:space="preserve">3.9 Comparison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rHeight w:val="400" w:hRule="atLeast"/>
        </w:trPr>
        <w:tc>
          <w:tcPr>
            <w:tcW w:type="dxa" w:w="1596"/>
            <w:tcBorders>
              <w:top w:val="single" w:sz="1"/>
              <w:left w:val="single" w:sz="1"/>
              <w:bottom w:val="single" w:sz="1"/>
              <w:right w:val="single" w:sz="1"/>
            </w:tcBorders>
            <w:shd w:fill="D3D3D3" w:val="clear"/>
            <w:vAlign w:val="center"/>
          </w:tcPr>
          <w:p>
            <w:r>
              <w:t xml:space="preserve">Approach</w:t>
            </w:r>
          </w:p>
        </w:tc>
        <w:tc>
          <w:tcPr>
            <w:tcW w:type="dxa" w:w="1596"/>
            <w:tcBorders>
              <w:top w:val="single" w:sz="1"/>
              <w:left w:val="single" w:sz="1"/>
              <w:bottom w:val="single" w:sz="1"/>
              <w:right w:val="single" w:sz="1"/>
            </w:tcBorders>
            <w:shd w:fill="D3D3D3" w:val="clear"/>
            <w:vAlign w:val="center"/>
          </w:tcPr>
          <w:p>
            <w:r>
              <w:t xml:space="preserve">Cost/Anchor (10 sat/vB)</w:t>
            </w:r>
          </w:p>
        </w:tc>
        <w:tc>
          <w:tcPr>
            <w:tcW w:type="dxa" w:w="1596"/>
            <w:tcBorders>
              <w:top w:val="single" w:sz="1"/>
              <w:left w:val="single" w:sz="1"/>
              <w:bottom w:val="single" w:sz="1"/>
              <w:right w:val="single" w:sz="1"/>
            </w:tcBorders>
            <w:shd w:fill="D3D3D3" w:val="clear"/>
            <w:vAlign w:val="center"/>
          </w:tcPr>
          <w:p>
            <w:r>
              <w:t xml:space="preserve">Privacy</w:t>
            </w:r>
          </w:p>
        </w:tc>
        <w:tc>
          <w:tcPr>
            <w:tcW w:type="dxa" w:w="1596"/>
            <w:tcBorders>
              <w:top w:val="single" w:sz="1"/>
              <w:left w:val="single" w:sz="1"/>
              <w:bottom w:val="single" w:sz="1"/>
              <w:right w:val="single" w:sz="1"/>
            </w:tcBorders>
            <w:shd w:fill="D3D3D3" w:val="clear"/>
            <w:vAlign w:val="center"/>
          </w:tcPr>
          <w:p>
            <w:r>
              <w:t xml:space="preserve">Verification Complexity</w:t>
            </w:r>
          </w:p>
        </w:tc>
        <w:tc>
          <w:tcPr>
            <w:tcW w:type="dxa" w:w="1596"/>
            <w:tcBorders>
              <w:top w:val="single" w:sz="1"/>
              <w:left w:val="single" w:sz="1"/>
              <w:bottom w:val="single" w:sz="1"/>
              <w:right w:val="single" w:sz="1"/>
            </w:tcBorders>
            <w:shd w:fill="D3D3D3" w:val="clear"/>
            <w:vAlign w:val="center"/>
          </w:tcPr>
          <w:p>
            <w:r>
              <w:t xml:space="preserve">UTXO Impact</w:t>
            </w:r>
          </w:p>
        </w:tc>
        <w:tc>
          <w:tcPr>
            <w:tcW w:type="dxa" w:w="1596"/>
            <w:tcBorders>
              <w:top w:val="single" w:sz="1"/>
              <w:left w:val="single" w:sz="1"/>
              <w:bottom w:val="single" w:sz="1"/>
              <w:right w:val="single" w:sz="1"/>
            </w:tcBorders>
            <w:shd w:fill="D3D3D3" w:val="clear"/>
            <w:vAlign w:val="center"/>
          </w:tcPr>
          <w:p>
            <w:r>
              <w:t xml:space="preserve">Recommended?</w:t>
            </w:r>
          </w:p>
        </w:tc>
      </w:tr>
      <w:tr>
        <w:tc>
          <w:tcPr>
            <w:tcW w:type="dxa" w:w="1596"/>
            <w:tcBorders>
              <w:top w:val="single" w:sz="1"/>
              <w:left w:val="single" w:sz="1"/>
              <w:bottom w:val="single" w:sz="1"/>
              <w:right w:val="single" w:sz="1"/>
            </w:tcBorders>
            <w:vAlign w:val="top"/>
          </w:tcPr>
          <w:p>
            <w:r>
              <w:t xml:space="preserve">Raw OP_RETURN</w:t>
            </w:r>
          </w:p>
        </w:tc>
        <w:tc>
          <w:tcPr>
            <w:tcW w:type="dxa" w:w="1596"/>
            <w:tcBorders>
              <w:top w:val="single" w:sz="1"/>
              <w:left w:val="single" w:sz="1"/>
              <w:bottom w:val="single" w:sz="1"/>
              <w:right w:val="single" w:sz="1"/>
            </w:tcBorders>
            <w:vAlign w:val="top"/>
          </w:tcPr>
          <w:p>
            <w:r>
              <w:t xml:space="preserve">$0.08</w:t>
            </w:r>
          </w:p>
        </w:tc>
        <w:tc>
          <w:tcPr>
            <w:tcW w:type="dxa" w:w="1596"/>
            <w:tcBorders>
              <w:top w:val="single" w:sz="1"/>
              <w:left w:val="single" w:sz="1"/>
              <w:bottom w:val="single" w:sz="1"/>
              <w:right w:val="single" w:sz="1"/>
            </w:tcBorders>
            <w:vAlign w:val="top"/>
          </w:tcPr>
          <w:p>
            <w:r>
              <w:t xml:space="preserve">None</w:t>
            </w:r>
          </w:p>
        </w:tc>
        <w:tc>
          <w:tcPr>
            <w:tcW w:type="dxa" w:w="1596"/>
            <w:tcBorders>
              <w:top w:val="single" w:sz="1"/>
              <w:left w:val="single" w:sz="1"/>
              <w:bottom w:val="single" w:sz="1"/>
              <w:right w:val="single" w:sz="1"/>
            </w:tcBorders>
            <w:vAlign w:val="top"/>
          </w:tcPr>
          <w:p>
            <w:r>
              <w:t xml:space="preserve">Trivial</w:t>
            </w:r>
          </w:p>
        </w:tc>
        <w:tc>
          <w:tcPr>
            <w:tcW w:type="dxa" w:w="1596"/>
            <w:tcBorders>
              <w:top w:val="single" w:sz="1"/>
              <w:left w:val="single" w:sz="1"/>
              <w:bottom w:val="single" w:sz="1"/>
              <w:right w:val="single" w:sz="1"/>
            </w:tcBorders>
            <w:vAlign w:val="top"/>
          </w:tcPr>
          <w:p>
            <w:r>
              <w:t xml:space="preserve">Clean</w:t>
            </w:r>
          </w:p>
        </w:tc>
        <w:tc>
          <w:tcPr>
            <w:tcW w:type="dxa" w:w="1596"/>
            <w:tcBorders>
              <w:top w:val="single" w:sz="1"/>
              <w:left w:val="single" w:sz="1"/>
              <w:bottom w:val="single" w:sz="1"/>
              <w:right w:val="single" w:sz="1"/>
            </w:tcBorders>
            <w:vAlign w:val="top"/>
          </w:tcPr>
          <w:p>
            <w:r>
              <w:t xml:space="preserve">Baseline only</w:t>
            </w:r>
          </w:p>
        </w:tc>
      </w:tr>
      <w:tr>
        <w:tc>
          <w:tcPr>
            <w:tcW w:type="dxa" w:w="1596"/>
            <w:tcBorders>
              <w:top w:val="single" w:sz="1"/>
              <w:left w:val="single" w:sz="1"/>
              <w:bottom w:val="single" w:sz="1"/>
              <w:right w:val="single" w:sz="1"/>
            </w:tcBorders>
            <w:vAlign w:val="top"/>
          </w:tcPr>
          <w:p>
            <w:r>
              <w:t xml:space="preserve">Merkle + OP_RETURN</w:t>
            </w:r>
          </w:p>
        </w:tc>
        <w:tc>
          <w:tcPr>
            <w:tcW w:type="dxa" w:w="1596"/>
            <w:tcBorders>
              <w:top w:val="single" w:sz="1"/>
              <w:left w:val="single" w:sz="1"/>
              <w:bottom w:val="single" w:sz="1"/>
              <w:right w:val="single" w:sz="1"/>
            </w:tcBorders>
            <w:vAlign w:val="top"/>
          </w:tcPr>
          <w:p>
            <w:r>
              <w:t xml:space="preserve">$0.08/N</w:t>
            </w:r>
          </w:p>
        </w:tc>
        <w:tc>
          <w:tcPr>
            <w:tcW w:type="dxa" w:w="1596"/>
            <w:tcBorders>
              <w:top w:val="single" w:sz="1"/>
              <w:left w:val="single" w:sz="1"/>
              <w:bottom w:val="single" w:sz="1"/>
              <w:right w:val="single" w:sz="1"/>
            </w:tcBorders>
            <w:vAlign w:val="top"/>
          </w:tcPr>
          <w:p>
            <w:r>
              <w:t xml:space="preserve">Low</w:t>
            </w:r>
          </w:p>
        </w:tc>
        <w:tc>
          <w:tcPr>
            <w:tcW w:type="dxa" w:w="1596"/>
            <w:tcBorders>
              <w:top w:val="single" w:sz="1"/>
              <w:left w:val="single" w:sz="1"/>
              <w:bottom w:val="single" w:sz="1"/>
              <w:right w:val="single" w:sz="1"/>
            </w:tcBorders>
            <w:vAlign w:val="top"/>
          </w:tcPr>
          <w:p>
            <w:r>
              <w:t xml:space="preserve">Moderate</w:t>
            </w:r>
          </w:p>
        </w:tc>
        <w:tc>
          <w:tcPr>
            <w:tcW w:type="dxa" w:w="1596"/>
            <w:tcBorders>
              <w:top w:val="single" w:sz="1"/>
              <w:left w:val="single" w:sz="1"/>
              <w:bottom w:val="single" w:sz="1"/>
              <w:right w:val="single" w:sz="1"/>
            </w:tcBorders>
            <w:vAlign w:val="top"/>
          </w:tcPr>
          <w:p>
            <w:r>
              <w:t xml:space="preserve">Clean</w:t>
            </w:r>
          </w:p>
        </w:tc>
        <w:tc>
          <w:tcPr>
            <w:tcW w:type="dxa" w:w="1596"/>
            <w:tcBorders>
              <w:top w:val="single" w:sz="1"/>
              <w:left w:val="single" w:sz="1"/>
              <w:bottom w:val="single" w:sz="1"/>
              <w:right w:val="single" w:sz="1"/>
            </w:tcBorders>
            <w:vAlign w:val="top"/>
          </w:tcPr>
          <w:p>
            <w:r>
              <w:t xml:space="preserve">**Yes — Phase 1**</w:t>
            </w:r>
          </w:p>
        </w:tc>
      </w:tr>
      <w:tr>
        <w:tc>
          <w:tcPr>
            <w:tcW w:type="dxa" w:w="1596"/>
            <w:tcBorders>
              <w:top w:val="single" w:sz="1"/>
              <w:left w:val="single" w:sz="1"/>
              <w:bottom w:val="single" w:sz="1"/>
              <w:right w:val="single" w:sz="1"/>
            </w:tcBorders>
            <w:vAlign w:val="top"/>
          </w:tcPr>
          <w:p>
            <w:r>
              <w:t xml:space="preserve">P2C + Merkle</w:t>
            </w:r>
          </w:p>
        </w:tc>
        <w:tc>
          <w:tcPr>
            <w:tcW w:type="dxa" w:w="1596"/>
            <w:tcBorders>
              <w:top w:val="single" w:sz="1"/>
              <w:left w:val="single" w:sz="1"/>
              <w:bottom w:val="single" w:sz="1"/>
              <w:right w:val="single" w:sz="1"/>
            </w:tcBorders>
            <w:vAlign w:val="top"/>
          </w:tcPr>
          <w:p>
            <w:r>
              <w:t xml:space="preserve">$0.046/N</w:t>
            </w:r>
          </w:p>
        </w:tc>
        <w:tc>
          <w:tcPr>
            <w:tcW w:type="dxa" w:w="1596"/>
            <w:tcBorders>
              <w:top w:val="single" w:sz="1"/>
              <w:left w:val="single" w:sz="1"/>
              <w:bottom w:val="single" w:sz="1"/>
              <w:right w:val="single" w:sz="1"/>
            </w:tcBorders>
            <w:vAlign w:val="top"/>
          </w:tcPr>
          <w:p>
            <w:r>
              <w:t xml:space="preserve">Excellent</w:t>
            </w:r>
          </w:p>
        </w:tc>
        <w:tc>
          <w:tcPr>
            <w:tcW w:type="dxa" w:w="1596"/>
            <w:tcBorders>
              <w:top w:val="single" w:sz="1"/>
              <w:left w:val="single" w:sz="1"/>
              <w:bottom w:val="single" w:sz="1"/>
              <w:right w:val="single" w:sz="1"/>
            </w:tcBorders>
            <w:vAlign w:val="top"/>
          </w:tcPr>
          <w:p>
            <w:r>
              <w:t xml:space="preserve">Moderate</w:t>
            </w:r>
          </w:p>
        </w:tc>
        <w:tc>
          <w:tcPr>
            <w:tcW w:type="dxa" w:w="1596"/>
            <w:tcBorders>
              <w:top w:val="single" w:sz="1"/>
              <w:left w:val="single" w:sz="1"/>
              <w:bottom w:val="single" w:sz="1"/>
              <w:right w:val="single" w:sz="1"/>
            </w:tcBorders>
            <w:vAlign w:val="top"/>
          </w:tcPr>
          <w:p>
            <w:r>
              <w:t xml:space="preserve">Neutral</w:t>
            </w:r>
          </w:p>
        </w:tc>
        <w:tc>
          <w:tcPr>
            <w:tcW w:type="dxa" w:w="1596"/>
            <w:tcBorders>
              <w:top w:val="single" w:sz="1"/>
              <w:left w:val="single" w:sz="1"/>
              <w:bottom w:val="single" w:sz="1"/>
              <w:right w:val="single" w:sz="1"/>
            </w:tcBorders>
            <w:vAlign w:val="top"/>
          </w:tcPr>
          <w:p>
            <w:r>
              <w:t xml:space="preserve">**Yes — Phase 2**</w:t>
            </w:r>
          </w:p>
        </w:tc>
      </w:tr>
      <w:tr>
        <w:tc>
          <w:tcPr>
            <w:tcW w:type="dxa" w:w="1596"/>
            <w:tcBorders>
              <w:top w:val="single" w:sz="1"/>
              <w:left w:val="single" w:sz="1"/>
              <w:bottom w:val="single" w:sz="1"/>
              <w:right w:val="single" w:sz="1"/>
            </w:tcBorders>
            <w:vAlign w:val="top"/>
          </w:tcPr>
          <w:p>
            <w:r>
              <w:t xml:space="preserve">Taproot MAST</w:t>
            </w:r>
          </w:p>
        </w:tc>
        <w:tc>
          <w:tcPr>
            <w:tcW w:type="dxa" w:w="1596"/>
            <w:tcBorders>
              <w:top w:val="single" w:sz="1"/>
              <w:left w:val="single" w:sz="1"/>
              <w:bottom w:val="single" w:sz="1"/>
              <w:right w:val="single" w:sz="1"/>
            </w:tcBorders>
            <w:vAlign w:val="top"/>
          </w:tcPr>
          <w:p>
            <w:r>
              <w:t xml:space="preserve">$0.046/N</w:t>
            </w:r>
          </w:p>
        </w:tc>
        <w:tc>
          <w:tcPr>
            <w:tcW w:type="dxa" w:w="1596"/>
            <w:tcBorders>
              <w:top w:val="single" w:sz="1"/>
              <w:left w:val="single" w:sz="1"/>
              <w:bottom w:val="single" w:sz="1"/>
              <w:right w:val="single" w:sz="1"/>
            </w:tcBorders>
            <w:vAlign w:val="top"/>
          </w:tcPr>
          <w:p>
            <w:r>
              <w:t xml:space="preserve">Excellent</w:t>
            </w:r>
          </w:p>
        </w:tc>
        <w:tc>
          <w:tcPr>
            <w:tcW w:type="dxa" w:w="1596"/>
            <w:tcBorders>
              <w:top w:val="single" w:sz="1"/>
              <w:left w:val="single" w:sz="1"/>
              <w:bottom w:val="single" w:sz="1"/>
              <w:right w:val="single" w:sz="1"/>
            </w:tcBorders>
            <w:vAlign w:val="top"/>
          </w:tcPr>
          <w:p>
            <w:r>
              <w:t xml:space="preserve">High</w:t>
            </w:r>
          </w:p>
        </w:tc>
        <w:tc>
          <w:tcPr>
            <w:tcW w:type="dxa" w:w="1596"/>
            <w:tcBorders>
              <w:top w:val="single" w:sz="1"/>
              <w:left w:val="single" w:sz="1"/>
              <w:bottom w:val="single" w:sz="1"/>
              <w:right w:val="single" w:sz="1"/>
            </w:tcBorders>
            <w:vAlign w:val="top"/>
          </w:tcPr>
          <w:p>
            <w:r>
              <w:t xml:space="preserve">Neutral</w:t>
            </w:r>
          </w:p>
        </w:tc>
        <w:tc>
          <w:tcPr>
            <w:tcW w:type="dxa" w:w="1596"/>
            <w:tcBorders>
              <w:top w:val="single" w:sz="1"/>
              <w:left w:val="single" w:sz="1"/>
              <w:bottom w:val="single" w:sz="1"/>
              <w:right w:val="single" w:sz="1"/>
            </w:tcBorders>
            <w:vAlign w:val="top"/>
          </w:tcPr>
          <w:p>
            <w:r>
              <w:t xml:space="preserve">Over-engineered</w:t>
            </w:r>
          </w:p>
        </w:tc>
      </w:tr>
      <w:tr>
        <w:tc>
          <w:tcPr>
            <w:tcW w:type="dxa" w:w="1596"/>
            <w:tcBorders>
              <w:top w:val="single" w:sz="1"/>
              <w:left w:val="single" w:sz="1"/>
              <w:bottom w:val="single" w:sz="1"/>
              <w:right w:val="single" w:sz="1"/>
            </w:tcBorders>
            <w:vAlign w:val="top"/>
          </w:tcPr>
          <w:p>
            <w:r>
              <w:t xml:space="preserve">Inscription envelope</w:t>
            </w:r>
          </w:p>
        </w:tc>
        <w:tc>
          <w:tcPr>
            <w:tcW w:type="dxa" w:w="1596"/>
            <w:tcBorders>
              <w:top w:val="single" w:sz="1"/>
              <w:left w:val="single" w:sz="1"/>
              <w:bottom w:val="single" w:sz="1"/>
              <w:right w:val="single" w:sz="1"/>
            </w:tcBorders>
            <w:vAlign w:val="top"/>
          </w:tcPr>
          <w:p>
            <w:r>
              <w:t xml:space="preserve">$0.02+ (variable)</w:t>
            </w:r>
          </w:p>
        </w:tc>
        <w:tc>
          <w:tcPr>
            <w:tcW w:type="dxa" w:w="1596"/>
            <w:tcBorders>
              <w:top w:val="single" w:sz="1"/>
              <w:left w:val="single" w:sz="1"/>
              <w:bottom w:val="single" w:sz="1"/>
              <w:right w:val="single" w:sz="1"/>
            </w:tcBorders>
            <w:vAlign w:val="top"/>
          </w:tcPr>
          <w:p>
            <w:r>
              <w:t xml:space="preserve">None</w:t>
            </w:r>
          </w:p>
        </w:tc>
        <w:tc>
          <w:tcPr>
            <w:tcW w:type="dxa" w:w="1596"/>
            <w:tcBorders>
              <w:top w:val="single" w:sz="1"/>
              <w:left w:val="single" w:sz="1"/>
              <w:bottom w:val="single" w:sz="1"/>
              <w:right w:val="single" w:sz="1"/>
            </w:tcBorders>
            <w:vAlign w:val="top"/>
          </w:tcPr>
          <w:p>
            <w:r>
              <w:t xml:space="preserve">Low</w:t>
            </w:r>
          </w:p>
        </w:tc>
        <w:tc>
          <w:tcPr>
            <w:tcW w:type="dxa" w:w="1596"/>
            <w:tcBorders>
              <w:top w:val="single" w:sz="1"/>
              <w:left w:val="single" w:sz="1"/>
              <w:bottom w:val="single" w:sz="1"/>
              <w:right w:val="single" w:sz="1"/>
            </w:tcBorders>
            <w:vAlign w:val="top"/>
          </w:tcPr>
          <w:p>
            <w:r>
              <w:t xml:space="preserve">Clean</w:t>
            </w:r>
          </w:p>
        </w:tc>
        <w:tc>
          <w:tcPr>
            <w:tcW w:type="dxa" w:w="1596"/>
            <w:tcBorders>
              <w:top w:val="single" w:sz="1"/>
              <w:left w:val="single" w:sz="1"/>
              <w:bottom w:val="single" w:sz="1"/>
              <w:right w:val="single" w:sz="1"/>
            </w:tcBorders>
            <w:vAlign w:val="top"/>
          </w:tcPr>
          <w:p>
            <w:r>
              <w:t xml:space="preserve">Wrong tool</w:t>
            </w:r>
          </w:p>
        </w:tc>
      </w:tr>
      <w:tr>
        <w:tc>
          <w:tcPr>
            <w:tcW w:type="dxa" w:w="1596"/>
            <w:tcBorders>
              <w:top w:val="single" w:sz="1"/>
              <w:left w:val="single" w:sz="1"/>
              <w:bottom w:val="single" w:sz="1"/>
              <w:right w:val="single" w:sz="1"/>
            </w:tcBorders>
            <w:vAlign w:val="top"/>
          </w:tcPr>
          <w:p>
            <w:r>
              <w:t xml:space="preserve">Bare multisig</w:t>
            </w:r>
          </w:p>
        </w:tc>
        <w:tc>
          <w:tcPr>
            <w:tcW w:type="dxa" w:w="1596"/>
            <w:tcBorders>
              <w:top w:val="single" w:sz="1"/>
              <w:left w:val="single" w:sz="1"/>
              <w:bottom w:val="single" w:sz="1"/>
              <w:right w:val="single" w:sz="1"/>
            </w:tcBorders>
            <w:vAlign w:val="top"/>
          </w:tcPr>
          <w:p>
            <w:r>
              <w:t xml:space="preserve">$0.10+</w:t>
            </w:r>
          </w:p>
        </w:tc>
        <w:tc>
          <w:tcPr>
            <w:tcW w:type="dxa" w:w="1596"/>
            <w:tcBorders>
              <w:top w:val="single" w:sz="1"/>
              <w:left w:val="single" w:sz="1"/>
              <w:bottom w:val="single" w:sz="1"/>
              <w:right w:val="single" w:sz="1"/>
            </w:tcBorders>
            <w:vAlign w:val="top"/>
          </w:tcPr>
          <w:p>
            <w:r>
              <w:t xml:space="preserve">None</w:t>
            </w:r>
          </w:p>
        </w:tc>
        <w:tc>
          <w:tcPr>
            <w:tcW w:type="dxa" w:w="1596"/>
            <w:tcBorders>
              <w:top w:val="single" w:sz="1"/>
              <w:left w:val="single" w:sz="1"/>
              <w:bottom w:val="single" w:sz="1"/>
              <w:right w:val="single" w:sz="1"/>
            </w:tcBorders>
            <w:vAlign w:val="top"/>
          </w:tcPr>
          <w:p>
            <w:r>
              <w:t xml:space="preserve">Low</w:t>
            </w:r>
          </w:p>
        </w:tc>
        <w:tc>
          <w:tcPr>
            <w:tcW w:type="dxa" w:w="1596"/>
            <w:tcBorders>
              <w:top w:val="single" w:sz="1"/>
              <w:left w:val="single" w:sz="1"/>
              <w:bottom w:val="single" w:sz="1"/>
              <w:right w:val="single" w:sz="1"/>
            </w:tcBorders>
            <w:vAlign w:val="top"/>
          </w:tcPr>
          <w:p>
            <w:r>
              <w:t xml:space="preserve">**Harmful**</w:t>
            </w:r>
          </w:p>
        </w:tc>
        <w:tc>
          <w:tcPr>
            <w:tcW w:type="dxa" w:w="1596"/>
            <w:tcBorders>
              <w:top w:val="single" w:sz="1"/>
              <w:left w:val="single" w:sz="1"/>
              <w:bottom w:val="single" w:sz="1"/>
              <w:right w:val="single" w:sz="1"/>
            </w:tcBorders>
            <w:vAlign w:val="top"/>
          </w:tcPr>
          <w:p>
            <w:r>
              <w:t xml:space="preserve">Never</w:t>
            </w:r>
          </w:p>
        </w:tc>
      </w:tr>
      <w:tr>
        <w:tc>
          <w:tcPr>
            <w:tcW w:type="dxa" w:w="1596"/>
            <w:tcBorders>
              <w:top w:val="single" w:sz="1"/>
              <w:left w:val="single" w:sz="1"/>
              <w:bottom w:val="single" w:sz="1"/>
              <w:right w:val="single" w:sz="1"/>
            </w:tcBorders>
            <w:vAlign w:val="top"/>
          </w:tcPr>
          <w:p>
            <w:r>
              <w:t xml:space="preserve">Sidechain</w:t>
            </w:r>
          </w:p>
        </w:tc>
        <w:tc>
          <w:tcPr>
            <w:tcW w:type="dxa" w:w="1596"/>
            <w:tcBorders>
              <w:top w:val="single" w:sz="1"/>
              <w:left w:val="single" w:sz="1"/>
              <w:bottom w:val="single" w:sz="1"/>
              <w:right w:val="single" w:sz="1"/>
            </w:tcBorders>
            <w:vAlign w:val="top"/>
          </w:tcPr>
          <w:p>
            <w:r>
              <w:t xml:space="preserve">Very low</w:t>
            </w:r>
          </w:p>
        </w:tc>
        <w:tc>
          <w:tcPr>
            <w:tcW w:type="dxa" w:w="1596"/>
            <w:tcBorders>
              <w:top w:val="single" w:sz="1"/>
              <w:left w:val="single" w:sz="1"/>
              <w:bottom w:val="single" w:sz="1"/>
              <w:right w:val="single" w:sz="1"/>
            </w:tcBorders>
            <w:vAlign w:val="top"/>
          </w:tcPr>
          <w:p>
            <w:r>
              <w:t xml:space="preserve">Varies</w:t>
            </w:r>
          </w:p>
        </w:tc>
        <w:tc>
          <w:tcPr>
            <w:tcW w:type="dxa" w:w="1596"/>
            <w:tcBorders>
              <w:top w:val="single" w:sz="1"/>
              <w:left w:val="single" w:sz="1"/>
              <w:bottom w:val="single" w:sz="1"/>
              <w:right w:val="single" w:sz="1"/>
            </w:tcBorders>
            <w:vAlign w:val="top"/>
          </w:tcPr>
          <w:p>
            <w:r>
              <w:t xml:space="preserve">High</w:t>
            </w:r>
          </w:p>
        </w:tc>
        <w:tc>
          <w:tcPr>
            <w:tcW w:type="dxa" w:w="1596"/>
            <w:tcBorders>
              <w:top w:val="single" w:sz="1"/>
              <w:left w:val="single" w:sz="1"/>
              <w:bottom w:val="single" w:sz="1"/>
              <w:right w:val="single" w:sz="1"/>
            </w:tcBorders>
            <w:vAlign w:val="top"/>
          </w:tcPr>
          <w:p>
            <w:r>
              <w:t xml:space="preserve">N/A</w:t>
            </w:r>
          </w:p>
        </w:tc>
        <w:tc>
          <w:tcPr>
            <w:tcW w:type="dxa" w:w="1596"/>
            <w:tcBorders>
              <w:top w:val="single" w:sz="1"/>
              <w:left w:val="single" w:sz="1"/>
              <w:bottom w:val="single" w:sz="1"/>
              <w:right w:val="single" w:sz="1"/>
            </w:tcBorders>
            <w:vAlign w:val="top"/>
          </w:tcPr>
          <w:p>
            <w:r>
              <w:t xml:space="preserve">Only at extreme scale</w:t>
            </w:r>
          </w:p>
        </w:tc>
      </w:tr>
    </w:tbl>
    <w:p>
      <w:pPr>
        <w:pStyle w:val="Heading2"/>
        <w:spacing w:after="120" w:before="240"/>
        <w:outlineLvl w:val="1"/>
      </w:pPr>
      <w:r>
        <w:t xml:space="preserve">4. Cost Modeling</w:t>
      </w:r>
    </w:p>
    <w:p>
      <w:pPr>
        <w:pStyle w:val="Heading3"/>
        <w:spacing w:after="120" w:before="240"/>
        <w:outlineLvl w:val="2"/>
      </w:pPr>
      <w:r>
        <w:t xml:space="preserve">4.1 Transaction Size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400" w:hRule="atLeast"/>
        </w:trPr>
        <w:tc>
          <w:tcPr>
            <w:tcW w:type="dxa" w:w="3192"/>
            <w:tcBorders>
              <w:top w:val="single" w:sz="1"/>
              <w:left w:val="single" w:sz="1"/>
              <w:bottom w:val="single" w:sz="1"/>
              <w:right w:val="single" w:sz="1"/>
            </w:tcBorders>
            <w:shd w:fill="D3D3D3" w:val="clear"/>
            <w:vAlign w:val="center"/>
          </w:tcPr>
          <w:p>
            <w:r>
              <w:t xml:space="preserve">Transaction Type</w:t>
            </w:r>
          </w:p>
        </w:tc>
        <w:tc>
          <w:tcPr>
            <w:tcW w:type="dxa" w:w="3192"/>
            <w:tcBorders>
              <w:top w:val="single" w:sz="1"/>
              <w:left w:val="single" w:sz="1"/>
              <w:bottom w:val="single" w:sz="1"/>
              <w:right w:val="single" w:sz="1"/>
            </w:tcBorders>
            <w:shd w:fill="D3D3D3" w:val="clear"/>
            <w:vAlign w:val="center"/>
          </w:tcPr>
          <w:p>
            <w:r>
              <w:t xml:space="preserve">Size (vB)</w:t>
            </w:r>
          </w:p>
        </w:tc>
        <w:tc>
          <w:tcPr>
            <w:tcW w:type="dxa" w:w="3192"/>
            <w:tcBorders>
              <w:top w:val="single" w:sz="1"/>
              <w:left w:val="single" w:sz="1"/>
              <w:bottom w:val="single" w:sz="1"/>
              <w:right w:val="single" w:sz="1"/>
            </w:tcBorders>
            <w:shd w:fill="D3D3D3" w:val="clear"/>
            <w:vAlign w:val="center"/>
          </w:tcPr>
          <w:p>
            <w:r>
              <w:t xml:space="preserve">Notes</w:t>
            </w:r>
          </w:p>
        </w:tc>
      </w:tr>
      <w:tr>
        <w:tc>
          <w:tcPr>
            <w:tcW w:type="dxa" w:w="3192"/>
            <w:tcBorders>
              <w:top w:val="single" w:sz="1"/>
              <w:left w:val="single" w:sz="1"/>
              <w:bottom w:val="single" w:sz="1"/>
              <w:right w:val="single" w:sz="1"/>
            </w:tcBorders>
            <w:vAlign w:val="top"/>
          </w:tcPr>
          <w:p>
            <w:r>
              <w:t xml:space="preserve">OP_RETURN (1-in, 1-change, 1-OP_RETURN)</w:t>
            </w:r>
          </w:p>
        </w:tc>
        <w:tc>
          <w:tcPr>
            <w:tcW w:type="dxa" w:w="3192"/>
            <w:tcBorders>
              <w:top w:val="single" w:sz="1"/>
              <w:left w:val="single" w:sz="1"/>
              <w:bottom w:val="single" w:sz="1"/>
              <w:right w:val="single" w:sz="1"/>
            </w:tcBorders>
            <w:vAlign w:val="top"/>
          </w:tcPr>
          <w:p>
            <w:r>
              <w:t xml:space="preserve">~170 vB</w:t>
            </w:r>
          </w:p>
        </w:tc>
        <w:tc>
          <w:tcPr>
            <w:tcW w:type="dxa" w:w="3192"/>
            <w:tcBorders>
              <w:top w:val="single" w:sz="1"/>
              <w:left w:val="single" w:sz="1"/>
              <w:bottom w:val="single" w:sz="1"/>
              <w:right w:val="single" w:sz="1"/>
            </w:tcBorders>
            <w:vAlign w:val="top"/>
          </w:tcPr>
          <w:p>
            <w:r>
              <w:t xml:space="preserve">SegWit P2WPKH input</w:t>
            </w:r>
          </w:p>
        </w:tc>
      </w:tr>
      <w:tr>
        <w:tc>
          <w:tcPr>
            <w:tcW w:type="dxa" w:w="3192"/>
            <w:tcBorders>
              <w:top w:val="single" w:sz="1"/>
              <w:left w:val="single" w:sz="1"/>
              <w:bottom w:val="single" w:sz="1"/>
              <w:right w:val="single" w:sz="1"/>
            </w:tcBorders>
            <w:vAlign w:val="top"/>
          </w:tcPr>
          <w:p>
            <w:r>
              <w:t xml:space="preserve">P2TR key-path spend (1-in, 1-out)</w:t>
            </w:r>
          </w:p>
        </w:tc>
        <w:tc>
          <w:tcPr>
            <w:tcW w:type="dxa" w:w="3192"/>
            <w:tcBorders>
              <w:top w:val="single" w:sz="1"/>
              <w:left w:val="single" w:sz="1"/>
              <w:bottom w:val="single" w:sz="1"/>
              <w:right w:val="single" w:sz="1"/>
            </w:tcBorders>
            <w:vAlign w:val="top"/>
          </w:tcPr>
          <w:p>
            <w:r>
              <w:t xml:space="preserve">~110 vB</w:t>
            </w:r>
          </w:p>
        </w:tc>
        <w:tc>
          <w:tcPr>
            <w:tcW w:type="dxa" w:w="3192"/>
            <w:tcBorders>
              <w:top w:val="single" w:sz="1"/>
              <w:left w:val="single" w:sz="1"/>
              <w:bottom w:val="single" w:sz="1"/>
              <w:right w:val="single" w:sz="1"/>
            </w:tcBorders>
            <w:vAlign w:val="top"/>
          </w:tcPr>
          <w:p>
            <w:r>
              <w:t xml:space="preserve">Schnorr signature, witness discount</w:t>
            </w:r>
          </w:p>
        </w:tc>
      </w:tr>
      <w:tr>
        <w:tc>
          <w:tcPr>
            <w:tcW w:type="dxa" w:w="3192"/>
            <w:tcBorders>
              <w:top w:val="single" w:sz="1"/>
              <w:left w:val="single" w:sz="1"/>
              <w:bottom w:val="single" w:sz="1"/>
              <w:right w:val="single" w:sz="1"/>
            </w:tcBorders>
            <w:vAlign w:val="top"/>
          </w:tcPr>
          <w:p>
            <w:r>
              <w:t xml:space="preserve">P2TR key-path spend (1-in, 2-out)</w:t>
            </w:r>
          </w:p>
        </w:tc>
        <w:tc>
          <w:tcPr>
            <w:tcW w:type="dxa" w:w="3192"/>
            <w:tcBorders>
              <w:top w:val="single" w:sz="1"/>
              <w:left w:val="single" w:sz="1"/>
              <w:bottom w:val="single" w:sz="1"/>
              <w:right w:val="single" w:sz="1"/>
            </w:tcBorders>
            <w:vAlign w:val="top"/>
          </w:tcPr>
          <w:p>
            <w:r>
              <w:t xml:space="preserve">~140 vB</w:t>
            </w:r>
          </w:p>
        </w:tc>
        <w:tc>
          <w:tcPr>
            <w:tcW w:type="dxa" w:w="3192"/>
            <w:tcBorders>
              <w:top w:val="single" w:sz="1"/>
              <w:left w:val="single" w:sz="1"/>
              <w:bottom w:val="single" w:sz="1"/>
              <w:right w:val="single" w:sz="1"/>
            </w:tcBorders>
            <w:vAlign w:val="top"/>
          </w:tcPr>
          <w:p>
            <w:r>
              <w:t xml:space="preserve">With change output</w:t>
            </w:r>
          </w:p>
        </w:tc>
      </w:tr>
    </w:tbl>
    <w:p>
      <w:pPr>
        <w:pStyle w:val="Heading3"/>
        <w:spacing w:after="120" w:before="240"/>
        <w:outlineLvl w:val="2"/>
      </w:pPr>
      <w:r>
        <w:t xml:space="preserve">4.2 Cost Per Anchor at Various Fee Rates</w:t>
      </w:r>
    </w:p>
    <w:p>
      <w:pPr>
        <w:spacing w:after="120"/>
      </w:pPr>
      <w:r>
        <w:rPr>
          <w:rFonts w:ascii="Arial" w:cs="Arial" w:eastAsia="Arial" w:hAnsi="Arial"/>
        </w:rPr>
        <w:t xml:space="preserve">Assuming BTC = $84,000 (March 2026).</w:t>
      </w:r>
    </w:p>
    <w:p>
      <w:pPr>
        <w:spacing w:after="120"/>
      </w:pPr>
      <w:r>
        <w:rPr>
          <w:rFonts w:ascii="Arial" w:cs="Arial" w:eastAsia="Arial" w:hAnsi="Arial"/>
          <w:b/>
          <w:bCs/>
        </w:rPr>
        <w:t xml:space="preserve">Without batching (1 document per transaction):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400" w:hRule="atLeast"/>
        </w:trPr>
        <w:tc>
          <w:tcPr>
            <w:tcW w:type="dxa" w:w="3192"/>
            <w:tcBorders>
              <w:top w:val="single" w:sz="1"/>
              <w:left w:val="single" w:sz="1"/>
              <w:bottom w:val="single" w:sz="1"/>
              <w:right w:val="single" w:sz="1"/>
            </w:tcBorders>
            <w:shd w:fill="D3D3D3" w:val="clear"/>
            <w:vAlign w:val="center"/>
          </w:tcPr>
          <w:p>
            <w:r>
              <w:t xml:space="preserve">Fee Rate</w:t>
            </w:r>
          </w:p>
        </w:tc>
        <w:tc>
          <w:tcPr>
            <w:tcW w:type="dxa" w:w="3192"/>
            <w:tcBorders>
              <w:top w:val="single" w:sz="1"/>
              <w:left w:val="single" w:sz="1"/>
              <w:bottom w:val="single" w:sz="1"/>
              <w:right w:val="single" w:sz="1"/>
            </w:tcBorders>
            <w:shd w:fill="D3D3D3" w:val="clear"/>
            <w:vAlign w:val="center"/>
          </w:tcPr>
          <w:p>
            <w:r>
              <w:t xml:space="preserve">OP_RETURN (170 vB)</w:t>
            </w:r>
          </w:p>
        </w:tc>
        <w:tc>
          <w:tcPr>
            <w:tcW w:type="dxa" w:w="3192"/>
            <w:tcBorders>
              <w:top w:val="single" w:sz="1"/>
              <w:left w:val="single" w:sz="1"/>
              <w:bottom w:val="single" w:sz="1"/>
              <w:right w:val="single" w:sz="1"/>
            </w:tcBorders>
            <w:shd w:fill="D3D3D3" w:val="clear"/>
            <w:vAlign w:val="center"/>
          </w:tcPr>
          <w:p>
            <w:r>
              <w:t xml:space="preserve">P2TR (140 vB)</w:t>
            </w:r>
          </w:p>
        </w:tc>
      </w:tr>
      <w:tr>
        <w:tc>
          <w:tcPr>
            <w:tcW w:type="dxa" w:w="3192"/>
            <w:tcBorders>
              <w:top w:val="single" w:sz="1"/>
              <w:left w:val="single" w:sz="1"/>
              <w:bottom w:val="single" w:sz="1"/>
              <w:right w:val="single" w:sz="1"/>
            </w:tcBorders>
            <w:vAlign w:val="top"/>
          </w:tcPr>
          <w:p>
            <w:r>
              <w:t xml:space="preserve">2 sat/vB</w:t>
            </w:r>
          </w:p>
        </w:tc>
        <w:tc>
          <w:tcPr>
            <w:tcW w:type="dxa" w:w="3192"/>
            <w:tcBorders>
              <w:top w:val="single" w:sz="1"/>
              <w:left w:val="single" w:sz="1"/>
              <w:bottom w:val="single" w:sz="1"/>
              <w:right w:val="single" w:sz="1"/>
            </w:tcBorders>
            <w:vAlign w:val="top"/>
          </w:tcPr>
          <w:p>
            <w:r>
              <w:t xml:space="preserve">$0.029</w:t>
            </w:r>
          </w:p>
        </w:tc>
        <w:tc>
          <w:tcPr>
            <w:tcW w:type="dxa" w:w="3192"/>
            <w:tcBorders>
              <w:top w:val="single" w:sz="1"/>
              <w:left w:val="single" w:sz="1"/>
              <w:bottom w:val="single" w:sz="1"/>
              <w:right w:val="single" w:sz="1"/>
            </w:tcBorders>
            <w:vAlign w:val="top"/>
          </w:tcPr>
          <w:p>
            <w:r>
              <w:t xml:space="preserve">$0.024</w:t>
            </w:r>
          </w:p>
        </w:tc>
      </w:tr>
      <w:tr>
        <w:tc>
          <w:tcPr>
            <w:tcW w:type="dxa" w:w="3192"/>
            <w:tcBorders>
              <w:top w:val="single" w:sz="1"/>
              <w:left w:val="single" w:sz="1"/>
              <w:bottom w:val="single" w:sz="1"/>
              <w:right w:val="single" w:sz="1"/>
            </w:tcBorders>
            <w:vAlign w:val="top"/>
          </w:tcPr>
          <w:p>
            <w:r>
              <w:t xml:space="preserve">5 sat/vB</w:t>
            </w:r>
          </w:p>
        </w:tc>
        <w:tc>
          <w:tcPr>
            <w:tcW w:type="dxa" w:w="3192"/>
            <w:tcBorders>
              <w:top w:val="single" w:sz="1"/>
              <w:left w:val="single" w:sz="1"/>
              <w:bottom w:val="single" w:sz="1"/>
              <w:right w:val="single" w:sz="1"/>
            </w:tcBorders>
            <w:vAlign w:val="top"/>
          </w:tcPr>
          <w:p>
            <w:r>
              <w:t xml:space="preserve">$0.071</w:t>
            </w:r>
          </w:p>
        </w:tc>
        <w:tc>
          <w:tcPr>
            <w:tcW w:type="dxa" w:w="3192"/>
            <w:tcBorders>
              <w:top w:val="single" w:sz="1"/>
              <w:left w:val="single" w:sz="1"/>
              <w:bottom w:val="single" w:sz="1"/>
              <w:right w:val="single" w:sz="1"/>
            </w:tcBorders>
            <w:vAlign w:val="top"/>
          </w:tcPr>
          <w:p>
            <w:r>
              <w:t xml:space="preserve">$0.059</w:t>
            </w:r>
          </w:p>
        </w:tc>
      </w:tr>
      <w:tr>
        <w:tc>
          <w:tcPr>
            <w:tcW w:type="dxa" w:w="3192"/>
            <w:tcBorders>
              <w:top w:val="single" w:sz="1"/>
              <w:left w:val="single" w:sz="1"/>
              <w:bottom w:val="single" w:sz="1"/>
              <w:right w:val="single" w:sz="1"/>
            </w:tcBorders>
            <w:vAlign w:val="top"/>
          </w:tcPr>
          <w:p>
            <w:r>
              <w:t xml:space="preserve">10 sat/vB</w:t>
            </w:r>
          </w:p>
        </w:tc>
        <w:tc>
          <w:tcPr>
            <w:tcW w:type="dxa" w:w="3192"/>
            <w:tcBorders>
              <w:top w:val="single" w:sz="1"/>
              <w:left w:val="single" w:sz="1"/>
              <w:bottom w:val="single" w:sz="1"/>
              <w:right w:val="single" w:sz="1"/>
            </w:tcBorders>
            <w:vAlign w:val="top"/>
          </w:tcPr>
          <w:p>
            <w:r>
              <w:t xml:space="preserve">$0.143</w:t>
            </w:r>
          </w:p>
        </w:tc>
        <w:tc>
          <w:tcPr>
            <w:tcW w:type="dxa" w:w="3192"/>
            <w:tcBorders>
              <w:top w:val="single" w:sz="1"/>
              <w:left w:val="single" w:sz="1"/>
              <w:bottom w:val="single" w:sz="1"/>
              <w:right w:val="single" w:sz="1"/>
            </w:tcBorders>
            <w:vAlign w:val="top"/>
          </w:tcPr>
          <w:p>
            <w:r>
              <w:t xml:space="preserve">$0.118</w:t>
            </w:r>
          </w:p>
        </w:tc>
      </w:tr>
      <w:tr>
        <w:tc>
          <w:tcPr>
            <w:tcW w:type="dxa" w:w="3192"/>
            <w:tcBorders>
              <w:top w:val="single" w:sz="1"/>
              <w:left w:val="single" w:sz="1"/>
              <w:bottom w:val="single" w:sz="1"/>
              <w:right w:val="single" w:sz="1"/>
            </w:tcBorders>
            <w:vAlign w:val="top"/>
          </w:tcPr>
          <w:p>
            <w:r>
              <w:t xml:space="preserve">20 sat/vB</w:t>
            </w:r>
          </w:p>
        </w:tc>
        <w:tc>
          <w:tcPr>
            <w:tcW w:type="dxa" w:w="3192"/>
            <w:tcBorders>
              <w:top w:val="single" w:sz="1"/>
              <w:left w:val="single" w:sz="1"/>
              <w:bottom w:val="single" w:sz="1"/>
              <w:right w:val="single" w:sz="1"/>
            </w:tcBorders>
            <w:vAlign w:val="top"/>
          </w:tcPr>
          <w:p>
            <w:r>
              <w:t xml:space="preserve">$0.286</w:t>
            </w:r>
          </w:p>
        </w:tc>
        <w:tc>
          <w:tcPr>
            <w:tcW w:type="dxa" w:w="3192"/>
            <w:tcBorders>
              <w:top w:val="single" w:sz="1"/>
              <w:left w:val="single" w:sz="1"/>
              <w:bottom w:val="single" w:sz="1"/>
              <w:right w:val="single" w:sz="1"/>
            </w:tcBorders>
            <w:vAlign w:val="top"/>
          </w:tcPr>
          <w:p>
            <w:r>
              <w:t xml:space="preserve">$0.235</w:t>
            </w:r>
          </w:p>
        </w:tc>
      </w:tr>
      <w:tr>
        <w:tc>
          <w:tcPr>
            <w:tcW w:type="dxa" w:w="3192"/>
            <w:tcBorders>
              <w:top w:val="single" w:sz="1"/>
              <w:left w:val="single" w:sz="1"/>
              <w:bottom w:val="single" w:sz="1"/>
              <w:right w:val="single" w:sz="1"/>
            </w:tcBorders>
            <w:vAlign w:val="top"/>
          </w:tcPr>
          <w:p>
            <w:r>
              <w:t xml:space="preserve">50 sat/vB</w:t>
            </w:r>
          </w:p>
        </w:tc>
        <w:tc>
          <w:tcPr>
            <w:tcW w:type="dxa" w:w="3192"/>
            <w:tcBorders>
              <w:top w:val="single" w:sz="1"/>
              <w:left w:val="single" w:sz="1"/>
              <w:bottom w:val="single" w:sz="1"/>
              <w:right w:val="single" w:sz="1"/>
            </w:tcBorders>
            <w:vAlign w:val="top"/>
          </w:tcPr>
          <w:p>
            <w:r>
              <w:t xml:space="preserve">$0.714</w:t>
            </w:r>
          </w:p>
        </w:tc>
        <w:tc>
          <w:tcPr>
            <w:tcW w:type="dxa" w:w="3192"/>
            <w:tcBorders>
              <w:top w:val="single" w:sz="1"/>
              <w:left w:val="single" w:sz="1"/>
              <w:bottom w:val="single" w:sz="1"/>
              <w:right w:val="single" w:sz="1"/>
            </w:tcBorders>
            <w:vAlign w:val="top"/>
          </w:tcPr>
          <w:p>
            <w:r>
              <w:t xml:space="preserve">$0.588</w:t>
            </w:r>
          </w:p>
        </w:tc>
      </w:tr>
    </w:tbl>
    <w:p>
      <w:pPr>
        <w:spacing w:after="120"/>
      </w:pPr>
      <w:r>
        <w:rPr>
          <w:rFonts w:ascii="Arial" w:cs="Arial" w:eastAsia="Arial" w:hAnsi="Arial"/>
          <w:b/>
          <w:bCs/>
        </w:rPr>
        <w:t xml:space="preserve">With Merkle batching (N documents per transaction):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tLeast"/>
        </w:trPr>
        <w:tc>
          <w:tcPr>
            <w:tcW w:type="dxa" w:w="2394"/>
            <w:tcBorders>
              <w:top w:val="single" w:sz="1"/>
              <w:left w:val="single" w:sz="1"/>
              <w:bottom w:val="single" w:sz="1"/>
              <w:right w:val="single" w:sz="1"/>
            </w:tcBorders>
            <w:shd w:fill="D3D3D3" w:val="clear"/>
            <w:vAlign w:val="center"/>
          </w:tcPr>
          <w:p>
            <w:r>
              <w:t xml:space="preserve">Fee Rate</w:t>
            </w:r>
          </w:p>
        </w:tc>
        <w:tc>
          <w:tcPr>
            <w:tcW w:type="dxa" w:w="2394"/>
            <w:tcBorders>
              <w:top w:val="single" w:sz="1"/>
              <w:left w:val="single" w:sz="1"/>
              <w:bottom w:val="single" w:sz="1"/>
              <w:right w:val="single" w:sz="1"/>
            </w:tcBorders>
            <w:shd w:fill="D3D3D3" w:val="clear"/>
            <w:vAlign w:val="center"/>
          </w:tcPr>
          <w:p>
            <w:r>
              <w:t xml:space="preserve">N=100</w:t>
            </w:r>
          </w:p>
        </w:tc>
        <w:tc>
          <w:tcPr>
            <w:tcW w:type="dxa" w:w="2394"/>
            <w:tcBorders>
              <w:top w:val="single" w:sz="1"/>
              <w:left w:val="single" w:sz="1"/>
              <w:bottom w:val="single" w:sz="1"/>
              <w:right w:val="single" w:sz="1"/>
            </w:tcBorders>
            <w:shd w:fill="D3D3D3" w:val="clear"/>
            <w:vAlign w:val="center"/>
          </w:tcPr>
          <w:p>
            <w:r>
              <w:t xml:space="preserve">N=1,000</w:t>
            </w:r>
          </w:p>
        </w:tc>
        <w:tc>
          <w:tcPr>
            <w:tcW w:type="dxa" w:w="2394"/>
            <w:tcBorders>
              <w:top w:val="single" w:sz="1"/>
              <w:left w:val="single" w:sz="1"/>
              <w:bottom w:val="single" w:sz="1"/>
              <w:right w:val="single" w:sz="1"/>
            </w:tcBorders>
            <w:shd w:fill="D3D3D3" w:val="clear"/>
            <w:vAlign w:val="center"/>
          </w:tcPr>
          <w:p>
            <w:r>
              <w:t xml:space="preserve">N=10,000</w:t>
            </w:r>
          </w:p>
        </w:tc>
      </w:tr>
      <w:tr>
        <w:tc>
          <w:tcPr>
            <w:tcW w:type="dxa" w:w="2394"/>
            <w:tcBorders>
              <w:top w:val="single" w:sz="1"/>
              <w:left w:val="single" w:sz="1"/>
              <w:bottom w:val="single" w:sz="1"/>
              <w:right w:val="single" w:sz="1"/>
            </w:tcBorders>
            <w:vAlign w:val="top"/>
          </w:tcPr>
          <w:p>
            <w:r>
              <w:t xml:space="preserve">2 sat/vB</w:t>
            </w:r>
          </w:p>
        </w:tc>
        <w:tc>
          <w:tcPr>
            <w:tcW w:type="dxa" w:w="2394"/>
            <w:tcBorders>
              <w:top w:val="single" w:sz="1"/>
              <w:left w:val="single" w:sz="1"/>
              <w:bottom w:val="single" w:sz="1"/>
              <w:right w:val="single" w:sz="1"/>
            </w:tcBorders>
            <w:vAlign w:val="top"/>
          </w:tcPr>
          <w:p>
            <w:r>
              <w:t xml:space="preserve">$0.00029</w:t>
            </w:r>
          </w:p>
        </w:tc>
        <w:tc>
          <w:tcPr>
            <w:tcW w:type="dxa" w:w="2394"/>
            <w:tcBorders>
              <w:top w:val="single" w:sz="1"/>
              <w:left w:val="single" w:sz="1"/>
              <w:bottom w:val="single" w:sz="1"/>
              <w:right w:val="single" w:sz="1"/>
            </w:tcBorders>
            <w:vAlign w:val="top"/>
          </w:tcPr>
          <w:p>
            <w:r>
              <w:t xml:space="preserve">$0.000029</w:t>
            </w:r>
          </w:p>
        </w:tc>
        <w:tc>
          <w:tcPr>
            <w:tcW w:type="dxa" w:w="2394"/>
            <w:tcBorders>
              <w:top w:val="single" w:sz="1"/>
              <w:left w:val="single" w:sz="1"/>
              <w:bottom w:val="single" w:sz="1"/>
              <w:right w:val="single" w:sz="1"/>
            </w:tcBorders>
            <w:vAlign w:val="top"/>
          </w:tcPr>
          <w:p>
            <w:r>
              <w:t xml:space="preserve">$0.0000029</w:t>
            </w:r>
          </w:p>
        </w:tc>
      </w:tr>
      <w:tr>
        <w:tc>
          <w:tcPr>
            <w:tcW w:type="dxa" w:w="2394"/>
            <w:tcBorders>
              <w:top w:val="single" w:sz="1"/>
              <w:left w:val="single" w:sz="1"/>
              <w:bottom w:val="single" w:sz="1"/>
              <w:right w:val="single" w:sz="1"/>
            </w:tcBorders>
            <w:vAlign w:val="top"/>
          </w:tcPr>
          <w:p>
            <w:r>
              <w:t xml:space="preserve">5 sat/vB</w:t>
            </w:r>
          </w:p>
        </w:tc>
        <w:tc>
          <w:tcPr>
            <w:tcW w:type="dxa" w:w="2394"/>
            <w:tcBorders>
              <w:top w:val="single" w:sz="1"/>
              <w:left w:val="single" w:sz="1"/>
              <w:bottom w:val="single" w:sz="1"/>
              <w:right w:val="single" w:sz="1"/>
            </w:tcBorders>
            <w:vAlign w:val="top"/>
          </w:tcPr>
          <w:p>
            <w:r>
              <w:t xml:space="preserve">$0.00071</w:t>
            </w:r>
          </w:p>
        </w:tc>
        <w:tc>
          <w:tcPr>
            <w:tcW w:type="dxa" w:w="2394"/>
            <w:tcBorders>
              <w:top w:val="single" w:sz="1"/>
              <w:left w:val="single" w:sz="1"/>
              <w:bottom w:val="single" w:sz="1"/>
              <w:right w:val="single" w:sz="1"/>
            </w:tcBorders>
            <w:vAlign w:val="top"/>
          </w:tcPr>
          <w:p>
            <w:r>
              <w:t xml:space="preserve">$0.000071</w:t>
            </w:r>
          </w:p>
        </w:tc>
        <w:tc>
          <w:tcPr>
            <w:tcW w:type="dxa" w:w="2394"/>
            <w:tcBorders>
              <w:top w:val="single" w:sz="1"/>
              <w:left w:val="single" w:sz="1"/>
              <w:bottom w:val="single" w:sz="1"/>
              <w:right w:val="single" w:sz="1"/>
            </w:tcBorders>
            <w:vAlign w:val="top"/>
          </w:tcPr>
          <w:p>
            <w:r>
              <w:t xml:space="preserve">$0.0000071</w:t>
            </w:r>
          </w:p>
        </w:tc>
      </w:tr>
      <w:tr>
        <w:tc>
          <w:tcPr>
            <w:tcW w:type="dxa" w:w="2394"/>
            <w:tcBorders>
              <w:top w:val="single" w:sz="1"/>
              <w:left w:val="single" w:sz="1"/>
              <w:bottom w:val="single" w:sz="1"/>
              <w:right w:val="single" w:sz="1"/>
            </w:tcBorders>
            <w:vAlign w:val="top"/>
          </w:tcPr>
          <w:p>
            <w:r>
              <w:t xml:space="preserve">10 sat/vB</w:t>
            </w:r>
          </w:p>
        </w:tc>
        <w:tc>
          <w:tcPr>
            <w:tcW w:type="dxa" w:w="2394"/>
            <w:tcBorders>
              <w:top w:val="single" w:sz="1"/>
              <w:left w:val="single" w:sz="1"/>
              <w:bottom w:val="single" w:sz="1"/>
              <w:right w:val="single" w:sz="1"/>
            </w:tcBorders>
            <w:vAlign w:val="top"/>
          </w:tcPr>
          <w:p>
            <w:r>
              <w:t xml:space="preserve">$0.00143</w:t>
            </w:r>
          </w:p>
        </w:tc>
        <w:tc>
          <w:tcPr>
            <w:tcW w:type="dxa" w:w="2394"/>
            <w:tcBorders>
              <w:top w:val="single" w:sz="1"/>
              <w:left w:val="single" w:sz="1"/>
              <w:bottom w:val="single" w:sz="1"/>
              <w:right w:val="single" w:sz="1"/>
            </w:tcBorders>
            <w:vAlign w:val="top"/>
          </w:tcPr>
          <w:p>
            <w:r>
              <w:t xml:space="preserve">$0.000143</w:t>
            </w:r>
          </w:p>
        </w:tc>
        <w:tc>
          <w:tcPr>
            <w:tcW w:type="dxa" w:w="2394"/>
            <w:tcBorders>
              <w:top w:val="single" w:sz="1"/>
              <w:left w:val="single" w:sz="1"/>
              <w:bottom w:val="single" w:sz="1"/>
              <w:right w:val="single" w:sz="1"/>
            </w:tcBorders>
            <w:vAlign w:val="top"/>
          </w:tcPr>
          <w:p>
            <w:r>
              <w:t xml:space="preserve">$0.0000143</w:t>
            </w:r>
          </w:p>
        </w:tc>
      </w:tr>
      <w:tr>
        <w:tc>
          <w:tcPr>
            <w:tcW w:type="dxa" w:w="2394"/>
            <w:tcBorders>
              <w:top w:val="single" w:sz="1"/>
              <w:left w:val="single" w:sz="1"/>
              <w:bottom w:val="single" w:sz="1"/>
              <w:right w:val="single" w:sz="1"/>
            </w:tcBorders>
            <w:vAlign w:val="top"/>
          </w:tcPr>
          <w:p>
            <w:r>
              <w:t xml:space="preserve">20 sat/vB</w:t>
            </w:r>
          </w:p>
        </w:tc>
        <w:tc>
          <w:tcPr>
            <w:tcW w:type="dxa" w:w="2394"/>
            <w:tcBorders>
              <w:top w:val="single" w:sz="1"/>
              <w:left w:val="single" w:sz="1"/>
              <w:bottom w:val="single" w:sz="1"/>
              <w:right w:val="single" w:sz="1"/>
            </w:tcBorders>
            <w:vAlign w:val="top"/>
          </w:tcPr>
          <w:p>
            <w:r>
              <w:t xml:space="preserve">$0.00286</w:t>
            </w:r>
          </w:p>
        </w:tc>
        <w:tc>
          <w:tcPr>
            <w:tcW w:type="dxa" w:w="2394"/>
            <w:tcBorders>
              <w:top w:val="single" w:sz="1"/>
              <w:left w:val="single" w:sz="1"/>
              <w:bottom w:val="single" w:sz="1"/>
              <w:right w:val="single" w:sz="1"/>
            </w:tcBorders>
            <w:vAlign w:val="top"/>
          </w:tcPr>
          <w:p>
            <w:r>
              <w:t xml:space="preserve">$0.000286</w:t>
            </w:r>
          </w:p>
        </w:tc>
        <w:tc>
          <w:tcPr>
            <w:tcW w:type="dxa" w:w="2394"/>
            <w:tcBorders>
              <w:top w:val="single" w:sz="1"/>
              <w:left w:val="single" w:sz="1"/>
              <w:bottom w:val="single" w:sz="1"/>
              <w:right w:val="single" w:sz="1"/>
            </w:tcBorders>
            <w:vAlign w:val="top"/>
          </w:tcPr>
          <w:p>
            <w:r>
              <w:t xml:space="preserve">$0.0000286</w:t>
            </w:r>
          </w:p>
        </w:tc>
      </w:tr>
      <w:tr>
        <w:tc>
          <w:tcPr>
            <w:tcW w:type="dxa" w:w="2394"/>
            <w:tcBorders>
              <w:top w:val="single" w:sz="1"/>
              <w:left w:val="single" w:sz="1"/>
              <w:bottom w:val="single" w:sz="1"/>
              <w:right w:val="single" w:sz="1"/>
            </w:tcBorders>
            <w:vAlign w:val="top"/>
          </w:tcPr>
          <w:p>
            <w:r>
              <w:t xml:space="preserve">50 sat/vB</w:t>
            </w:r>
          </w:p>
        </w:tc>
        <w:tc>
          <w:tcPr>
            <w:tcW w:type="dxa" w:w="2394"/>
            <w:tcBorders>
              <w:top w:val="single" w:sz="1"/>
              <w:left w:val="single" w:sz="1"/>
              <w:bottom w:val="single" w:sz="1"/>
              <w:right w:val="single" w:sz="1"/>
            </w:tcBorders>
            <w:vAlign w:val="top"/>
          </w:tcPr>
          <w:p>
            <w:r>
              <w:t xml:space="preserve">$0.00714</w:t>
            </w:r>
          </w:p>
        </w:tc>
        <w:tc>
          <w:tcPr>
            <w:tcW w:type="dxa" w:w="2394"/>
            <w:tcBorders>
              <w:top w:val="single" w:sz="1"/>
              <w:left w:val="single" w:sz="1"/>
              <w:bottom w:val="single" w:sz="1"/>
              <w:right w:val="single" w:sz="1"/>
            </w:tcBorders>
            <w:vAlign w:val="top"/>
          </w:tcPr>
          <w:p>
            <w:r>
              <w:t xml:space="preserve">$0.000714</w:t>
            </w:r>
          </w:p>
        </w:tc>
        <w:tc>
          <w:tcPr>
            <w:tcW w:type="dxa" w:w="2394"/>
            <w:tcBorders>
              <w:top w:val="single" w:sz="1"/>
              <w:left w:val="single" w:sz="1"/>
              <w:bottom w:val="single" w:sz="1"/>
              <w:right w:val="single" w:sz="1"/>
            </w:tcBorders>
            <w:vAlign w:val="top"/>
          </w:tcPr>
          <w:p>
            <w:r>
              <w:t xml:space="preserve">$0.0000714</w:t>
            </w:r>
          </w:p>
        </w:tc>
      </w:tr>
    </w:tbl>
    <w:p>
      <w:pPr>
        <w:pStyle w:val="Heading3"/>
        <w:spacing w:after="120" w:before="240"/>
        <w:outlineLvl w:val="2"/>
      </w:pPr>
      <w:r>
        <w:t xml:space="preserve">4.3 Annual Cost Projections</w:t>
      </w:r>
    </w:p>
    <w:p>
      <w:pPr>
        <w:spacing w:after="120"/>
      </w:pPr>
      <w:r>
        <w:rPr>
          <w:rFonts w:ascii="Arial" w:cs="Arial" w:eastAsia="Arial" w:hAnsi="Arial"/>
        </w:rPr>
        <w:t xml:space="preserve">Assuming 10 sat/vB average (achievable by targeting weekend/off-peak broadcast) and OP_RETURN at 170 vB.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rHeight w:val="400" w:hRule="atLeast"/>
        </w:trPr>
        <w:tc>
          <w:tcPr>
            <w:tcW w:type="dxa" w:w="1915"/>
            <w:tcBorders>
              <w:top w:val="single" w:sz="1"/>
              <w:left w:val="single" w:sz="1"/>
              <w:bottom w:val="single" w:sz="1"/>
              <w:right w:val="single" w:sz="1"/>
            </w:tcBorders>
            <w:shd w:fill="D3D3D3" w:val="clear"/>
            <w:vAlign w:val="center"/>
          </w:tcPr>
          <w:p>
            <w:r>
              <w:t xml:space="preserve">Annual Volume</w:t>
            </w:r>
          </w:p>
        </w:tc>
        <w:tc>
          <w:tcPr>
            <w:tcW w:type="dxa" w:w="1915"/>
            <w:tcBorders>
              <w:top w:val="single" w:sz="1"/>
              <w:left w:val="single" w:sz="1"/>
              <w:bottom w:val="single" w:sz="1"/>
              <w:right w:val="single" w:sz="1"/>
            </w:tcBorders>
            <w:shd w:fill="D3D3D3" w:val="clear"/>
            <w:vAlign w:val="center"/>
          </w:tcPr>
          <w:p>
            <w:r>
              <w:t xml:space="preserve">Batch Size</w:t>
            </w:r>
          </w:p>
        </w:tc>
        <w:tc>
          <w:tcPr>
            <w:tcW w:type="dxa" w:w="1915"/>
            <w:tcBorders>
              <w:top w:val="single" w:sz="1"/>
              <w:left w:val="single" w:sz="1"/>
              <w:bottom w:val="single" w:sz="1"/>
              <w:right w:val="single" w:sz="1"/>
            </w:tcBorders>
            <w:shd w:fill="D3D3D3" w:val="clear"/>
            <w:vAlign w:val="center"/>
          </w:tcPr>
          <w:p>
            <w:r>
              <w:t xml:space="preserve">Txs/Year</w:t>
            </w:r>
          </w:p>
        </w:tc>
        <w:tc>
          <w:tcPr>
            <w:tcW w:type="dxa" w:w="1915"/>
            <w:tcBorders>
              <w:top w:val="single" w:sz="1"/>
              <w:left w:val="single" w:sz="1"/>
              <w:bottom w:val="single" w:sz="1"/>
              <w:right w:val="single" w:sz="1"/>
            </w:tcBorders>
            <w:shd w:fill="D3D3D3" w:val="clear"/>
            <w:vAlign w:val="center"/>
          </w:tcPr>
          <w:p>
            <w:r>
              <w:t xml:space="preserve">Annual BTC Cost</w:t>
            </w:r>
          </w:p>
        </w:tc>
        <w:tc>
          <w:tcPr>
            <w:tcW w:type="dxa" w:w="1915"/>
            <w:tcBorders>
              <w:top w:val="single" w:sz="1"/>
              <w:left w:val="single" w:sz="1"/>
              <w:bottom w:val="single" w:sz="1"/>
              <w:right w:val="single" w:sz="1"/>
            </w:tcBorders>
            <w:shd w:fill="D3D3D3" w:val="clear"/>
            <w:vAlign w:val="center"/>
          </w:tcPr>
          <w:p>
            <w:r>
              <w:t xml:space="preserve">Annual USD Cost</w:t>
            </w:r>
          </w:p>
        </w:tc>
      </w:tr>
      <w:tr>
        <w:tc>
          <w:tcPr>
            <w:tcW w:type="dxa" w:w="1915"/>
            <w:tcBorders>
              <w:top w:val="single" w:sz="1"/>
              <w:left w:val="single" w:sz="1"/>
              <w:bottom w:val="single" w:sz="1"/>
              <w:right w:val="single" w:sz="1"/>
            </w:tcBorders>
            <w:vAlign w:val="top"/>
          </w:tcPr>
          <w:p>
            <w:r>
              <w:t xml:space="preserve">**1M anchors**</w:t>
            </w:r>
          </w:p>
        </w:tc>
        <w:tc>
          <w:tcPr>
            <w:tcW w:type="dxa" w:w="1915"/>
            <w:tcBorders>
              <w:top w:val="single" w:sz="1"/>
              <w:left w:val="single" w:sz="1"/>
              <w:bottom w:val="single" w:sz="1"/>
              <w:right w:val="single" w:sz="1"/>
            </w:tcBorders>
            <w:vAlign w:val="top"/>
          </w:tcPr>
          <w:p>
            <w:r>
              <w:t xml:space="preserve">100</w:t>
            </w:r>
          </w:p>
        </w:tc>
        <w:tc>
          <w:tcPr>
            <w:tcW w:type="dxa" w:w="1915"/>
            <w:tcBorders>
              <w:top w:val="single" w:sz="1"/>
              <w:left w:val="single" w:sz="1"/>
              <w:bottom w:val="single" w:sz="1"/>
              <w:right w:val="single" w:sz="1"/>
            </w:tcBorders>
            <w:vAlign w:val="top"/>
          </w:tcPr>
          <w:p>
            <w:r>
              <w:t xml:space="preserve">10,000</w:t>
            </w:r>
          </w:p>
        </w:tc>
        <w:tc>
          <w:tcPr>
            <w:tcW w:type="dxa" w:w="1915"/>
            <w:tcBorders>
              <w:top w:val="single" w:sz="1"/>
              <w:left w:val="single" w:sz="1"/>
              <w:bottom w:val="single" w:sz="1"/>
              <w:right w:val="single" w:sz="1"/>
            </w:tcBorders>
            <w:vAlign w:val="top"/>
          </w:tcPr>
          <w:p>
            <w:r>
              <w:t xml:space="preserve">0.0170 BTC</w:t>
            </w:r>
          </w:p>
        </w:tc>
        <w:tc>
          <w:tcPr>
            <w:tcW w:type="dxa" w:w="1915"/>
            <w:tcBorders>
              <w:top w:val="single" w:sz="1"/>
              <w:left w:val="single" w:sz="1"/>
              <w:bottom w:val="single" w:sz="1"/>
              <w:right w:val="single" w:sz="1"/>
            </w:tcBorders>
            <w:vAlign w:val="top"/>
          </w:tcPr>
          <w:p>
            <w:r>
              <w:t xml:space="preserve">$1,428</w:t>
            </w:r>
          </w:p>
        </w:tc>
      </w:tr>
      <w:tr>
        <w:tc>
          <w:tcPr>
            <w:tcW w:type="dxa" w:w="1915"/>
            <w:tcBorders>
              <w:top w:val="single" w:sz="1"/>
              <w:left w:val="single" w:sz="1"/>
              <w:bottom w:val="single" w:sz="1"/>
              <w:right w:val="single" w:sz="1"/>
            </w:tcBorders>
            <w:vAlign w:val="top"/>
          </w:tcPr>
          <w:p>
            <w:r>
              <w:t xml:space="preserve">**1M anchors**</w:t>
            </w:r>
          </w:p>
        </w:tc>
        <w:tc>
          <w:tcPr>
            <w:tcW w:type="dxa" w:w="1915"/>
            <w:tcBorders>
              <w:top w:val="single" w:sz="1"/>
              <w:left w:val="single" w:sz="1"/>
              <w:bottom w:val="single" w:sz="1"/>
              <w:right w:val="single" w:sz="1"/>
            </w:tcBorders>
            <w:vAlign w:val="top"/>
          </w:tcPr>
          <w:p>
            <w:r>
              <w:t xml:space="preserve">1,000</w:t>
            </w:r>
          </w:p>
        </w:tc>
        <w:tc>
          <w:tcPr>
            <w:tcW w:type="dxa" w:w="1915"/>
            <w:tcBorders>
              <w:top w:val="single" w:sz="1"/>
              <w:left w:val="single" w:sz="1"/>
              <w:bottom w:val="single" w:sz="1"/>
              <w:right w:val="single" w:sz="1"/>
            </w:tcBorders>
            <w:vAlign w:val="top"/>
          </w:tcPr>
          <w:p>
            <w:r>
              <w:t xml:space="preserve">1,000</w:t>
            </w:r>
          </w:p>
        </w:tc>
        <w:tc>
          <w:tcPr>
            <w:tcW w:type="dxa" w:w="1915"/>
            <w:tcBorders>
              <w:top w:val="single" w:sz="1"/>
              <w:left w:val="single" w:sz="1"/>
              <w:bottom w:val="single" w:sz="1"/>
              <w:right w:val="single" w:sz="1"/>
            </w:tcBorders>
            <w:vAlign w:val="top"/>
          </w:tcPr>
          <w:p>
            <w:r>
              <w:t xml:space="preserve">0.0017 BTC</w:t>
            </w:r>
          </w:p>
        </w:tc>
        <w:tc>
          <w:tcPr>
            <w:tcW w:type="dxa" w:w="1915"/>
            <w:tcBorders>
              <w:top w:val="single" w:sz="1"/>
              <w:left w:val="single" w:sz="1"/>
              <w:bottom w:val="single" w:sz="1"/>
              <w:right w:val="single" w:sz="1"/>
            </w:tcBorders>
            <w:vAlign w:val="top"/>
          </w:tcPr>
          <w:p>
            <w:r>
              <w:t xml:space="preserve">$143</w:t>
            </w:r>
          </w:p>
        </w:tc>
      </w:tr>
      <w:tr>
        <w:tc>
          <w:tcPr>
            <w:tcW w:type="dxa" w:w="1915"/>
            <w:tcBorders>
              <w:top w:val="single" w:sz="1"/>
              <w:left w:val="single" w:sz="1"/>
              <w:bottom w:val="single" w:sz="1"/>
              <w:right w:val="single" w:sz="1"/>
            </w:tcBorders>
            <w:vAlign w:val="top"/>
          </w:tcPr>
          <w:p>
            <w:r>
              <w:t xml:space="preserve">**10M anchors**</w:t>
            </w:r>
          </w:p>
        </w:tc>
        <w:tc>
          <w:tcPr>
            <w:tcW w:type="dxa" w:w="1915"/>
            <w:tcBorders>
              <w:top w:val="single" w:sz="1"/>
              <w:left w:val="single" w:sz="1"/>
              <w:bottom w:val="single" w:sz="1"/>
              <w:right w:val="single" w:sz="1"/>
            </w:tcBorders>
            <w:vAlign w:val="top"/>
          </w:tcPr>
          <w:p>
            <w:r>
              <w:t xml:space="preserve">1,000</w:t>
            </w:r>
          </w:p>
        </w:tc>
        <w:tc>
          <w:tcPr>
            <w:tcW w:type="dxa" w:w="1915"/>
            <w:tcBorders>
              <w:top w:val="single" w:sz="1"/>
              <w:left w:val="single" w:sz="1"/>
              <w:bottom w:val="single" w:sz="1"/>
              <w:right w:val="single" w:sz="1"/>
            </w:tcBorders>
            <w:vAlign w:val="top"/>
          </w:tcPr>
          <w:p>
            <w:r>
              <w:t xml:space="preserve">10,000</w:t>
            </w:r>
          </w:p>
        </w:tc>
        <w:tc>
          <w:tcPr>
            <w:tcW w:type="dxa" w:w="1915"/>
            <w:tcBorders>
              <w:top w:val="single" w:sz="1"/>
              <w:left w:val="single" w:sz="1"/>
              <w:bottom w:val="single" w:sz="1"/>
              <w:right w:val="single" w:sz="1"/>
            </w:tcBorders>
            <w:vAlign w:val="top"/>
          </w:tcPr>
          <w:p>
            <w:r>
              <w:t xml:space="preserve">0.0170 BTC</w:t>
            </w:r>
          </w:p>
        </w:tc>
        <w:tc>
          <w:tcPr>
            <w:tcW w:type="dxa" w:w="1915"/>
            <w:tcBorders>
              <w:top w:val="single" w:sz="1"/>
              <w:left w:val="single" w:sz="1"/>
              <w:bottom w:val="single" w:sz="1"/>
              <w:right w:val="single" w:sz="1"/>
            </w:tcBorders>
            <w:vAlign w:val="top"/>
          </w:tcPr>
          <w:p>
            <w:r>
              <w:t xml:space="preserve">$1,428</w:t>
            </w:r>
          </w:p>
        </w:tc>
      </w:tr>
      <w:tr>
        <w:tc>
          <w:tcPr>
            <w:tcW w:type="dxa" w:w="1915"/>
            <w:tcBorders>
              <w:top w:val="single" w:sz="1"/>
              <w:left w:val="single" w:sz="1"/>
              <w:bottom w:val="single" w:sz="1"/>
              <w:right w:val="single" w:sz="1"/>
            </w:tcBorders>
            <w:vAlign w:val="top"/>
          </w:tcPr>
          <w:p>
            <w:r>
              <w:t xml:space="preserve">**10M anchors**</w:t>
            </w:r>
          </w:p>
        </w:tc>
        <w:tc>
          <w:tcPr>
            <w:tcW w:type="dxa" w:w="1915"/>
            <w:tcBorders>
              <w:top w:val="single" w:sz="1"/>
              <w:left w:val="single" w:sz="1"/>
              <w:bottom w:val="single" w:sz="1"/>
              <w:right w:val="single" w:sz="1"/>
            </w:tcBorders>
            <w:vAlign w:val="top"/>
          </w:tcPr>
          <w:p>
            <w:r>
              <w:t xml:space="preserve">10,000</w:t>
            </w:r>
          </w:p>
        </w:tc>
        <w:tc>
          <w:tcPr>
            <w:tcW w:type="dxa" w:w="1915"/>
            <w:tcBorders>
              <w:top w:val="single" w:sz="1"/>
              <w:left w:val="single" w:sz="1"/>
              <w:bottom w:val="single" w:sz="1"/>
              <w:right w:val="single" w:sz="1"/>
            </w:tcBorders>
            <w:vAlign w:val="top"/>
          </w:tcPr>
          <w:p>
            <w:r>
              <w:t xml:space="preserve">1,000</w:t>
            </w:r>
          </w:p>
        </w:tc>
        <w:tc>
          <w:tcPr>
            <w:tcW w:type="dxa" w:w="1915"/>
            <w:tcBorders>
              <w:top w:val="single" w:sz="1"/>
              <w:left w:val="single" w:sz="1"/>
              <w:bottom w:val="single" w:sz="1"/>
              <w:right w:val="single" w:sz="1"/>
            </w:tcBorders>
            <w:vAlign w:val="top"/>
          </w:tcPr>
          <w:p>
            <w:r>
              <w:t xml:space="preserve">0.0017 BTC</w:t>
            </w:r>
          </w:p>
        </w:tc>
        <w:tc>
          <w:tcPr>
            <w:tcW w:type="dxa" w:w="1915"/>
            <w:tcBorders>
              <w:top w:val="single" w:sz="1"/>
              <w:left w:val="single" w:sz="1"/>
              <w:bottom w:val="single" w:sz="1"/>
              <w:right w:val="single" w:sz="1"/>
            </w:tcBorders>
            <w:vAlign w:val="top"/>
          </w:tcPr>
          <w:p>
            <w:r>
              <w:t xml:space="preserve">$143</w:t>
            </w:r>
          </w:p>
        </w:tc>
      </w:tr>
      <w:tr>
        <w:tc>
          <w:tcPr>
            <w:tcW w:type="dxa" w:w="1915"/>
            <w:tcBorders>
              <w:top w:val="single" w:sz="1"/>
              <w:left w:val="single" w:sz="1"/>
              <w:bottom w:val="single" w:sz="1"/>
              <w:right w:val="single" w:sz="1"/>
            </w:tcBorders>
            <w:vAlign w:val="top"/>
          </w:tcPr>
          <w:p>
            <w:r>
              <w:t xml:space="preserve">**100M anchors**</w:t>
            </w:r>
          </w:p>
        </w:tc>
        <w:tc>
          <w:tcPr>
            <w:tcW w:type="dxa" w:w="1915"/>
            <w:tcBorders>
              <w:top w:val="single" w:sz="1"/>
              <w:left w:val="single" w:sz="1"/>
              <w:bottom w:val="single" w:sz="1"/>
              <w:right w:val="single" w:sz="1"/>
            </w:tcBorders>
            <w:vAlign w:val="top"/>
          </w:tcPr>
          <w:p>
            <w:r>
              <w:t xml:space="preserve">10,000</w:t>
            </w:r>
          </w:p>
        </w:tc>
        <w:tc>
          <w:tcPr>
            <w:tcW w:type="dxa" w:w="1915"/>
            <w:tcBorders>
              <w:top w:val="single" w:sz="1"/>
              <w:left w:val="single" w:sz="1"/>
              <w:bottom w:val="single" w:sz="1"/>
              <w:right w:val="single" w:sz="1"/>
            </w:tcBorders>
            <w:vAlign w:val="top"/>
          </w:tcPr>
          <w:p>
            <w:r>
              <w:t xml:space="preserve">10,000</w:t>
            </w:r>
          </w:p>
        </w:tc>
        <w:tc>
          <w:tcPr>
            <w:tcW w:type="dxa" w:w="1915"/>
            <w:tcBorders>
              <w:top w:val="single" w:sz="1"/>
              <w:left w:val="single" w:sz="1"/>
              <w:bottom w:val="single" w:sz="1"/>
              <w:right w:val="single" w:sz="1"/>
            </w:tcBorders>
            <w:vAlign w:val="top"/>
          </w:tcPr>
          <w:p>
            <w:r>
              <w:t xml:space="preserve">0.0170 BTC</w:t>
            </w:r>
          </w:p>
        </w:tc>
        <w:tc>
          <w:tcPr>
            <w:tcW w:type="dxa" w:w="1915"/>
            <w:tcBorders>
              <w:top w:val="single" w:sz="1"/>
              <w:left w:val="single" w:sz="1"/>
              <w:bottom w:val="single" w:sz="1"/>
              <w:right w:val="single" w:sz="1"/>
            </w:tcBorders>
            <w:vAlign w:val="top"/>
          </w:tcPr>
          <w:p>
            <w:r>
              <w:t xml:space="preserve">$1,428</w:t>
            </w:r>
          </w:p>
        </w:tc>
      </w:tr>
      <w:tr>
        <w:tc>
          <w:tcPr>
            <w:tcW w:type="dxa" w:w="1915"/>
            <w:tcBorders>
              <w:top w:val="single" w:sz="1"/>
              <w:left w:val="single" w:sz="1"/>
              <w:bottom w:val="single" w:sz="1"/>
              <w:right w:val="single" w:sz="1"/>
            </w:tcBorders>
            <w:vAlign w:val="top"/>
          </w:tcPr>
          <w:p>
            <w:r>
              <w:t xml:space="preserve">**100M anchors**</w:t>
            </w:r>
          </w:p>
        </w:tc>
        <w:tc>
          <w:tcPr>
            <w:tcW w:type="dxa" w:w="1915"/>
            <w:tcBorders>
              <w:top w:val="single" w:sz="1"/>
              <w:left w:val="single" w:sz="1"/>
              <w:bottom w:val="single" w:sz="1"/>
              <w:right w:val="single" w:sz="1"/>
            </w:tcBorders>
            <w:vAlign w:val="top"/>
          </w:tcPr>
          <w:p>
            <w:r>
              <w:t xml:space="preserve">100,000</w:t>
            </w:r>
          </w:p>
        </w:tc>
        <w:tc>
          <w:tcPr>
            <w:tcW w:type="dxa" w:w="1915"/>
            <w:tcBorders>
              <w:top w:val="single" w:sz="1"/>
              <w:left w:val="single" w:sz="1"/>
              <w:bottom w:val="single" w:sz="1"/>
              <w:right w:val="single" w:sz="1"/>
            </w:tcBorders>
            <w:vAlign w:val="top"/>
          </w:tcPr>
          <w:p>
            <w:r>
              <w:t xml:space="preserve">1,000</w:t>
            </w:r>
          </w:p>
        </w:tc>
        <w:tc>
          <w:tcPr>
            <w:tcW w:type="dxa" w:w="1915"/>
            <w:tcBorders>
              <w:top w:val="single" w:sz="1"/>
              <w:left w:val="single" w:sz="1"/>
              <w:bottom w:val="single" w:sz="1"/>
              <w:right w:val="single" w:sz="1"/>
            </w:tcBorders>
            <w:vAlign w:val="top"/>
          </w:tcPr>
          <w:p>
            <w:r>
              <w:t xml:space="preserve">0.0017 BTC</w:t>
            </w:r>
          </w:p>
        </w:tc>
        <w:tc>
          <w:tcPr>
            <w:tcW w:type="dxa" w:w="1915"/>
            <w:tcBorders>
              <w:top w:val="single" w:sz="1"/>
              <w:left w:val="single" w:sz="1"/>
              <w:bottom w:val="single" w:sz="1"/>
              <w:right w:val="single" w:sz="1"/>
            </w:tcBorders>
            <w:vAlign w:val="top"/>
          </w:tcPr>
          <w:p>
            <w:r>
              <w:t xml:space="preserve">$143</w:t>
            </w:r>
          </w:p>
        </w:tc>
      </w:tr>
    </w:tbl>
    <w:p>
      <w:pPr>
        <w:spacing w:after="120"/>
      </w:pPr>
      <w:r>
        <w:rPr>
          <w:rFonts w:ascii="Arial" w:cs="Arial" w:eastAsia="Arial" w:hAnsi="Arial"/>
        </w:rPr>
        <w:t xml:space="preserve">The key insight: </w:t>
      </w:r>
      <w:r>
        <w:rPr>
          <w:rFonts w:ascii="Arial" w:cs="Arial" w:eastAsia="Arial" w:hAnsi="Arial"/>
          <w:b/>
          <w:bCs/>
        </w:rPr>
        <w:t xml:space="preserve">with sufficient batching, Bitcoin anchoring costs are negligible at any volume.</w:t>
      </w:r>
      <w:r>
        <w:rPr>
          <w:rFonts w:ascii="Arial" w:cs="Arial" w:eastAsia="Arial" w:hAnsi="Arial"/>
        </w:rPr>
        <w:t xml:space="preserve"> The dominant cost becomes infrastructure (KMS, storage, compute) not on-chain fees.</w:t>
      </w:r>
    </w:p>
    <w:p>
      <w:pPr>
        <w:pStyle w:val="Heading3"/>
        <w:spacing w:after="120" w:before="240"/>
        <w:outlineLvl w:val="2"/>
      </w:pPr>
      <w:r>
        <w:t xml:space="preserve">4.4 Latency vs. Cost Tradeoff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tLeast"/>
        </w:trPr>
        <w:tc>
          <w:tcPr>
            <w:tcW w:type="dxa" w:w="2394"/>
            <w:tcBorders>
              <w:top w:val="single" w:sz="1"/>
              <w:left w:val="single" w:sz="1"/>
              <w:bottom w:val="single" w:sz="1"/>
              <w:right w:val="single" w:sz="1"/>
            </w:tcBorders>
            <w:shd w:fill="D3D3D3" w:val="clear"/>
            <w:vAlign w:val="center"/>
          </w:tcPr>
          <w:p>
            <w:r>
              <w:t xml:space="preserve">Batch Interval</w:t>
            </w:r>
          </w:p>
        </w:tc>
        <w:tc>
          <w:tcPr>
            <w:tcW w:type="dxa" w:w="2394"/>
            <w:tcBorders>
              <w:top w:val="single" w:sz="1"/>
              <w:left w:val="single" w:sz="1"/>
              <w:bottom w:val="single" w:sz="1"/>
              <w:right w:val="single" w:sz="1"/>
            </w:tcBorders>
            <w:shd w:fill="D3D3D3" w:val="clear"/>
            <w:vAlign w:val="center"/>
          </w:tcPr>
          <w:p>
            <w:r>
              <w:t xml:space="preserve">Typical Batch Size</w:t>
            </w:r>
          </w:p>
        </w:tc>
        <w:tc>
          <w:tcPr>
            <w:tcW w:type="dxa" w:w="2394"/>
            <w:tcBorders>
              <w:top w:val="single" w:sz="1"/>
              <w:left w:val="single" w:sz="1"/>
              <w:bottom w:val="single" w:sz="1"/>
              <w:right w:val="single" w:sz="1"/>
            </w:tcBorders>
            <w:shd w:fill="D3D3D3" w:val="clear"/>
            <w:vAlign w:val="center"/>
          </w:tcPr>
          <w:p>
            <w:r>
              <w:t xml:space="preserve">Cost/Anchor (10 sat/vB)</w:t>
            </w:r>
          </w:p>
        </w:tc>
        <w:tc>
          <w:tcPr>
            <w:tcW w:type="dxa" w:w="2394"/>
            <w:tcBorders>
              <w:top w:val="single" w:sz="1"/>
              <w:left w:val="single" w:sz="1"/>
              <w:bottom w:val="single" w:sz="1"/>
              <w:right w:val="single" w:sz="1"/>
            </w:tcBorders>
            <w:shd w:fill="D3D3D3" w:val="clear"/>
            <w:vAlign w:val="center"/>
          </w:tcPr>
          <w:p>
            <w:r>
              <w:t xml:space="preserve">Max Latency</w:t>
            </w:r>
          </w:p>
        </w:tc>
      </w:tr>
      <w:tr>
        <w:tc>
          <w:tcPr>
            <w:tcW w:type="dxa" w:w="2394"/>
            <w:tcBorders>
              <w:top w:val="single" w:sz="1"/>
              <w:left w:val="single" w:sz="1"/>
              <w:bottom w:val="single" w:sz="1"/>
              <w:right w:val="single" w:sz="1"/>
            </w:tcBorders>
            <w:vAlign w:val="top"/>
          </w:tcPr>
          <w:p>
            <w:r>
              <w:t xml:space="preserve">1 minute</w:t>
            </w:r>
          </w:p>
        </w:tc>
        <w:tc>
          <w:tcPr>
            <w:tcW w:type="dxa" w:w="2394"/>
            <w:tcBorders>
              <w:top w:val="single" w:sz="1"/>
              <w:left w:val="single" w:sz="1"/>
              <w:bottom w:val="single" w:sz="1"/>
              <w:right w:val="single" w:sz="1"/>
            </w:tcBorders>
            <w:vAlign w:val="top"/>
          </w:tcPr>
          <w:p>
            <w:r>
              <w:t xml:space="preserve">1-10</w:t>
            </w:r>
          </w:p>
        </w:tc>
        <w:tc>
          <w:tcPr>
            <w:tcW w:type="dxa" w:w="2394"/>
            <w:tcBorders>
              <w:top w:val="single" w:sz="1"/>
              <w:left w:val="single" w:sz="1"/>
              <w:bottom w:val="single" w:sz="1"/>
              <w:right w:val="single" w:sz="1"/>
            </w:tcBorders>
            <w:vAlign w:val="top"/>
          </w:tcPr>
          <w:p>
            <w:r>
              <w:t xml:space="preserve">$0.014-$0.143</w:t>
            </w:r>
          </w:p>
        </w:tc>
        <w:tc>
          <w:tcPr>
            <w:tcW w:type="dxa" w:w="2394"/>
            <w:tcBorders>
              <w:top w:val="single" w:sz="1"/>
              <w:left w:val="single" w:sz="1"/>
              <w:bottom w:val="single" w:sz="1"/>
              <w:right w:val="single" w:sz="1"/>
            </w:tcBorders>
            <w:vAlign w:val="top"/>
          </w:tcPr>
          <w:p>
            <w:r>
              <w:t xml:space="preserve">~11 min (1 min batch + ~10 min confirmation)</w:t>
            </w:r>
          </w:p>
        </w:tc>
      </w:tr>
      <w:tr>
        <w:tc>
          <w:tcPr>
            <w:tcW w:type="dxa" w:w="2394"/>
            <w:tcBorders>
              <w:top w:val="single" w:sz="1"/>
              <w:left w:val="single" w:sz="1"/>
              <w:bottom w:val="single" w:sz="1"/>
              <w:right w:val="single" w:sz="1"/>
            </w:tcBorders>
            <w:vAlign w:val="top"/>
          </w:tcPr>
          <w:p>
            <w:r>
              <w:t xml:space="preserve">10 minutes</w:t>
            </w:r>
          </w:p>
        </w:tc>
        <w:tc>
          <w:tcPr>
            <w:tcW w:type="dxa" w:w="2394"/>
            <w:tcBorders>
              <w:top w:val="single" w:sz="1"/>
              <w:left w:val="single" w:sz="1"/>
              <w:bottom w:val="single" w:sz="1"/>
              <w:right w:val="single" w:sz="1"/>
            </w:tcBorders>
            <w:vAlign w:val="top"/>
          </w:tcPr>
          <w:p>
            <w:r>
              <w:t xml:space="preserve">10-100</w:t>
            </w:r>
          </w:p>
        </w:tc>
        <w:tc>
          <w:tcPr>
            <w:tcW w:type="dxa" w:w="2394"/>
            <w:tcBorders>
              <w:top w:val="single" w:sz="1"/>
              <w:left w:val="single" w:sz="1"/>
              <w:bottom w:val="single" w:sz="1"/>
              <w:right w:val="single" w:sz="1"/>
            </w:tcBorders>
            <w:vAlign w:val="top"/>
          </w:tcPr>
          <w:p>
            <w:r>
              <w:t xml:space="preserve">$0.0014-$0.014</w:t>
            </w:r>
          </w:p>
        </w:tc>
        <w:tc>
          <w:tcPr>
            <w:tcW w:type="dxa" w:w="2394"/>
            <w:tcBorders>
              <w:top w:val="single" w:sz="1"/>
              <w:left w:val="single" w:sz="1"/>
              <w:bottom w:val="single" w:sz="1"/>
              <w:right w:val="single" w:sz="1"/>
            </w:tcBorders>
            <w:vAlign w:val="top"/>
          </w:tcPr>
          <w:p>
            <w:r>
              <w:t xml:space="preserve">~20 min</w:t>
            </w:r>
          </w:p>
        </w:tc>
      </w:tr>
      <w:tr>
        <w:tc>
          <w:tcPr>
            <w:tcW w:type="dxa" w:w="2394"/>
            <w:tcBorders>
              <w:top w:val="single" w:sz="1"/>
              <w:left w:val="single" w:sz="1"/>
              <w:bottom w:val="single" w:sz="1"/>
              <w:right w:val="single" w:sz="1"/>
            </w:tcBorders>
            <w:vAlign w:val="top"/>
          </w:tcPr>
          <w:p>
            <w:r>
              <w:t xml:space="preserve">1 hour</w:t>
            </w:r>
          </w:p>
        </w:tc>
        <w:tc>
          <w:tcPr>
            <w:tcW w:type="dxa" w:w="2394"/>
            <w:tcBorders>
              <w:top w:val="single" w:sz="1"/>
              <w:left w:val="single" w:sz="1"/>
              <w:bottom w:val="single" w:sz="1"/>
              <w:right w:val="single" w:sz="1"/>
            </w:tcBorders>
            <w:vAlign w:val="top"/>
          </w:tcPr>
          <w:p>
            <w:r>
              <w:t xml:space="preserve">100-1,000</w:t>
            </w:r>
          </w:p>
        </w:tc>
        <w:tc>
          <w:tcPr>
            <w:tcW w:type="dxa" w:w="2394"/>
            <w:tcBorders>
              <w:top w:val="single" w:sz="1"/>
              <w:left w:val="single" w:sz="1"/>
              <w:bottom w:val="single" w:sz="1"/>
              <w:right w:val="single" w:sz="1"/>
            </w:tcBorders>
            <w:vAlign w:val="top"/>
          </w:tcPr>
          <w:p>
            <w:r>
              <w:t xml:space="preserve">$0.00014-$0.0014</w:t>
            </w:r>
          </w:p>
        </w:tc>
        <w:tc>
          <w:tcPr>
            <w:tcW w:type="dxa" w:w="2394"/>
            <w:tcBorders>
              <w:top w:val="single" w:sz="1"/>
              <w:left w:val="single" w:sz="1"/>
              <w:bottom w:val="single" w:sz="1"/>
              <w:right w:val="single" w:sz="1"/>
            </w:tcBorders>
            <w:vAlign w:val="top"/>
          </w:tcPr>
          <w:p>
            <w:r>
              <w:t xml:space="preserve">~70 min</w:t>
            </w:r>
          </w:p>
        </w:tc>
      </w:tr>
      <w:tr>
        <w:tc>
          <w:tcPr>
            <w:tcW w:type="dxa" w:w="2394"/>
            <w:tcBorders>
              <w:top w:val="single" w:sz="1"/>
              <w:left w:val="single" w:sz="1"/>
              <w:bottom w:val="single" w:sz="1"/>
              <w:right w:val="single" w:sz="1"/>
            </w:tcBorders>
            <w:vAlign w:val="top"/>
          </w:tcPr>
          <w:p>
            <w:r>
              <w:t xml:space="preserve">6 hours</w:t>
            </w:r>
          </w:p>
        </w:tc>
        <w:tc>
          <w:tcPr>
            <w:tcW w:type="dxa" w:w="2394"/>
            <w:tcBorders>
              <w:top w:val="single" w:sz="1"/>
              <w:left w:val="single" w:sz="1"/>
              <w:bottom w:val="single" w:sz="1"/>
              <w:right w:val="single" w:sz="1"/>
            </w:tcBorders>
            <w:vAlign w:val="top"/>
          </w:tcPr>
          <w:p>
            <w:r>
              <w:t xml:space="preserve">1,000-10,000</w:t>
            </w:r>
          </w:p>
        </w:tc>
        <w:tc>
          <w:tcPr>
            <w:tcW w:type="dxa" w:w="2394"/>
            <w:tcBorders>
              <w:top w:val="single" w:sz="1"/>
              <w:left w:val="single" w:sz="1"/>
              <w:bottom w:val="single" w:sz="1"/>
              <w:right w:val="single" w:sz="1"/>
            </w:tcBorders>
            <w:vAlign w:val="top"/>
          </w:tcPr>
          <w:p>
            <w:r>
              <w:t xml:space="preserve">$0.000014-$0.00014</w:t>
            </w:r>
          </w:p>
        </w:tc>
        <w:tc>
          <w:tcPr>
            <w:tcW w:type="dxa" w:w="2394"/>
            <w:tcBorders>
              <w:top w:val="single" w:sz="1"/>
              <w:left w:val="single" w:sz="1"/>
              <w:bottom w:val="single" w:sz="1"/>
              <w:right w:val="single" w:sz="1"/>
            </w:tcBorders>
            <w:vAlign w:val="top"/>
          </w:tcPr>
          <w:p>
            <w:r>
              <w:t xml:space="preserve">~6.2 hours</w:t>
            </w:r>
          </w:p>
        </w:tc>
      </w:tr>
      <w:tr>
        <w:tc>
          <w:tcPr>
            <w:tcW w:type="dxa" w:w="2394"/>
            <w:tcBorders>
              <w:top w:val="single" w:sz="1"/>
              <w:left w:val="single" w:sz="1"/>
              <w:bottom w:val="single" w:sz="1"/>
              <w:right w:val="single" w:sz="1"/>
            </w:tcBorders>
            <w:vAlign w:val="top"/>
          </w:tcPr>
          <w:p>
            <w:r>
              <w:t xml:space="preserve">24 hours</w:t>
            </w:r>
          </w:p>
        </w:tc>
        <w:tc>
          <w:tcPr>
            <w:tcW w:type="dxa" w:w="2394"/>
            <w:tcBorders>
              <w:top w:val="single" w:sz="1"/>
              <w:left w:val="single" w:sz="1"/>
              <w:bottom w:val="single" w:sz="1"/>
              <w:right w:val="single" w:sz="1"/>
            </w:tcBorders>
            <w:vAlign w:val="top"/>
          </w:tcPr>
          <w:p>
            <w:r>
              <w:t xml:space="preserve">10,000-100,000</w:t>
            </w:r>
          </w:p>
        </w:tc>
        <w:tc>
          <w:tcPr>
            <w:tcW w:type="dxa" w:w="2394"/>
            <w:tcBorders>
              <w:top w:val="single" w:sz="1"/>
              <w:left w:val="single" w:sz="1"/>
              <w:bottom w:val="single" w:sz="1"/>
              <w:right w:val="single" w:sz="1"/>
            </w:tcBorders>
            <w:vAlign w:val="top"/>
          </w:tcPr>
          <w:p>
            <w:r>
              <w:t xml:space="preserve">$0.0000014-$0.000014</w:t>
            </w:r>
          </w:p>
        </w:tc>
        <w:tc>
          <w:tcPr>
            <w:tcW w:type="dxa" w:w="2394"/>
            <w:tcBorders>
              <w:top w:val="single" w:sz="1"/>
              <w:left w:val="single" w:sz="1"/>
              <w:bottom w:val="single" w:sz="1"/>
              <w:right w:val="single" w:sz="1"/>
            </w:tcBorders>
            <w:vAlign w:val="top"/>
          </w:tcPr>
          <w:p>
            <w:r>
              <w:t xml:space="preserve">~24.2 hours</w:t>
            </w:r>
          </w:p>
        </w:tc>
      </w:tr>
    </w:tbl>
    <w:p>
      <w:pPr>
        <w:spacing w:after="120"/>
      </w:pPr>
      <w:r>
        <w:rPr>
          <w:rFonts w:ascii="Arial" w:cs="Arial" w:eastAsia="Arial" w:hAnsi="Arial"/>
          <w:b/>
          <w:bCs/>
        </w:rPr>
        <w:t xml:space="preserve">Recommendation:</w:t>
      </w:r>
      <w:r>
        <w:rPr>
          <w:rFonts w:ascii="Arial" w:cs="Arial" w:eastAsia="Arial" w:hAnsi="Arial"/>
        </w:rPr>
        <w:t xml:space="preserve"> Default to 10-minute batch intervals. Credentials don't need sub-minute anchoring — a 20-minute end-to-end latency is acceptable for virtually all credential verification use cases. Offer configurable intervals for enterprise customers who want faster anchoring.</w:t>
      </w:r>
    </w:p>
    <w:p>
      <w:pPr>
        <w:pStyle w:val="Heading3"/>
        <w:spacing w:after="120" w:before="240"/>
        <w:outlineLvl w:val="2"/>
      </w:pPr>
      <w:r>
        <w:t xml:space="preserve">4.5 Fee Optimization Strategy</w:t>
      </w:r>
    </w:p>
    <w:p>
      <w:pPr>
        <w:spacing w:after="120"/>
      </w:pPr>
      <w:r>
        <w:rPr>
          <w:rFonts w:ascii="Arial" w:cs="Arial" w:eastAsia="Arial" w:hAnsi="Arial"/>
          <w:b/>
          <w:bCs/>
        </w:rPr>
        <w:t xml:space="preserve">Weekend targeting.</w:t>
      </w:r>
      <w:r>
        <w:rPr>
          <w:rFonts w:ascii="Arial" w:cs="Arial" w:eastAsia="Arial" w:hAnsi="Arial"/>
        </w:rPr>
        <w:t xml:space="preserve"> Fees are consistently 47% lower on Saturdays vs. Tuesday/Wednesday. For batch anchoring where 24-hour latency is acceptable, accumulate during the week and broadcast Saturday afternoon UTC.</w:t>
      </w:r>
    </w:p>
    <w:p>
      <w:pPr>
        <w:spacing w:after="120"/>
      </w:pPr>
      <w:r>
        <w:rPr>
          <w:rFonts w:ascii="Arial" w:cs="Arial" w:eastAsia="Arial" w:hAnsi="Arial"/>
          <w:b/>
          <w:bCs/>
        </w:rPr>
        <w:t xml:space="preserve">Time-of-day targeting.</w:t>
      </w:r>
      <w:r>
        <w:rPr>
          <w:rFonts w:ascii="Arial" w:cs="Arial" w:eastAsia="Arial" w:hAnsi="Arial"/>
        </w:rPr>
        <w:t xml:space="preserve"> Late night / early morning EST (when US and EU markets are quiet) typically sees 2-3 sat/vB vs. 5+ during business hours.</w:t>
      </w:r>
    </w:p>
    <w:p>
      <w:pPr>
        <w:spacing w:after="120"/>
      </w:pPr>
      <w:r>
        <w:rPr>
          <w:rFonts w:ascii="Arial" w:cs="Arial" w:eastAsia="Arial" w:hAnsi="Arial"/>
          <w:b/>
          <w:bCs/>
        </w:rPr>
        <w:t xml:space="preserve">RBF-first approach.</w:t>
      </w:r>
      <w:r>
        <w:rPr>
          <w:rFonts w:ascii="Arial" w:cs="Arial" w:eastAsia="Arial" w:hAnsi="Arial"/>
        </w:rPr>
        <w:t xml:space="preserve"> Broadcast at low fee rate (1-2 sat/vB). If not confirmed within target window, bump via RBF. This captures the frequent "near-free block" opportunities while maintaining a confirmation ceiling.</w:t>
      </w:r>
    </w:p>
    <w:p>
      <w:pPr>
        <w:spacing w:after="120"/>
      </w:pPr>
      <w:r>
        <w:rPr>
          <w:rFonts w:ascii="Arial" w:cs="Arial" w:eastAsia="Arial" w:hAnsi="Arial"/>
          <w:b/>
          <w:bCs/>
        </w:rPr>
        <w:t xml:space="preserve">UTXO consolidation.</w:t>
      </w:r>
      <w:r>
        <w:rPr>
          <w:rFonts w:ascii="Arial" w:cs="Arial" w:eastAsia="Arial" w:hAnsi="Arial"/>
        </w:rPr>
        <w:t xml:space="preserve"> Periodically consolidate small change UTXOs during low-fee periods to maintain a clean UTXO set for the fee account.</w:t>
      </w:r>
    </w:p>
    <w:p>
      <w:pPr>
        <w:pStyle w:val="Heading2"/>
        <w:spacing w:after="120" w:before="240"/>
        <w:outlineLvl w:val="1"/>
      </w:pPr>
      <w:r>
        <w:t xml:space="preserve">5. Competitive Positioning</w:t>
      </w:r>
    </w:p>
    <w:p>
      <w:pPr>
        <w:pStyle w:val="Heading3"/>
        <w:spacing w:after="120" w:before="240"/>
        <w:outlineLvl w:val="2"/>
      </w:pPr>
      <w:r>
        <w:t xml:space="preserve">5.1 OpenTimestamps</w:t>
      </w:r>
    </w:p>
    <w:p>
      <w:pPr>
        <w:spacing w:after="120"/>
      </w:pPr>
      <w:r>
        <w:rPr>
          <w:rFonts w:ascii="Arial" w:cs="Arial" w:eastAsia="Arial" w:hAnsi="Arial"/>
          <w:b/>
          <w:bCs/>
        </w:rPr>
        <w:t xml:space="preserve">How it works:</w:t>
      </w:r>
      <w:r>
        <w:rPr>
          <w:rFonts w:ascii="Arial" w:cs="Arial" w:eastAsia="Arial" w:hAnsi="Arial"/>
        </w:rPr>
        <w:t xml:space="preserve"> Client hashes data locally. Calendar servers aggregate hashes into Merkle trees. One Bitcoin transaction per batch. Free, open-source, maintained by Peter Todd.</w:t>
      </w:r>
    </w:p>
    <w:p>
      <w:pPr>
        <w:spacing w:after="120"/>
      </w:pPr>
      <w:r>
        <w:rPr>
          <w:rFonts w:ascii="Arial" w:cs="Arial" w:eastAsia="Arial" w:hAnsi="Arial"/>
          <w:b/>
          <w:bCs/>
        </w:rPr>
        <w:t xml:space="preserve">Why Arkova rejected it:</w:t>
      </w:r>
      <w:r>
        <w:rPr>
          <w:rFonts w:ascii="Arial" w:cs="Arial" w:eastAsia="Arial" w:hAnsi="Arial"/>
        </w:rPr>
        <w:t xml:space="preserve"> Calendar server dependency. The initial proof requires the calendar server to be online and cooperating. Proofs can be "upgraded" to be self-contained after Bitcoin confirmation, but the initial dependency introduces a trust/availability assumption.</w:t>
      </w:r>
    </w:p>
    <w:p>
      <w:pPr>
        <w:spacing w:after="120"/>
      </w:pPr>
      <w:r>
        <w:rPr>
          <w:rFonts w:ascii="Arial" w:cs="Arial" w:eastAsia="Arial" w:hAnsi="Arial"/>
          <w:b/>
          <w:bCs/>
        </w:rPr>
        <w:t xml:space="preserve">What Arkova should learn from it:</w:t>
      </w:r>
    </w:p>
    <w:p>
      <w:pPr>
        <w:pStyle w:val="ListParagraph"/>
        <w:numPr>
          <w:ilvl w:val="0"/>
          <w:numId w:val="1"/>
        </w:numPr>
        <w:spacing w:after="100"/>
      </w:pPr>
      <w:r>
        <w:t xml:space="preserve">OTS's Merkle tree aggregation model is the right cost architecture — adopt the batching pattern.</w:t>
      </w:r>
    </w:p>
    <w:p>
      <w:pPr>
        <w:pStyle w:val="ListParagraph"/>
        <w:numPr>
          <w:ilvl w:val="0"/>
          <w:numId w:val="1"/>
        </w:numPr>
        <w:spacing w:after="100"/>
      </w:pPr>
      <w:r>
        <w:t xml:space="preserve">OTS's proof format (.ots files) is well-designed: compact, self-contained after upgrade, includes the full verification path. Arkova's proof format should be at least as good.</w:t>
      </w:r>
    </w:p>
    <w:p>
      <w:pPr>
        <w:pStyle w:val="ListParagraph"/>
        <w:numPr>
          <w:ilvl w:val="0"/>
          <w:numId w:val="1"/>
        </w:numPr>
        <w:spacing w:after="100"/>
      </w:pPr>
      <w:r>
        <w:t xml:space="preserve">OTS's multi-layer Merkle tree approach (trees of trees) enables sub-second aggregation latency while maintaining batch economics. Worth studying for Arkova's batch scheduler.</w:t>
      </w:r>
    </w:p>
    <w:p>
      <w:pPr>
        <w:spacing w:after="120"/>
      </w:pPr>
      <w:r>
        <w:rPr>
          <w:rFonts w:ascii="Arial" w:cs="Arial" w:eastAsia="Arial" w:hAnsi="Arial"/>
          <w:b/>
          <w:bCs/>
        </w:rPr>
        <w:t xml:space="preserve">Arkova's differentiation:</w:t>
      </w:r>
      <w:r>
        <w:rPr>
          <w:rFonts w:ascii="Arial" w:cs="Arial" w:eastAsia="Arial" w:hAnsi="Arial"/>
        </w:rPr>
        <w:t xml:space="preserve"> Direct anchoring (no calendar server dependency), AWS KMS key management (enterprise-grade), credential-specific metadata in proofs, SLA-backed service vs. community-run calendars.</w:t>
      </w:r>
    </w:p>
    <w:p>
      <w:pPr>
        <w:pStyle w:val="Heading3"/>
        <w:spacing w:after="120" w:before="240"/>
        <w:outlineLvl w:val="2"/>
      </w:pPr>
      <w:r>
        <w:t xml:space="preserve">5.2 OriginStamp</w:t>
      </w:r>
    </w:p>
    <w:p>
      <w:pPr>
        <w:spacing w:after="120"/>
      </w:pPr>
      <w:r>
        <w:rPr>
          <w:rFonts w:ascii="Arial" w:cs="Arial" w:eastAsia="Arial" w:hAnsi="Arial"/>
          <w:b/>
          <w:bCs/>
        </w:rPr>
        <w:t xml:space="preserve">How it works:</w:t>
      </w:r>
      <w:r>
        <w:rPr>
          <w:rFonts w:ascii="Arial" w:cs="Arial" w:eastAsia="Arial" w:hAnsi="Arial"/>
        </w:rPr>
        <w:t xml:space="preserve"> Hashes data, anchors to Bitcoin (and Ethereum) via Merkle trees. Novel approach: treats Merkle root as a Bitcoin private key, sending funds to the resulting address. Active since 2013, millions of proofs generated.</w:t>
      </w:r>
    </w:p>
    <w:p>
      <w:pPr>
        <w:spacing w:after="120"/>
      </w:pPr>
      <w:r>
        <w:rPr>
          <w:rFonts w:ascii="Arial" w:cs="Arial" w:eastAsia="Arial" w:hAnsi="Arial"/>
          <w:b/>
          <w:bCs/>
        </w:rPr>
        <w:t xml:space="preserve">Competitive position:</w:t>
      </w:r>
      <w:r>
        <w:rPr>
          <w:rFonts w:ascii="Arial" w:cs="Arial" w:eastAsia="Arial" w:hAnsi="Arial"/>
        </w:rPr>
        <w:t xml:space="preserve"> OriginStamp is the closest direct competitor. They're actively marketing anti-deepfake use cases (dashcam evidence, legal/insurance). Enterprise/academic adoption.</w:t>
      </w:r>
    </w:p>
    <w:p>
      <w:pPr>
        <w:spacing w:after="120"/>
      </w:pPr>
      <w:r>
        <w:rPr>
          <w:rFonts w:ascii="Arial" w:cs="Arial" w:eastAsia="Arial" w:hAnsi="Arial"/>
          <w:b/>
          <w:bCs/>
        </w:rPr>
        <w:t xml:space="preserve">Arkova's differentiation:</w:t>
      </w:r>
      <w:r>
        <w:rPr>
          <w:rFonts w:ascii="Arial" w:cs="Arial" w:eastAsia="Arial" w:hAnsi="Arial"/>
        </w:rPr>
        <w:t xml:space="preserve"> Arkova is credential-specific (not generic timestamping). The credential anchoring use case has different requirements: revocation support, schema binding, issuer identity binding. OriginStamp timestamps arbitrary data; Arkova anchors structured credentials with lifecycle management.</w:t>
      </w:r>
    </w:p>
    <w:p>
      <w:pPr>
        <w:pStyle w:val="Heading3"/>
        <w:spacing w:after="120" w:before="240"/>
        <w:outlineLvl w:val="2"/>
      </w:pPr>
      <w:r>
        <w:t xml:space="preserve">5.3 Chainpoint / Tierion</w:t>
      </w:r>
    </w:p>
    <w:p>
      <w:pPr>
        <w:spacing w:after="120"/>
      </w:pPr>
      <w:r>
        <w:rPr>
          <w:rFonts w:ascii="Arial" w:cs="Arial" w:eastAsia="Arial" w:hAnsi="Arial"/>
          <w:b/>
          <w:bCs/>
        </w:rPr>
        <w:t xml:space="preserve">Status:</w:t>
      </w:r>
      <w:r>
        <w:rPr>
          <w:rFonts w:ascii="Arial" w:cs="Arial" w:eastAsia="Arial" w:hAnsi="Arial"/>
        </w:rPr>
        <w:t xml:space="preserve"> Effectively dead as an independent project. Tierion was acquired by IPwe in October 2021. The protocol spec exists but active development has stalled. Microsoft's Chainpoint connector is deprecated.</w:t>
      </w:r>
    </w:p>
    <w:p>
      <w:pPr>
        <w:spacing w:after="120"/>
      </w:pPr>
      <w:r>
        <w:rPr>
          <w:rFonts w:ascii="Arial" w:cs="Arial" w:eastAsia="Arial" w:hAnsi="Arial"/>
          <w:b/>
          <w:bCs/>
        </w:rPr>
        <w:t xml:space="preserve">Lesson for Arkova:</w:t>
      </w:r>
      <w:r>
        <w:rPr>
          <w:rFonts w:ascii="Arial" w:cs="Arial" w:eastAsia="Arial" w:hAnsi="Arial"/>
        </w:rPr>
        <w:t xml:space="preserve"> Don't build on protocols maintained by a single company. Arkova's anchoring layer should be self-contained — no dependency on external infrastructure that could be acquired, sunset, or pivoted.</w:t>
      </w:r>
    </w:p>
    <w:p>
      <w:pPr>
        <w:pStyle w:val="Heading3"/>
        <w:spacing w:after="120" w:before="240"/>
        <w:outlineLvl w:val="2"/>
      </w:pPr>
      <w:r>
        <w:t xml:space="preserve">5.4 Proof of Existence</w:t>
      </w:r>
    </w:p>
    <w:p>
      <w:pPr>
        <w:spacing w:after="120"/>
      </w:pPr>
      <w:r>
        <w:rPr>
          <w:rFonts w:ascii="Arial" w:cs="Arial" w:eastAsia="Arial" w:hAnsi="Arial"/>
          <w:b/>
          <w:bCs/>
        </w:rPr>
        <w:t xml:space="preserve">Status:</w:t>
      </w:r>
      <w:r>
        <w:rPr>
          <w:rFonts w:ascii="Arial" w:cs="Arial" w:eastAsia="Arial" w:hAnsi="Arial"/>
        </w:rPr>
        <w:t xml:space="preserve"> Still operational. The original Bitcoin timestamping service. Simple: one hash, one OP_RETURN, one transaction.</w:t>
      </w:r>
    </w:p>
    <w:p>
      <w:pPr>
        <w:spacing w:after="120"/>
      </w:pPr>
      <w:r>
        <w:rPr>
          <w:rFonts w:ascii="Arial" w:cs="Arial" w:eastAsia="Arial" w:hAnsi="Arial"/>
          <w:b/>
          <w:bCs/>
        </w:rPr>
        <w:t xml:space="preserve">Lesson for Arkova:</w:t>
      </w:r>
      <w:r>
        <w:rPr>
          <w:rFonts w:ascii="Arial" w:cs="Arial" w:eastAsia="Arial" w:hAnsi="Arial"/>
        </w:rPr>
        <w:t xml:space="preserve"> Simplicity is a feature. Proof of Existence has survived 10+ years precisely because it's trivial to verify. Arkova's verification path should be similarly straightforward — don't over-engineer the proof format.</w:t>
      </w:r>
    </w:p>
    <w:p>
      <w:pPr>
        <w:pStyle w:val="Heading3"/>
        <w:spacing w:after="120" w:before="240"/>
        <w:outlineLvl w:val="2"/>
      </w:pPr>
      <w:r>
        <w:t xml:space="preserve">5.5 Mainstay (CommerceBlock)</w:t>
      </w:r>
    </w:p>
    <w:p>
      <w:pPr>
        <w:spacing w:after="120"/>
      </w:pPr>
      <w:r>
        <w:rPr>
          <w:rFonts w:ascii="Arial" w:cs="Arial" w:eastAsia="Arial" w:hAnsi="Arial"/>
          <w:b/>
          <w:bCs/>
        </w:rPr>
        <w:t xml:space="preserve">How it works:</w:t>
      </w:r>
      <w:r>
        <w:rPr>
          <w:rFonts w:ascii="Arial" w:cs="Arial" w:eastAsia="Arial" w:hAnsi="Arial"/>
        </w:rPr>
        <w:t xml:space="preserve"> Federated sidechain anchoring to Bitcoin. Creates a "staychain" — a chain of sequential commitments linked via UTXO chain. Merkle tree batching of multiple sidechain states. "Immutability-as-a-Service" model.</w:t>
      </w:r>
    </w:p>
    <w:p>
      <w:pPr>
        <w:spacing w:after="120"/>
      </w:pPr>
      <w:r>
        <w:rPr>
          <w:rFonts w:ascii="Arial" w:cs="Arial" w:eastAsia="Arial" w:hAnsi="Arial"/>
          <w:b/>
          <w:bCs/>
        </w:rPr>
        <w:t xml:space="preserve">Status:</w:t>
      </w:r>
      <w:r>
        <w:rPr>
          <w:rFonts w:ascii="Arial" w:cs="Arial" w:eastAsia="Arial" w:hAnsi="Arial"/>
        </w:rPr>
        <w:t xml:space="preserve"> Protocol maintained but the parent project (Ocean sidechain) was shut down. CommerceBlock shifted focus to Mercury Layer (statechains).</w:t>
      </w:r>
    </w:p>
    <w:p>
      <w:pPr>
        <w:spacing w:after="120"/>
      </w:pPr>
      <w:r>
        <w:rPr>
          <w:rFonts w:ascii="Arial" w:cs="Arial" w:eastAsia="Arial" w:hAnsi="Arial"/>
          <w:b/>
          <w:bCs/>
        </w:rPr>
        <w:t xml:space="preserve">Relevant pattern for Arkova:</w:t>
      </w:r>
      <w:r>
        <w:rPr>
          <w:rFonts w:ascii="Arial" w:cs="Arial" w:eastAsia="Arial" w:hAnsi="Arial"/>
        </w:rPr>
        <w:t xml:space="preserve"> The staychain concept (linking sequential anchoring transactions via UTXO chain) is interesting for creating an auditable history of Arkova's anchoring operations. Each new batch transaction could spend an output from the previous batch, creating a verifiable chain of anchoring events.</w:t>
      </w:r>
    </w:p>
    <w:p>
      <w:pPr>
        <w:pStyle w:val="Heading3"/>
        <w:spacing w:after="120" w:before="240"/>
        <w:outlineLvl w:val="2"/>
      </w:pPr>
      <w:r>
        <w:t xml:space="preserve">5.6 RGB Protocol</w:t>
      </w:r>
    </w:p>
    <w:p>
      <w:pPr>
        <w:spacing w:after="120"/>
      </w:pPr>
      <w:r>
        <w:rPr>
          <w:rFonts w:ascii="Arial" w:cs="Arial" w:eastAsia="Arial" w:hAnsi="Arial"/>
          <w:b/>
          <w:bCs/>
        </w:rPr>
        <w:t xml:space="preserve">How it works:</w:t>
      </w:r>
      <w:r>
        <w:rPr>
          <w:rFonts w:ascii="Arial" w:cs="Arial" w:eastAsia="Arial" w:hAnsi="Arial"/>
        </w:rPr>
        <w:t xml:space="preserve"> Client-side validated smart contracts on Bitcoin using Pay-to-Contract commitments. State is assigned to Bitcoin UTXOs via single-use seals. RGB v0.12 (July 2025) added zk-STARK support. Tether/USDT launched on Bitcoin via RGB in 2025.</w:t>
      </w:r>
    </w:p>
    <w:p>
      <w:pPr>
        <w:spacing w:after="120"/>
      </w:pPr>
      <w:r>
        <w:rPr>
          <w:rFonts w:ascii="Arial" w:cs="Arial" w:eastAsia="Arial" w:hAnsi="Arial"/>
          <w:b/>
          <w:bCs/>
        </w:rPr>
        <w:t xml:space="preserve">Relevance to Arkova:</w:t>
      </w:r>
      <w:r>
        <w:rPr>
          <w:rFonts w:ascii="Arial" w:cs="Arial" w:eastAsia="Arial" w:hAnsi="Arial"/>
        </w:rPr>
        <w:t xml:space="preserve"> RGB's P2C commitment scheme (LNPBP-1 standard) is the technical mechanism Arkova should adopt for Phase 2. The math is simple, well-specified, and production-tested at scale (USDT on Bitcoin).</w:t>
      </w:r>
    </w:p>
    <w:p>
      <w:pPr>
        <w:pStyle w:val="Heading3"/>
        <w:spacing w:after="120" w:before="240"/>
        <w:outlineLvl w:val="2"/>
      </w:pPr>
      <w:r>
        <w:t xml:space="preserve">5.7 Emerging Competitors (2025-2026)</w:t>
      </w:r>
    </w:p>
    <w:p>
      <w:pPr>
        <w:spacing w:after="120"/>
      </w:pPr>
      <w:r>
        <w:rPr>
          <w:rFonts w:ascii="Arial" w:cs="Arial" w:eastAsia="Arial" w:hAnsi="Arial"/>
          <w:b/>
          <w:bCs/>
        </w:rPr>
        <w:t xml:space="preserve">NotariCoin:</w:t>
      </w:r>
      <w:r>
        <w:rPr>
          <w:rFonts w:ascii="Arial" w:cs="Arial" w:eastAsia="Arial" w:hAnsi="Arial"/>
        </w:rPr>
        <w:t xml:space="preserve"> Claims $0.00001 per document via multi-chain anchoring (Bitcoin, Ethereum, Solana, TON). Seed round expected Q4 2026. Targeting EU Digital Product Passport mandates.</w:t>
      </w:r>
    </w:p>
    <w:p>
      <w:pPr>
        <w:spacing w:after="120"/>
      </w:pPr>
      <w:r>
        <w:rPr>
          <w:rFonts w:ascii="Arial" w:cs="Arial" w:eastAsia="Arial" w:hAnsi="Arial"/>
          <w:b/>
          <w:bCs/>
        </w:rPr>
        <w:t xml:space="preserve">IBM Digital Asset Haven (2025):</w:t>
      </w:r>
      <w:r>
        <w:rPr>
          <w:rFonts w:ascii="Arial" w:cs="Arial" w:eastAsia="Arial" w:hAnsi="Arial"/>
        </w:rPr>
        <w:t xml:space="preserve"> Full-stack digital asset orchestration. Enterprise positioning with compliance focus. Not a direct competitor to Arkova's credential-specific use case.</w:t>
      </w:r>
    </w:p>
    <w:p>
      <w:pPr>
        <w:spacing w:after="120"/>
      </w:pPr>
      <w:r>
        <w:rPr>
          <w:rFonts w:ascii="Arial" w:cs="Arial" w:eastAsia="Arial" w:hAnsi="Arial"/>
          <w:b/>
          <w:bCs/>
        </w:rPr>
        <w:t xml:space="preserve">ByteStamp:</w:t>
      </w:r>
      <w:r>
        <w:rPr>
          <w:rFonts w:ascii="Arial" w:cs="Arial" w:eastAsia="Arial" w:hAnsi="Arial"/>
        </w:rPr>
        <w:t xml:space="preserve"> Double-blockchain notarization. Niche but validates the multi-chain anchoring trend.</w:t>
      </w:r>
    </w:p>
    <w:p>
      <w:pPr>
        <w:pStyle w:val="Heading3"/>
        <w:spacing w:after="120" w:before="240"/>
        <w:outlineLvl w:val="2"/>
      </w:pPr>
      <w:r>
        <w:t xml:space="preserve">5.8 Positioning Summary</w:t>
      </w:r>
    </w:p>
    <w:p>
      <w:pPr>
        <w:spacing w:after="120"/>
      </w:pPr>
      <w:r>
        <w:rPr>
          <w:rFonts w:ascii="Arial" w:cs="Arial" w:eastAsia="Arial" w:hAnsi="Arial"/>
        </w:rPr>
        <w:t xml:space="preserve">Arkova occupies a defensible niche: </w:t>
      </w:r>
      <w:r>
        <w:rPr>
          <w:rFonts w:ascii="Arial" w:cs="Arial" w:eastAsia="Arial" w:hAnsi="Arial"/>
          <w:b/>
          <w:bCs/>
        </w:rPr>
        <w:t xml:space="preserve">credential-specific anchoring with enterprise key management</w:t>
      </w:r>
      <w:r>
        <w:rPr>
          <w:rFonts w:ascii="Arial" w:cs="Arial" w:eastAsia="Arial" w:hAnsi="Arial"/>
        </w:rPr>
        <w:t xml:space="preserve">. The generic timestamping market (OriginStamp, OpenTimestamps) serves a different buyer. Arkova's moat is the credential lifecycle integration — anchoring is one component of a larger credential platform, not a standalone service.</w:t>
      </w:r>
    </w:p>
    <w:p>
      <w:pPr>
        <w:spacing w:after="120"/>
      </w:pPr>
      <w:r>
        <w:rPr>
          <w:rFonts w:ascii="Arial" w:cs="Arial" w:eastAsia="Arial" w:hAnsi="Arial"/>
        </w:rPr>
        <w:t xml:space="preserve">The risk is commoditization of the anchoring layer. Mitigate by: (1) making anchoring proofs deeply integrated with Arkova's credential format, (2) offering verification SDKs that abstract the Bitcoin proof verification, and (3) pursuing regulatory qualification (eIDAS Electronic Ledger) that smaller competitors can't afford.</w:t>
      </w:r>
    </w:p>
    <w:p>
      <w:pPr>
        <w:pStyle w:val="Heading2"/>
        <w:spacing w:after="120" w:before="240"/>
        <w:outlineLvl w:val="1"/>
      </w:pPr>
      <w:r>
        <w:t xml:space="preserve">6. BitcoinTalk Forum Intelligence</w:t>
      </w:r>
    </w:p>
    <w:p>
      <w:pPr>
        <w:pStyle w:val="Heading3"/>
        <w:spacing w:after="120" w:before="240"/>
        <w:outlineLvl w:val="2"/>
      </w:pPr>
      <w:r>
        <w:t xml:space="preserve">6.1 The OP_RETURN Philosophical Divide</w:t>
      </w:r>
    </w:p>
    <w:p>
      <w:pPr>
        <w:spacing w:after="120"/>
      </w:pPr>
      <w:r>
        <w:rPr>
          <w:rFonts w:ascii="Arial" w:cs="Arial" w:eastAsia="Arial" w:hAnsi="Arial"/>
        </w:rPr>
        <w:t xml:space="preserve">BitcoinTalk threads spanning 2013-2026 reveal a persistent community fracture. One camp views OP_RETURN as a pragmatic concession — if people will embed data regardless, OP_RETURN is the least harmful method (provably unspendable, pruneable). The other camp sees any non-financial data as blockchain abuse.</w:t>
      </w:r>
    </w:p>
    <w:p>
      <w:pPr>
        <w:spacing w:after="120"/>
      </w:pPr>
      <w:r>
        <w:rPr>
          <w:rFonts w:ascii="Arial" w:cs="Arial" w:eastAsia="Arial" w:hAnsi="Arial"/>
        </w:rPr>
        <w:t xml:space="preserve">Key threads:</w:t>
      </w:r>
    </w:p>
    <w:p>
      <w:pPr>
        <w:pStyle w:val="ListParagraph"/>
        <w:numPr>
          <w:ilvl w:val="0"/>
          <w:numId w:val="1"/>
        </w:numPr>
        <w:spacing w:after="100"/>
      </w:pPr>
      <w:r>
        <w:t xml:space="preserve">["Bitcoin Core or Bitcoin Knots, the OP_RETURN debate"](https://bitcointalk.org/index.php?topic=5561660.40) — Captures the 2025 schism between Core (permissive, raised limit to 100KB) and Knots (restrictive, maintains 80-byte limit). Core's position won on technical merits but created a governance crisis.</w:t>
      </w:r>
    </w:p>
    <w:p>
      <w:pPr>
        <w:pStyle w:val="ListParagraph"/>
        <w:numPr>
          <w:ilvl w:val="0"/>
          <w:numId w:val="1"/>
        </w:numPr>
        <w:spacing w:after="100"/>
      </w:pPr>
      <w:r>
        <w:t xml:space="preserve">["Removing OP_return limits seems like a huge mistake"](https://bitcointalk.org/index.php?topic=5539943.0) — Opposition arguments: UTXO bloat, incentivizing spam, "Bitcoin is money not a database." The counterarguments (OP_RETURN outputs are pruneable, users bypass limits via witness anyway) ultimately prevailed.</w:t>
      </w:r>
    </w:p>
    <w:p>
      <w:pPr>
        <w:pStyle w:val="ListParagraph"/>
        <w:numPr>
          <w:ilvl w:val="0"/>
          <w:numId w:val="1"/>
        </w:numPr>
        <w:spacing w:after="100"/>
      </w:pPr>
      <w:r>
        <w:t xml:space="preserve">["Pruning OP_RETURNs with illegal content"](https://bitcointalk.org/index.php?topic=950922.0) — Raises the uncomfortable reality that immutable data embedding includes the risk of illegal content. Arkova should ensure its proofs contain only hashes, never raw document content.</w:t>
      </w:r>
    </w:p>
    <w:p>
      <w:pPr>
        <w:spacing w:after="120"/>
      </w:pPr>
      <w:r>
        <w:rPr>
          <w:rFonts w:ascii="Arial" w:cs="Arial" w:eastAsia="Arial" w:hAnsi="Arial"/>
          <w:b/>
          <w:bCs/>
        </w:rPr>
        <w:t xml:space="preserve">Arkova takeaway:</w:t>
      </w:r>
      <w:r>
        <w:rPr>
          <w:rFonts w:ascii="Arial" w:cs="Arial" w:eastAsia="Arial" w:hAnsi="Arial"/>
        </w:rPr>
        <w:t xml:space="preserve"> The community has settled this debate in Arkova's favor. OP_RETURN data embedding is now officially sanctioned in Bitcoin Core v30. But be aware that ~12% of nodes run restrictive policies (Bitcoin Knots). Ensure transactions are standard under both Core and Knots relay policies to maximize propagation.</w:t>
      </w:r>
    </w:p>
    <w:p>
      <w:pPr>
        <w:pStyle w:val="Heading3"/>
        <w:spacing w:after="120" w:before="240"/>
        <w:outlineLvl w:val="2"/>
      </w:pPr>
      <w:r>
        <w:t xml:space="preserve">6.2 Practitioner Cost Experiences</w:t>
      </w:r>
    </w:p>
    <w:p>
      <w:pPr>
        <w:spacing w:after="120"/>
      </w:pPr>
      <w:r>
        <w:rPr>
          <w:rFonts w:ascii="Arial" w:cs="Arial" w:eastAsia="Arial" w:hAnsi="Arial"/>
        </w:rPr>
        <w:t xml:space="preserve">Forum users consistently report that OP_RETURN transactions are among the cheapest on the network because they're simple (small scripts, no complex witness data). Multiple threads confirm that 1-2 sat/vB reliably clears during off-peak hours.</w:t>
      </w:r>
    </w:p>
    <w:p>
      <w:pPr>
        <w:pStyle w:val="ListParagraph"/>
        <w:numPr>
          <w:ilvl w:val="0"/>
          <w:numId w:val="1"/>
        </w:numPr>
        <w:spacing w:after="100"/>
      </w:pPr>
      <w:r>
        <w:t xml:space="preserve">["What exactly is the maximum message length in OP_RETURN?"](https://bitcointalk.org/index.php?topic=5547164.0) — Practical discussion of the 80-byte limit and workarounds. Users report that 32 bytes (SHA-256 hash) is the most common payload, fitting comfortably within all policy limits.</w:t>
      </w:r>
    </w:p>
    <w:p>
      <w:pPr>
        <w:pStyle w:val="ListParagraph"/>
        <w:numPr>
          <w:ilvl w:val="0"/>
          <w:numId w:val="1"/>
        </w:numPr>
        <w:spacing w:after="100"/>
      </w:pPr>
      <w:r>
        <w:t xml:space="preserve">["Signing file and proof of existence | OP_RETURN 80 +17 bytes"](https://bitcointalk.org/index.php?topic=985451.0) — Creative workaround: using an additional output to encode 17 extra bytes beyond the 80-byte OP_RETURN limit. This is no longer necessary post-v30.</w:t>
      </w:r>
    </w:p>
    <w:p>
      <w:pPr>
        <w:pStyle w:val="Heading3"/>
        <w:spacing w:after="120" w:before="240"/>
        <w:outlineLvl w:val="2"/>
      </w:pPr>
      <w:r>
        <w:t xml:space="preserve">6.3 Merkle Tree Implementation Lessons</w:t>
      </w:r>
    </w:p>
    <w:p>
      <w:pPr>
        <w:spacing w:after="120"/>
      </w:pPr>
      <w:r>
        <w:rPr>
          <w:rFonts w:ascii="Arial" w:cs="Arial" w:eastAsia="Arial" w:hAnsi="Arial"/>
        </w:rPr>
        <w:t xml:space="preserve">Forum discussions on Merkle trees reveal practical considerations not found in academic papers:</w:t>
      </w:r>
    </w:p>
    <w:p>
      <w:pPr>
        <w:pStyle w:val="ListParagraph"/>
        <w:numPr>
          <w:ilvl w:val="0"/>
          <w:numId w:val="1"/>
        </w:numPr>
        <w:spacing w:after="100"/>
      </w:pPr>
      <w:r>
        <w:t xml:space="preserve">["Why do we need double hashing in a Merkle tree?"](https://bitcointalk.org/index.php?topic=1151925.0) — Bitcoin uses double SHA-256 for internal nodes. Practitioners debate whether this is necessary for custom Merkle trees. Consensus: for timestamping, single SHA-256 with domain separation (leaf prefix vs. internal node prefix) is sufficient and more efficient.</w:t>
      </w:r>
    </w:p>
    <w:p>
      <w:pPr>
        <w:pStyle w:val="ListParagraph"/>
        <w:numPr>
          <w:ilvl w:val="0"/>
          <w:numId w:val="1"/>
        </w:numPr>
        <w:spacing w:after="100"/>
      </w:pPr>
      <w:r>
        <w:t xml:space="preserve">["Storing UTXOs in a Balanced Merkle Tree"](https://bitcointalk.org/index.php?topic=101734.0) — Advanced discussion of balanced vs. unbalanced Merkle trees for UTXO storage. For Arkova's batch anchoring, balanced trees (pad with duplicate of last leaf if odd count) are simpler and produce predictable proof sizes.</w:t>
      </w:r>
    </w:p>
    <w:p>
      <w:pPr>
        <w:pStyle w:val="ListParagraph"/>
        <w:numPr>
          <w:ilvl w:val="0"/>
          <w:numId w:val="1"/>
        </w:numPr>
        <w:spacing w:after="100"/>
      </w:pPr>
      <w:r>
        <w:t xml:space="preserve">["Merkle Sum Tree Proposal"](https://bitcointalk.org/index.php?topic=845978.0) — Proposes Merkle Sum Trees that encode aggregate values at each node. Not directly relevant to Arkova's hash anchoring but could be useful if Arkova ever needs to prove properties about credential sets (e.g., "total credentials issued this period").</w:t>
      </w:r>
    </w:p>
    <w:p>
      <w:pPr>
        <w:pStyle w:val="Heading3"/>
        <w:spacing w:after="120" w:before="240"/>
        <w:outlineLvl w:val="2"/>
      </w:pPr>
      <w:r>
        <w:t xml:space="preserve">6.4 Data Retrieval Challenges</w:t>
      </w:r>
    </w:p>
    <w:p>
      <w:pPr>
        <w:spacing w:after="120"/>
      </w:pPr>
      <w:r>
        <w:rPr>
          <w:rFonts w:ascii="Arial" w:cs="Arial" w:eastAsia="Arial" w:hAnsi="Arial"/>
        </w:rPr>
        <w:t xml:space="preserve">Several threads highlight a gotcha that Arkova should plan for:</w:t>
      </w:r>
    </w:p>
    <w:p>
      <w:pPr>
        <w:pStyle w:val="ListParagraph"/>
        <w:numPr>
          <w:ilvl w:val="0"/>
          <w:numId w:val="1"/>
        </w:numPr>
        <w:spacing w:after="100"/>
      </w:pPr>
      <w:r>
        <w:t xml:space="preserve">["Searching OP_RETURN data"](https://bitcointalk.org/index.php?topic=600348.0) and [follow-up](https://bitcointalk.org/index.php?topic=5507886.0) — OP_RETURN data is not indexed by default in Bitcoin Core. Retrieving historical anchors requires either: (a) maintaining your own index, (b) using a third-party indexing service (Blockstream's API, mempool.space), or (c) running a full node with custom indexing (e.g., `-txindex=1`).</w:t>
      </w:r>
    </w:p>
    <w:p>
      <w:pPr>
        <w:spacing w:after="120"/>
      </w:pPr>
      <w:r>
        <w:rPr>
          <w:rFonts w:ascii="Arial" w:cs="Arial" w:eastAsia="Arial" w:hAnsi="Arial"/>
          <w:b/>
          <w:bCs/>
        </w:rPr>
        <w:t xml:space="preserve">Arkova takeaway:</w:t>
      </w:r>
      <w:r>
        <w:rPr>
          <w:rFonts w:ascii="Arial" w:cs="Arial" w:eastAsia="Arial" w:hAnsi="Arial"/>
        </w:rPr>
        <w:t xml:space="preserve"> Don't rely on Bitcoin's native indexing for anchor retrieval. Maintain a dedicated database mapping credential IDs → transaction IDs → block heights. The Bitcoin transaction is the proof of existence; your database is the lookup index.</w:t>
      </w:r>
    </w:p>
    <w:p>
      <w:pPr>
        <w:pStyle w:val="Heading3"/>
        <w:spacing w:after="120" w:before="240"/>
        <w:outlineLvl w:val="2"/>
      </w:pPr>
      <w:r>
        <w:t xml:space="preserve">6.5 Specialized Anchoring Projects</w:t>
      </w:r>
    </w:p>
    <w:p>
      <w:pPr>
        <w:spacing w:after="120"/>
      </w:pPr>
      <w:r>
        <w:rPr>
          <w:rFonts w:ascii="Arial" w:cs="Arial" w:eastAsia="Arial" w:hAnsi="Arial"/>
        </w:rPr>
        <w:t xml:space="preserve">Forum threads document a graveyard of Bitcoin anchoring projects. The survivors share common traits:</w:t>
      </w:r>
    </w:p>
    <w:p>
      <w:pPr>
        <w:pStyle w:val="ListParagraph"/>
        <w:numPr>
          <w:ilvl w:val="0"/>
          <w:numId w:val="1"/>
        </w:numPr>
        <w:spacing w:after="100"/>
      </w:pPr>
      <w:r>
        <w:t xml:space="preserve">**Proof of Existence** survived because it's trivially simple — one hash, one transaction.</w:t>
      </w:r>
    </w:p>
    <w:p>
      <w:pPr>
        <w:pStyle w:val="ListParagraph"/>
        <w:numPr>
          <w:ilvl w:val="0"/>
          <w:numId w:val="1"/>
        </w:numPr>
        <w:spacing w:after="100"/>
      </w:pPr>
      <w:r>
        <w:t xml:space="preserve">**Factom** died because it introduced an unnecessary intermediary chain (and token).</w:t>
      </w:r>
    </w:p>
    <w:p>
      <w:pPr>
        <w:pStyle w:val="ListParagraph"/>
        <w:numPr>
          <w:ilvl w:val="0"/>
          <w:numId w:val="1"/>
        </w:numPr>
        <w:spacing w:after="100"/>
      </w:pPr>
      <w:r>
        <w:t xml:space="preserve">**Stampery** was heavily discussed on BitcoinTalk but eventually shut down operations.</w:t>
      </w:r>
    </w:p>
    <w:p>
      <w:pPr>
        <w:pStyle w:val="ListParagraph"/>
        <w:numPr>
          <w:ilvl w:val="0"/>
          <w:numId w:val="1"/>
        </w:numPr>
        <w:spacing w:after="100"/>
      </w:pPr>
      <w:r>
        <w:t xml:space="preserve">**Komodo's notary nodes** represent an interesting approach: a network of notary nodes that periodically anchor Komodo's state to Bitcoin. This is similar to Mainstay but with a decentralized notary set.</w:t>
      </w:r>
    </w:p>
    <w:p>
      <w:pPr>
        <w:spacing w:after="120"/>
      </w:pPr>
      <w:r>
        <w:rPr>
          <w:rFonts w:ascii="Arial" w:cs="Arial" w:eastAsia="Arial" w:hAnsi="Arial"/>
        </w:rPr>
        <w:t xml:space="preserve">Key threads:</w:t>
      </w:r>
    </w:p>
    <w:p>
      <w:pPr>
        <w:pStyle w:val="ListParagraph"/>
        <w:numPr>
          <w:ilvl w:val="0"/>
          <w:numId w:val="1"/>
        </w:numPr>
        <w:spacing w:after="100"/>
      </w:pPr>
      <w:r>
        <w:t xml:space="preserve">["Stampery.co - blockchain-based proof of ownership"](https://bitcointalk.org/index.php?topic=1004372.0) — Early enthusiasm for Stampery's approach. The service no longer operates, illustrating the risk of depending on third-party anchoring services.</w:t>
      </w:r>
    </w:p>
    <w:p>
      <w:pPr>
        <w:pStyle w:val="ListParagraph"/>
        <w:numPr>
          <w:ilvl w:val="0"/>
          <w:numId w:val="1"/>
        </w:numPr>
        <w:spacing w:after="100"/>
      </w:pPr>
      <w:r>
        <w:t xml:space="preserve">["FACTOM - Introducing Honesty to Record-Keeping"](https://bitcointalk.org/index.php?topic=850070.115) — Extensive 115+ page thread. Factom's demise (company went bankrupt) despite strong technology is a cautionary tale about tokenomics sustainability.</w:t>
      </w:r>
    </w:p>
    <w:p>
      <w:pPr>
        <w:pStyle w:val="ListParagraph"/>
        <w:numPr>
          <w:ilvl w:val="0"/>
          <w:numId w:val="1"/>
        </w:numPr>
        <w:spacing w:after="100"/>
      </w:pPr>
      <w:r>
        <w:t xml:space="preserve">["Documentchain | Blockchain for Document Revision"](https://bitcointalk.org/index.php?topic=5253205.0) — Purpose-built blockchain for document versioning. Over-engineered for what can be accomplished with Bitcoin + Merkle trees.</w:t>
      </w:r>
    </w:p>
    <w:p>
      <w:pPr>
        <w:spacing w:after="120"/>
      </w:pPr>
      <w:r>
        <w:rPr>
          <w:rFonts w:ascii="Arial" w:cs="Arial" w:eastAsia="Arial" w:hAnsi="Arial"/>
          <w:b/>
          <w:bCs/>
        </w:rPr>
        <w:t xml:space="preserve">Arkova takeaway:</w:t>
      </w:r>
      <w:r>
        <w:rPr>
          <w:rFonts w:ascii="Arial" w:cs="Arial" w:eastAsia="Arial" w:hAnsi="Arial"/>
        </w:rPr>
        <w:t xml:space="preserve"> Keep the anchoring layer as simple and dependency-free as possible. Every additional layer (custom chain, token, federated network) is a point of failure. Direct Bitcoin anchoring with Merkle batching is the survivor pattern.</w:t>
      </w:r>
    </w:p>
    <w:p>
      <w:pPr>
        <w:pStyle w:val="Heading3"/>
        <w:spacing w:after="120" w:before="240"/>
        <w:outlineLvl w:val="2"/>
      </w:pPr>
      <w:r>
        <w:t xml:space="preserve">6.6 Taproot Data Embedding</w:t>
      </w:r>
    </w:p>
    <w:p>
      <w:pPr>
        <w:pStyle w:val="ListParagraph"/>
        <w:numPr>
          <w:ilvl w:val="0"/>
          <w:numId w:val="1"/>
        </w:numPr>
        <w:spacing w:after="100"/>
      </w:pPr>
      <w:r>
        <w:t xml:space="preserve">["How can taproot transactions manage to store so much data?"](https://bitcointalk.org/index.php?topic=5491586.0) — Forum users explain that Taproot's witness discount (4:1 weight ratio) makes large data embedding economically viable. Key insight from practitioners: for small data (like hashes), the cost difference between OP_RETURN and Taproot witness is minimal. The real advantage of Taproot for Arkova is the P2C privacy property, not the data capacity.</w:t>
      </w:r>
    </w:p>
    <w:p>
      <w:pPr>
        <w:pStyle w:val="Heading2"/>
        <w:spacing w:after="120" w:before="240"/>
        <w:outlineLvl w:val="1"/>
      </w:pPr>
      <w:r>
        <w:t xml:space="preserve">7. Regulatory &amp; Standards Landscape</w:t>
      </w:r>
    </w:p>
    <w:p>
      <w:pPr>
        <w:pStyle w:val="Heading3"/>
        <w:spacing w:after="120" w:before="240"/>
        <w:outlineLvl w:val="2"/>
      </w:pPr>
      <w:r>
        <w:t xml:space="preserve">7.1 ISO 18014 (Timestamping Standards)</w:t>
      </w:r>
    </w:p>
    <w:p>
      <w:pPr>
        <w:spacing w:after="120"/>
      </w:pPr>
      <w:r>
        <w:rPr>
          <w:rFonts w:ascii="Arial" w:cs="Arial" w:eastAsia="Arial" w:hAnsi="Arial"/>
        </w:rPr>
        <w:t xml:space="preserve">ISO/IEC 18014 has four parts. Part 4 addresses traceability of time sources and is being evolved to accommodate Distributed Ledger Timestamping. A "Distributed Ledger Attestation" (DLA) leverages Merkle tree structures to aggregate requests into a blockchain. This is directly aligned with Arkova's architecture.</w:t>
      </w:r>
    </w:p>
    <w:p>
      <w:pPr>
        <w:spacing w:after="120"/>
      </w:pPr>
      <w:r>
        <w:rPr>
          <w:rFonts w:ascii="Arial" w:cs="Arial" w:eastAsia="Arial" w:hAnsi="Arial"/>
          <w:b/>
          <w:bCs/>
        </w:rPr>
        <w:t xml:space="preserve">Arkova action:</w:t>
      </w:r>
      <w:r>
        <w:rPr>
          <w:rFonts w:ascii="Arial" w:cs="Arial" w:eastAsia="Arial" w:hAnsi="Arial"/>
        </w:rPr>
        <w:t xml:space="preserve"> Monitor ISO/IEC 18014-4 evolution. Arkova's Merkle tree + Bitcoin anchoring approach is architecturally compatible with the emerging standard.</w:t>
      </w:r>
    </w:p>
    <w:p>
      <w:pPr>
        <w:pStyle w:val="Heading3"/>
        <w:spacing w:after="120" w:before="240"/>
        <w:outlineLvl w:val="2"/>
      </w:pPr>
      <w:r>
        <w:t xml:space="preserve">7.2 eIDAS 2.0 and Qualified Timestamps</w:t>
      </w:r>
    </w:p>
    <w:p>
      <w:pPr>
        <w:spacing w:after="120"/>
      </w:pPr>
      <w:r>
        <w:rPr>
          <w:rFonts w:ascii="Arial" w:cs="Arial" w:eastAsia="Arial" w:hAnsi="Arial"/>
        </w:rPr>
        <w:t xml:space="preserve">eIDAS 2.0 (Regulation EU 2024/1183) introduces "Electronic Ledgers" as a new trust service. Key provisions:</w:t>
      </w:r>
    </w:p>
    <w:p>
      <w:pPr>
        <w:pStyle w:val="ListParagraph"/>
        <w:numPr>
          <w:ilvl w:val="0"/>
          <w:numId w:val="1"/>
        </w:numPr>
        <w:spacing w:after="100"/>
      </w:pPr>
      <w:r>
        <w:t xml:space="preserve">**Technologically neutral** — neither favors nor discriminates against specific blockchain implementations</w:t>
      </w:r>
    </w:p>
    <w:p>
      <w:pPr>
        <w:pStyle w:val="ListParagraph"/>
        <w:numPr>
          <w:ilvl w:val="0"/>
          <w:numId w:val="1"/>
        </w:numPr>
        <w:spacing w:after="100"/>
      </w:pPr>
      <w:r>
        <w:t xml:space="preserve">**Legal presumption** for sequential chronological ordering and data integrity</w:t>
      </w:r>
    </w:p>
    <w:p>
      <w:pPr>
        <w:pStyle w:val="ListParagraph"/>
        <w:numPr>
          <w:ilvl w:val="0"/>
          <w:numId w:val="1"/>
        </w:numPr>
        <w:spacing w:after="100"/>
      </w:pPr>
      <w:r>
        <w:t xml:space="preserve">**Qualified Electronic Timestamps** require: linking date/time to data tamper-evidently, reliable time source synced to UTC, and signature by a Qualified Trust Service Provider (QTSP)</w:t>
      </w:r>
    </w:p>
    <w:p>
      <w:pPr>
        <w:spacing w:after="120"/>
      </w:pPr>
      <w:r>
        <w:rPr>
          <w:rFonts w:ascii="Arial" w:cs="Arial" w:eastAsia="Arial" w:hAnsi="Arial"/>
        </w:rPr>
        <w:t xml:space="preserve">Currently, blockchain timestamping alone does not qualify as a "Qualified Timestamp" without QTSP certification. However, eIDAS 2.0 creates a clear pathway through the Electronic Ledger trust service framework.</w:t>
      </w:r>
    </w:p>
    <w:p>
      <w:pPr>
        <w:spacing w:after="120"/>
      </w:pPr>
      <w:r>
        <w:rPr>
          <w:rFonts w:ascii="Arial" w:cs="Arial" w:eastAsia="Arial" w:hAnsi="Arial"/>
          <w:b/>
          <w:bCs/>
        </w:rPr>
        <w:t xml:space="preserve">Arkova action:</w:t>
      </w:r>
      <w:r>
        <w:rPr>
          <w:rFonts w:ascii="Arial" w:cs="Arial" w:eastAsia="Arial" w:hAnsi="Arial"/>
        </w:rPr>
        <w:t xml:space="preserve"> Pursue QTSP certification for the anchoring service. This requires: (a) conformity assessment by an accredited body, (b) reliable time source (NTP synced to UTC — straightforward), (c) qualified electronic signature/seal on the timestamp token. A hybrid approach — Arkova issues an RFC 3161-compliant timestamp token, then anchors the token's hash to Bitcoin — satisfies both the traditional regulatory requirement and the blockchain immutability guarantee.</w:t>
      </w:r>
    </w:p>
    <w:p>
      <w:pPr>
        <w:pStyle w:val="Heading3"/>
        <w:spacing w:after="120" w:before="240"/>
        <w:outlineLvl w:val="2"/>
      </w:pPr>
      <w:r>
        <w:t xml:space="preserve">7.3 RFC 3161 Compatibility</w:t>
      </w:r>
    </w:p>
    <w:p>
      <w:pPr>
        <w:spacing w:after="120"/>
      </w:pPr>
      <w:r>
        <w:rPr>
          <w:rFonts w:ascii="Arial" w:cs="Arial" w:eastAsia="Arial" w:hAnsi="Arial"/>
        </w:rPr>
        <w:t xml:space="preserve">RFC 3161 defines the Time-Stamp Protocol (TSP) using X.509 certificates and PKI. It's the established legal standard in European jurisdictions.</w:t>
      </w:r>
    </w:p>
    <w:p>
      <w:pPr>
        <w:spacing w:after="120"/>
      </w:pPr>
      <w:r>
        <w:rPr>
          <w:rFonts w:ascii="Arial" w:cs="Arial" w:eastAsia="Arial" w:hAnsi="Arial"/>
        </w:rPr>
        <w:t xml:space="preserve">An IETF draft (draft-intesigroup-dlts-11) extends RFC 3161 Time Stamp Tokens with attestations recorded on distributed ledgers. This two-phase process (aggregation server provides promise, calendar server provides attestation after consensus) aligns with Arkova's batch anchoring model.</w:t>
      </w:r>
    </w:p>
    <w:p>
      <w:pPr>
        <w:spacing w:after="120"/>
      </w:pPr>
      <w:r>
        <w:rPr>
          <w:rFonts w:ascii="Arial" w:cs="Arial" w:eastAsia="Arial" w:hAnsi="Arial"/>
          <w:b/>
          <w:bCs/>
        </w:rPr>
        <w:t xml:space="preserve">Arkova action:</w:t>
      </w:r>
      <w:r>
        <w:rPr>
          <w:rFonts w:ascii="Arial" w:cs="Arial" w:eastAsia="Arial" w:hAnsi="Arial"/>
        </w:rPr>
        <w:t xml:space="preserve"> Implement RFC 3161-compatible timestamp tokens as a wrapper around Bitcoin-anchored proofs. This provides backward compatibility with existing legal frameworks while maintaining the Bitcoin immutability guarantee.</w:t>
      </w:r>
    </w:p>
    <w:p>
      <w:pPr>
        <w:pStyle w:val="Heading3"/>
        <w:spacing w:after="120" w:before="240"/>
        <w:outlineLvl w:val="2"/>
      </w:pPr>
      <w:r>
        <w:t xml:space="preserve">7.4 Legal Precedent</w:t>
      </w:r>
    </w:p>
    <w:p>
      <w:pPr>
        <w:spacing w:after="120"/>
      </w:pPr>
      <w:r>
        <w:rPr>
          <w:rFonts w:ascii="Arial" w:cs="Arial" w:eastAsia="Arial" w:hAnsi="Arial"/>
        </w:rPr>
        <w:t xml:space="preserve">Bitcoin-anchored timestamps are gaining legal recognition:</w:t>
      </w:r>
    </w:p>
    <w:p>
      <w:pPr>
        <w:pStyle w:val="ListParagraph"/>
        <w:numPr>
          <w:ilvl w:val="0"/>
          <w:numId w:val="1"/>
        </w:numPr>
        <w:spacing w:after="100"/>
      </w:pPr>
      <w:r>
        <w:t xml:space="preserve">**U.S. Federal Courts:** Blockchain evidence is evaluated under FRE 901/902 (authentication) and treated as machine-generated data (not hearsay). Multiple federal precedents confirm admissibility when methodology is sound.</w:t>
      </w:r>
    </w:p>
    <w:p>
      <w:pPr>
        <w:pStyle w:val="ListParagraph"/>
        <w:numPr>
          <w:ilvl w:val="0"/>
          <w:numId w:val="1"/>
        </w:numPr>
        <w:spacing w:after="100"/>
      </w:pPr>
      <w:r>
        <w:t xml:space="preserve">**Italy:** Law No. 12/19 (2019) explicitly recognizes blockchain timestamping with the same legal effect as an "electronic time stamp" under eIDAS.</w:t>
      </w:r>
    </w:p>
    <w:p>
      <w:pPr>
        <w:pStyle w:val="ListParagraph"/>
        <w:numPr>
          <w:ilvl w:val="0"/>
          <w:numId w:val="1"/>
        </w:numPr>
        <w:spacing w:after="100"/>
      </w:pPr>
      <w:r>
        <w:t xml:space="preserve">**China:** Internet Courts have confirmed blockchain evidence admissibility.</w:t>
      </w:r>
    </w:p>
    <w:p>
      <w:pPr>
        <w:pStyle w:val="ListParagraph"/>
        <w:numPr>
          <w:ilvl w:val="0"/>
          <w:numId w:val="1"/>
        </w:numPr>
        <w:spacing w:after="100"/>
      </w:pPr>
      <w:r>
        <w:t xml:space="preserve">**U.S. States:** Illinois, Vermont, Virginia, Washington, Arizona, New York, and Ohio have legislation recognizing blockchain evidence. Vermont's statute presumes blockchain receipts authentic.</w:t>
      </w:r>
    </w:p>
    <w:p>
      <w:pPr>
        <w:spacing w:after="120"/>
      </w:pPr>
      <w:r>
        <w:rPr>
          <w:rFonts w:ascii="Arial" w:cs="Arial" w:eastAsia="Arial" w:hAnsi="Arial"/>
          <w:b/>
          <w:bCs/>
        </w:rPr>
        <w:t xml:space="preserve">Arkova action:</w:t>
      </w:r>
      <w:r>
        <w:rPr>
          <w:rFonts w:ascii="Arial" w:cs="Arial" w:eastAsia="Arial" w:hAnsi="Arial"/>
        </w:rPr>
        <w:t xml:space="preserve"> Document the chain of custody and methodology for credential anchoring. Courts care about process integrity, not just technical correctness. Arkova should publish a transparency report describing: hashing algorithm (SHA-256), Merkle tree construction, Bitcoin transaction format, and verification procedure.</w:t>
      </w:r>
    </w:p>
    <w:p>
      <w:pPr>
        <w:pStyle w:val="Heading3"/>
        <w:spacing w:after="120" w:before="240"/>
        <w:outlineLvl w:val="2"/>
      </w:pPr>
      <w:r>
        <w:t xml:space="preserve">7.5 SOC 2 Considerations</w:t>
      </w:r>
    </w:p>
    <w:p>
      <w:pPr>
        <w:spacing w:after="120"/>
      </w:pPr>
      <w:r>
        <w:rPr>
          <w:rFonts w:ascii="Arial" w:cs="Arial" w:eastAsia="Arial" w:hAnsi="Arial"/>
        </w:rPr>
        <w:t xml:space="preserve">Bitcoin-anchoring services can integrate SOC 2 controls around cryptographic key management, timestamp integrity verification, audit trail maintenance, and incident response. SOC 2 Type II (operating effectiveness over 3-12 months) is the target for enterprise customers.</w:t>
      </w:r>
    </w:p>
    <w:p>
      <w:pPr>
        <w:spacing w:after="120"/>
      </w:pPr>
      <w:r>
        <w:rPr>
          <w:rFonts w:ascii="Arial" w:cs="Arial" w:eastAsia="Arial" w:hAnsi="Arial"/>
          <w:b/>
          <w:bCs/>
        </w:rPr>
        <w:t xml:space="preserve">Arkova action:</w:t>
      </w:r>
      <w:r>
        <w:rPr>
          <w:rFonts w:ascii="Arial" w:cs="Arial" w:eastAsia="Arial" w:hAnsi="Arial"/>
        </w:rPr>
        <w:t xml:space="preserve"> Include Bitcoin anchoring in the SOC 2 scope. Key controls: AWS KMS key management (already planned), transaction broadcast logging, Merkle proof storage integrity, and verification endpoint availability.</w:t>
      </w:r>
    </w:p>
    <w:p>
      <w:pPr>
        <w:pStyle w:val="Heading2"/>
        <w:spacing w:after="120" w:before="240"/>
        <w:outlineLvl w:val="1"/>
      </w:pPr>
      <w:r>
        <w:t xml:space="preserve">8. Recommended Improvements</w:t>
      </w:r>
    </w:p>
    <w:p>
      <w:pPr>
        <w:pStyle w:val="Heading3"/>
        <w:spacing w:after="120" w:before="240"/>
        <w:outlineLvl w:val="2"/>
      </w:pPr>
      <w:r>
        <w:t xml:space="preserve">8.1 Primary Recommendation: Merkle Batching + P2C Migration</w:t>
      </w:r>
    </w:p>
    <w:p>
      <w:pPr>
        <w:spacing w:after="120"/>
      </w:pPr>
      <w:r>
        <w:rPr>
          <w:rFonts w:ascii="Arial" w:cs="Arial" w:eastAsia="Arial" w:hAnsi="Arial"/>
          <w:b/>
          <w:bCs/>
        </w:rPr>
        <w:t xml:space="preserve">Phase 1 architecture (Merkle + OP_RETURN):</w:t>
      </w:r>
    </w:p>
    <w:p>
      <w:pPr>
        <w:shd w:fill="F5F5F5" w:val="clear"/>
        <w:spacing w:after="120" w:before="120"/>
      </w:pPr>
      <w:r>
        <w:t xml:space="preserve">Documents → SHA-256 hashes → Sorted Merkle tree → Root (32 bytes) → OP_RETURN tx
                                                        ↓
                                          Merkle proofs stored in DB</w:t>
      </w:r>
    </w:p>
    <w:p>
      <w:pPr>
        <w:spacing w:after="120"/>
      </w:pPr>
      <w:r>
        <w:rPr>
          <w:rFonts w:ascii="Arial" w:cs="Arial" w:eastAsia="Arial" w:hAnsi="Arial"/>
          <w:b/>
          <w:bCs/>
        </w:rPr>
        <w:t xml:space="preserve">Phase 2 architecture (Merkle + P2C via Taproot):</w:t>
      </w:r>
    </w:p>
    <w:p>
      <w:pPr>
        <w:shd w:fill="F5F5F5" w:val="clear"/>
        <w:spacing w:after="120" w:before="120"/>
      </w:pPr>
      <w:r>
        <w:t xml:space="preserve">Documents → SHA-256 hashes → Sorted Merkle tree → Root (32 bytes) → P2C tweak
                                                        ↓                ↓
                                          Merkle proofs stored    P2TR output (looks normal)
                                                in DB              Funds recoverable</w:t>
      </w:r>
    </w:p>
    <w:p>
      <w:pPr>
        <w:pStyle w:val="Heading3"/>
        <w:spacing w:after="120" w:before="240"/>
        <w:outlineLvl w:val="2"/>
      </w:pPr>
      <w:r>
        <w:t xml:space="preserve">8.2 Batch Scheduler Design</w:t>
      </w:r>
    </w:p>
    <w:p>
      <w:pPr>
        <w:spacing w:after="120"/>
      </w:pPr>
      <w:r>
        <w:rPr>
          <w:rFonts w:ascii="Arial" w:cs="Arial" w:eastAsia="Arial" w:hAnsi="Arial"/>
        </w:rPr>
        <w:t xml:space="preserve">Implement a batch scheduler with these properties:</w:t>
      </w:r>
    </w:p>
    <w:p>
      <w:pPr>
        <w:pStyle w:val="ListParagraph"/>
        <w:numPr>
          <w:ilvl w:val="0"/>
          <w:numId w:val="1"/>
        </w:numPr>
        <w:spacing w:after="100"/>
      </w:pPr>
      <w:r>
        <w:t xml:space="preserve">**Configurable interval:** Default 10 minutes. Expose as a per-tenant setting for enterprise customers.</w:t>
      </w:r>
    </w:p>
    <w:p>
      <w:pPr>
        <w:pStyle w:val="ListParagraph"/>
        <w:numPr>
          <w:ilvl w:val="0"/>
          <w:numId w:val="1"/>
        </w:numPr>
        <w:spacing w:after="100"/>
      </w:pPr>
      <w:r>
        <w:t xml:space="preserve">**Minimum batch size:** 1 (degrade to single-document anchoring if only one document in the batch)</w:t>
      </w:r>
    </w:p>
    <w:p>
      <w:pPr>
        <w:pStyle w:val="ListParagraph"/>
        <w:numPr>
          <w:ilvl w:val="0"/>
          <w:numId w:val="1"/>
        </w:numPr>
        <w:spacing w:after="100"/>
      </w:pPr>
      <w:r>
        <w:t xml:space="preserve">**Maximum batch size:** 65,536 (2^16 — keeps proof sizes manageable at 512 bytes)</w:t>
      </w:r>
    </w:p>
    <w:p>
      <w:pPr>
        <w:pStyle w:val="ListParagraph"/>
        <w:numPr>
          <w:ilvl w:val="0"/>
          <w:numId w:val="1"/>
        </w:numPr>
        <w:spacing w:after="100"/>
      </w:pPr>
      <w:r>
        <w:t xml:space="preserve">**Fee strategy:** Start at 2 sat/vB. If unconfirmed after 30 minutes, RBF bump to 5 sat/vB. If still unconfirmed after 2 hours, bump to 20 sat/vB.</w:t>
      </w:r>
    </w:p>
    <w:p>
      <w:pPr>
        <w:pStyle w:val="ListParagraph"/>
        <w:numPr>
          <w:ilvl w:val="0"/>
          <w:numId w:val="1"/>
        </w:numPr>
        <w:spacing w:after="100"/>
      </w:pPr>
      <w:r>
        <w:t xml:space="preserve">**Weekend optimization:** For 24-hour SLA customers, accumulate weekday batches and target Saturday broadcast.</w:t>
      </w:r>
    </w:p>
    <w:p>
      <w:pPr>
        <w:pStyle w:val="Heading3"/>
        <w:spacing w:after="120" w:before="240"/>
        <w:outlineLvl w:val="2"/>
      </w:pPr>
      <w:r>
        <w:t xml:space="preserve">8.3 Proof Format</w:t>
      </w:r>
    </w:p>
    <w:p>
      <w:pPr>
        <w:spacing w:after="120"/>
      </w:pPr>
      <w:r>
        <w:rPr>
          <w:rFonts w:ascii="Arial" w:cs="Arial" w:eastAsia="Arial" w:hAnsi="Arial"/>
        </w:rPr>
        <w:t xml:space="preserve">Design a self-contained proof format (JSON or CBOR) that includes:</w:t>
      </w:r>
    </w:p>
    <w:p>
      <w:pPr>
        <w:shd w:fill="F5F5F5" w:val="clear"/>
        <w:spacing w:after="120" w:before="120"/>
      </w:pPr>
      <w:r>
        <w:t xml:space="preserve">{
  "version": 1,
  "documentHash": "&lt;SHA-256 hex&gt;",
  "merkleRoot": "&lt;SHA-256 hex&gt;",
  "merkleProof": ["&lt;sibling hash&gt;", ...],
  "leafIndex": 42,
  "bitcoinTxId": "&lt;txid hex&gt;",
  "blockHeight": 890123,
  "blockHash": "&lt;block hash hex&gt;",
  "timestamp": "2026-03-24T12:00:00Z",
  "anchorMethod": "op_return" | "p2c",
  "publicKey": "&lt;hex, only for p2c&gt;"
}</w:t>
      </w:r>
    </w:p>
    <w:p>
      <w:pPr>
        <w:spacing w:after="120"/>
      </w:pPr>
      <w:r>
        <w:rPr>
          <w:rFonts w:ascii="Arial" w:cs="Arial" w:eastAsia="Arial" w:hAnsi="Arial"/>
        </w:rPr>
        <w:t xml:space="preserve">This proof is independently verifiable by anyone with access to a Bitcoin full node (or even a block explorer API). No dependency on Arkova's infrastructure for verification.</w:t>
      </w:r>
    </w:p>
    <w:p>
      <w:pPr>
        <w:pStyle w:val="Heading3"/>
        <w:spacing w:after="120" w:before="240"/>
        <w:outlineLvl w:val="2"/>
      </w:pPr>
      <w:r>
        <w:t xml:space="preserve">8.4 Staychain Pattern (Optional)</w:t>
      </w:r>
    </w:p>
    <w:p>
      <w:pPr>
        <w:spacing w:after="120"/>
      </w:pPr>
      <w:r>
        <w:rPr>
          <w:rFonts w:ascii="Arial" w:cs="Arial" w:eastAsia="Arial" w:hAnsi="Arial"/>
        </w:rPr>
        <w:t xml:space="preserve">Adopt the Mainstay "staychain" pattern: each batch transaction spends an output from the previous batch. This creates a linked chain of anchoring events, making it easy to audit Arkova's complete anchoring history by following the UTXO chain.</w:t>
      </w:r>
    </w:p>
    <w:p>
      <w:pPr>
        <w:spacing w:after="120"/>
      </w:pPr>
      <w:r>
        <w:rPr>
          <w:rFonts w:ascii="Arial" w:cs="Arial" w:eastAsia="Arial" w:hAnsi="Arial"/>
        </w:rPr>
        <w:t xml:space="preserve">Benefits: auditability, ordering proof (each batch is provably after the previous one), single entry point for verifiers (follow the chain from genesis).</w:t>
      </w:r>
    </w:p>
    <w:p>
      <w:pPr>
        <w:spacing w:after="120"/>
      </w:pPr>
      <w:r>
        <w:rPr>
          <w:rFonts w:ascii="Arial" w:cs="Arial" w:eastAsia="Arial" w:hAnsi="Arial"/>
        </w:rPr>
        <w:t xml:space="preserve">Cost: negligible (one additional input per transaction).</w:t>
      </w:r>
    </w:p>
    <w:p>
      <w:pPr>
        <w:pStyle w:val="Heading3"/>
        <w:spacing w:after="120" w:before="240"/>
        <w:outlineLvl w:val="2"/>
      </w:pPr>
      <w:r>
        <w:t xml:space="preserve">8.5 Verification SDK</w:t>
      </w:r>
    </w:p>
    <w:p>
      <w:pPr>
        <w:spacing w:after="120"/>
      </w:pPr>
      <w:r>
        <w:rPr>
          <w:rFonts w:ascii="Arial" w:cs="Arial" w:eastAsia="Arial" w:hAnsi="Arial"/>
        </w:rPr>
        <w:t xml:space="preserve">Ship a verification library (TypeScript, Python, Go) that:</w:t>
      </w:r>
    </w:p>
    <w:p>
      <w:pPr>
        <w:pStyle w:val="ListParagraph"/>
        <w:numPr>
          <w:ilvl w:val="0"/>
          <w:numId w:val="1"/>
        </w:numPr>
        <w:spacing w:after="100"/>
      </w:pPr>
      <w:r>
        <w:t xml:space="preserve">Takes an Arkova proof object</w:t>
      </w:r>
    </w:p>
    <w:p>
      <w:pPr>
        <w:pStyle w:val="ListParagraph"/>
        <w:numPr>
          <w:ilvl w:val="0"/>
          <w:numId w:val="1"/>
        </w:numPr>
        <w:spacing w:after="100"/>
      </w:pPr>
      <w:r>
        <w:t xml:space="preserve">Fetches the Bitcoin transaction (via configurable backend: full node, Electrum, block explorer API)</w:t>
      </w:r>
    </w:p>
    <w:p>
      <w:pPr>
        <w:pStyle w:val="ListParagraph"/>
        <w:numPr>
          <w:ilvl w:val="0"/>
          <w:numId w:val="1"/>
        </w:numPr>
        <w:spacing w:after="100"/>
      </w:pPr>
      <w:r>
        <w:t xml:space="preserve">Verifies the Merkle proof against the on-chain commitment</w:t>
      </w:r>
    </w:p>
    <w:p>
      <w:pPr>
        <w:pStyle w:val="ListParagraph"/>
        <w:numPr>
          <w:ilvl w:val="0"/>
          <w:numId w:val="1"/>
        </w:numPr>
        <w:spacing w:after="100"/>
      </w:pPr>
      <w:r>
        <w:t xml:space="preserve">Returns a structured verification result with confidence level</w:t>
      </w:r>
    </w:p>
    <w:p>
      <w:pPr>
        <w:spacing w:after="120"/>
      </w:pPr>
      <w:r>
        <w:rPr>
          <w:rFonts w:ascii="Arial" w:cs="Arial" w:eastAsia="Arial" w:hAnsi="Arial"/>
        </w:rPr>
        <w:t xml:space="preserve">This is critical for enterprise adoption. Customers need to verify anchors without understanding Bitcoin internals.</w:t>
      </w:r>
    </w:p>
    <w:p>
      <w:pPr>
        <w:pStyle w:val="Heading3"/>
        <w:spacing w:after="120" w:before="240"/>
        <w:outlineLvl w:val="2"/>
      </w:pPr>
      <w:r>
        <w:t xml:space="preserve">8.6 RFC 3161 Wrapper (Phase 3)</w:t>
      </w:r>
    </w:p>
    <w:p>
      <w:pPr>
        <w:spacing w:after="120"/>
      </w:pPr>
      <w:r>
        <w:rPr>
          <w:rFonts w:ascii="Arial" w:cs="Arial" w:eastAsia="Arial" w:hAnsi="Arial"/>
        </w:rPr>
        <w:t xml:space="preserve">Implement an RFC 3161-compatible TSA endpoint that:</w:t>
      </w:r>
    </w:p>
    <w:p>
      <w:pPr>
        <w:pStyle w:val="ListParagraph"/>
        <w:numPr>
          <w:ilvl w:val="0"/>
          <w:numId w:val="1"/>
        </w:numPr>
        <w:spacing w:after="100"/>
      </w:pPr>
      <w:r>
        <w:t xml:space="preserve">Accepts a TimeStampReq (per RFC 3161)</w:t>
      </w:r>
    </w:p>
    <w:p>
      <w:pPr>
        <w:pStyle w:val="ListParagraph"/>
        <w:numPr>
          <w:ilvl w:val="0"/>
          <w:numId w:val="1"/>
        </w:numPr>
        <w:spacing w:after="100"/>
      </w:pPr>
      <w:r>
        <w:t xml:space="preserve">Issues a TimeStampResp signed with Arkova's QTSP key</w:t>
      </w:r>
    </w:p>
    <w:p>
      <w:pPr>
        <w:pStyle w:val="ListParagraph"/>
        <w:numPr>
          <w:ilvl w:val="0"/>
          <w:numId w:val="1"/>
        </w:numPr>
        <w:spacing w:after="100"/>
      </w:pPr>
      <w:r>
        <w:t xml:space="preserve">Includes a Bitcoin commitment reference in the TSA extensions</w:t>
      </w:r>
    </w:p>
    <w:p>
      <w:pPr>
        <w:pStyle w:val="ListParagraph"/>
        <w:numPr>
          <w:ilvl w:val="0"/>
          <w:numId w:val="1"/>
        </w:numPr>
        <w:spacing w:after="100"/>
      </w:pPr>
      <w:r>
        <w:t xml:space="preserve">Returns a standard TST that existing tools can verify</w:t>
      </w:r>
    </w:p>
    <w:p>
      <w:pPr>
        <w:spacing w:after="120"/>
      </w:pPr>
      <w:r>
        <w:rPr>
          <w:rFonts w:ascii="Arial" w:cs="Arial" w:eastAsia="Arial" w:hAnsi="Arial"/>
        </w:rPr>
        <w:t xml:space="preserve">This bridges the regulatory gap: traditional systems verify the RFC 3161 token; Bitcoin-aware systems additionally verify the blockchain anchor.</w:t>
      </w:r>
    </w:p>
    <w:p>
      <w:pPr>
        <w:pStyle w:val="Heading2"/>
        <w:spacing w:after="120" w:before="240"/>
        <w:outlineLvl w:val="1"/>
      </w:pPr>
      <w:r>
        <w:t xml:space="preserve">9. Implementation Roadmap</w:t>
      </w:r>
    </w:p>
    <w:p>
      <w:pPr>
        <w:pStyle w:val="Heading3"/>
        <w:spacing w:after="120" w:before="240"/>
        <w:outlineLvl w:val="2"/>
      </w:pPr>
      <w:r>
        <w:t xml:space="preserve">Phase 1: Merkle Batching (Now — Q2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W w:type="dxa" w:w="4788"/>
            <w:tcBorders>
              <w:top w:val="single" w:sz="1"/>
              <w:left w:val="single" w:sz="1"/>
              <w:bottom w:val="single" w:sz="1"/>
              <w:right w:val="single" w:sz="1"/>
            </w:tcBorders>
            <w:shd w:fill="D3D3D3" w:val="clear"/>
            <w:vAlign w:val="center"/>
          </w:tcPr>
          <w:p>
            <w:r>
              <w:t xml:space="preserve">Week</w:t>
            </w:r>
          </w:p>
        </w:tc>
        <w:tc>
          <w:tcPr>
            <w:tcW w:type="dxa" w:w="4788"/>
            <w:tcBorders>
              <w:top w:val="single" w:sz="1"/>
              <w:left w:val="single" w:sz="1"/>
              <w:bottom w:val="single" w:sz="1"/>
              <w:right w:val="single" w:sz="1"/>
            </w:tcBorders>
            <w:shd w:fill="D3D3D3" w:val="clear"/>
            <w:vAlign w:val="center"/>
          </w:tcPr>
          <w:p>
            <w:r>
              <w:t xml:space="preserve">Deliverable</w:t>
            </w:r>
          </w:p>
        </w:tc>
      </w:tr>
      <w:tr>
        <w:tc>
          <w:tcPr>
            <w:tcW w:type="dxa" w:w="4788"/>
            <w:tcBorders>
              <w:top w:val="single" w:sz="1"/>
              <w:left w:val="single" w:sz="1"/>
              <w:bottom w:val="single" w:sz="1"/>
              <w:right w:val="single" w:sz="1"/>
            </w:tcBorders>
            <w:vAlign w:val="top"/>
          </w:tcPr>
          <w:p>
            <w:r>
              <w:t xml:space="preserve">1-2</w:t>
            </w:r>
          </w:p>
        </w:tc>
        <w:tc>
          <w:tcPr>
            <w:tcW w:type="dxa" w:w="4788"/>
            <w:tcBorders>
              <w:top w:val="single" w:sz="1"/>
              <w:left w:val="single" w:sz="1"/>
              <w:bottom w:val="single" w:sz="1"/>
              <w:right w:val="single" w:sz="1"/>
            </w:tcBorders>
            <w:vAlign w:val="top"/>
          </w:tcPr>
          <w:p>
            <w:r>
              <w:t xml:space="preserve">Merkle tree library: SHA-256, leaf/internal node domain separation, balanced tree, deterministic ordering</w:t>
            </w:r>
          </w:p>
        </w:tc>
      </w:tr>
      <w:tr>
        <w:tc>
          <w:tcPr>
            <w:tcW w:type="dxa" w:w="4788"/>
            <w:tcBorders>
              <w:top w:val="single" w:sz="1"/>
              <w:left w:val="single" w:sz="1"/>
              <w:bottom w:val="single" w:sz="1"/>
              <w:right w:val="single" w:sz="1"/>
            </w:tcBorders>
            <w:vAlign w:val="top"/>
          </w:tcPr>
          <w:p>
            <w:r>
              <w:t xml:space="preserve">3-4</w:t>
            </w:r>
          </w:p>
        </w:tc>
        <w:tc>
          <w:tcPr>
            <w:tcW w:type="dxa" w:w="4788"/>
            <w:tcBorders>
              <w:top w:val="single" w:sz="1"/>
              <w:left w:val="single" w:sz="1"/>
              <w:bottom w:val="single" w:sz="1"/>
              <w:right w:val="single" w:sz="1"/>
            </w:tcBorders>
            <w:vAlign w:val="top"/>
          </w:tcPr>
          <w:p>
            <w:r>
              <w:t xml:space="preserve">Batch scheduler: configurable interval, min/max batch size, single-document fallback</w:t>
            </w:r>
          </w:p>
        </w:tc>
      </w:tr>
      <w:tr>
        <w:tc>
          <w:tcPr>
            <w:tcW w:type="dxa" w:w="4788"/>
            <w:tcBorders>
              <w:top w:val="single" w:sz="1"/>
              <w:left w:val="single" w:sz="1"/>
              <w:bottom w:val="single" w:sz="1"/>
              <w:right w:val="single" w:sz="1"/>
            </w:tcBorders>
            <w:vAlign w:val="top"/>
          </w:tcPr>
          <w:p>
            <w:r>
              <w:t xml:space="preserve">5-6</w:t>
            </w:r>
          </w:p>
        </w:tc>
        <w:tc>
          <w:tcPr>
            <w:tcW w:type="dxa" w:w="4788"/>
            <w:tcBorders>
              <w:top w:val="single" w:sz="1"/>
              <w:left w:val="single" w:sz="1"/>
              <w:bottom w:val="single" w:sz="1"/>
              <w:right w:val="single" w:sz="1"/>
            </w:tcBorders>
            <w:vAlign w:val="top"/>
          </w:tcPr>
          <w:p>
            <w:r>
              <w:t xml:space="preserve">Proof format: JSON schema, serialization/deserialization, proof generation</w:t>
            </w:r>
          </w:p>
        </w:tc>
      </w:tr>
      <w:tr>
        <w:tc>
          <w:tcPr>
            <w:tcW w:type="dxa" w:w="4788"/>
            <w:tcBorders>
              <w:top w:val="single" w:sz="1"/>
              <w:left w:val="single" w:sz="1"/>
              <w:bottom w:val="single" w:sz="1"/>
              <w:right w:val="single" w:sz="1"/>
            </w:tcBorders>
            <w:vAlign w:val="top"/>
          </w:tcPr>
          <w:p>
            <w:r>
              <w:t xml:space="preserve">7-8</w:t>
            </w:r>
          </w:p>
        </w:tc>
        <w:tc>
          <w:tcPr>
            <w:tcW w:type="dxa" w:w="4788"/>
            <w:tcBorders>
              <w:top w:val="single" w:sz="1"/>
              <w:left w:val="single" w:sz="1"/>
              <w:bottom w:val="single" w:sz="1"/>
              <w:right w:val="single" w:sz="1"/>
            </w:tcBorders>
            <w:vAlign w:val="top"/>
          </w:tcPr>
          <w:p>
            <w:r>
              <w:t xml:space="preserve">RBF fee management: initial low fee, progressive bumping, UTXO consolidation</w:t>
            </w:r>
          </w:p>
        </w:tc>
      </w:tr>
      <w:tr>
        <w:tc>
          <w:tcPr>
            <w:tcW w:type="dxa" w:w="4788"/>
            <w:tcBorders>
              <w:top w:val="single" w:sz="1"/>
              <w:left w:val="single" w:sz="1"/>
              <w:bottom w:val="single" w:sz="1"/>
              <w:right w:val="single" w:sz="1"/>
            </w:tcBorders>
            <w:vAlign w:val="top"/>
          </w:tcPr>
          <w:p>
            <w:r>
              <w:t xml:space="preserve">9-10</w:t>
            </w:r>
          </w:p>
        </w:tc>
        <w:tc>
          <w:tcPr>
            <w:tcW w:type="dxa" w:w="4788"/>
            <w:tcBorders>
              <w:top w:val="single" w:sz="1"/>
              <w:left w:val="single" w:sz="1"/>
              <w:bottom w:val="single" w:sz="1"/>
              <w:right w:val="single" w:sz="1"/>
            </w:tcBorders>
            <w:vAlign w:val="top"/>
          </w:tcPr>
          <w:p>
            <w:r>
              <w:t xml:space="preserve">Integration testing on signet with simulated load (1K, 10K, 100K batches)</w:t>
            </w:r>
          </w:p>
        </w:tc>
      </w:tr>
      <w:tr>
        <w:tc>
          <w:tcPr>
            <w:tcW w:type="dxa" w:w="4788"/>
            <w:tcBorders>
              <w:top w:val="single" w:sz="1"/>
              <w:left w:val="single" w:sz="1"/>
              <w:bottom w:val="single" w:sz="1"/>
              <w:right w:val="single" w:sz="1"/>
            </w:tcBorders>
            <w:vAlign w:val="top"/>
          </w:tcPr>
          <w:p>
            <w:r>
              <w:t xml:space="preserve">11-12</w:t>
            </w:r>
          </w:p>
        </w:tc>
        <w:tc>
          <w:tcPr>
            <w:tcW w:type="dxa" w:w="4788"/>
            <w:tcBorders>
              <w:top w:val="single" w:sz="1"/>
              <w:left w:val="single" w:sz="1"/>
              <w:bottom w:val="single" w:sz="1"/>
              <w:right w:val="single" w:sz="1"/>
            </w:tcBorders>
            <w:vAlign w:val="top"/>
          </w:tcPr>
          <w:p>
            <w:r>
              <w:t xml:space="preserve">Mainnet deployment with KMS provisioning</w:t>
            </w:r>
          </w:p>
        </w:tc>
      </w:tr>
    </w:tbl>
    <w:p>
      <w:pPr>
        <w:spacing w:after="120"/>
      </w:pPr>
      <w:r>
        <w:rPr>
          <w:rFonts w:ascii="Arial" w:cs="Arial" w:eastAsia="Arial" w:hAnsi="Arial"/>
          <w:b/>
          <w:bCs/>
        </w:rPr>
        <w:t xml:space="preserve">Dependencies:</w:t>
      </w:r>
      <w:r>
        <w:rPr>
          <w:rFonts w:ascii="Arial" w:cs="Arial" w:eastAsia="Arial" w:hAnsi="Arial"/>
        </w:rPr>
        <w:t xml:space="preserve"> AWS KMS provisioning (parallel track), mainnet fee account funding.</w:t>
      </w:r>
    </w:p>
    <w:p>
      <w:pPr>
        <w:pStyle w:val="Heading3"/>
        <w:spacing w:after="120" w:before="240"/>
        <w:outlineLvl w:val="2"/>
      </w:pPr>
      <w:r>
        <w:t xml:space="preserve">Phase 2: P2C Migration (Q3-Q4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W w:type="dxa" w:w="4788"/>
            <w:tcBorders>
              <w:top w:val="single" w:sz="1"/>
              <w:left w:val="single" w:sz="1"/>
              <w:bottom w:val="single" w:sz="1"/>
              <w:right w:val="single" w:sz="1"/>
            </w:tcBorders>
            <w:shd w:fill="D3D3D3" w:val="clear"/>
            <w:vAlign w:val="center"/>
          </w:tcPr>
          <w:p>
            <w:r>
              <w:t xml:space="preserve">Week</w:t>
            </w:r>
          </w:p>
        </w:tc>
        <w:tc>
          <w:tcPr>
            <w:tcW w:type="dxa" w:w="4788"/>
            <w:tcBorders>
              <w:top w:val="single" w:sz="1"/>
              <w:left w:val="single" w:sz="1"/>
              <w:bottom w:val="single" w:sz="1"/>
              <w:right w:val="single" w:sz="1"/>
            </w:tcBorders>
            <w:shd w:fill="D3D3D3" w:val="clear"/>
            <w:vAlign w:val="center"/>
          </w:tcPr>
          <w:p>
            <w:r>
              <w:t xml:space="preserve">Deliverable</w:t>
            </w:r>
          </w:p>
        </w:tc>
      </w:tr>
      <w:tr>
        <w:tc>
          <w:tcPr>
            <w:tcW w:type="dxa" w:w="4788"/>
            <w:tcBorders>
              <w:top w:val="single" w:sz="1"/>
              <w:left w:val="single" w:sz="1"/>
              <w:bottom w:val="single" w:sz="1"/>
              <w:right w:val="single" w:sz="1"/>
            </w:tcBorders>
            <w:vAlign w:val="top"/>
          </w:tcPr>
          <w:p>
            <w:r>
              <w:t xml:space="preserve">1-3</w:t>
            </w:r>
          </w:p>
        </w:tc>
        <w:tc>
          <w:tcPr>
            <w:tcW w:type="dxa" w:w="4788"/>
            <w:tcBorders>
              <w:top w:val="single" w:sz="1"/>
              <w:left w:val="single" w:sz="1"/>
              <w:bottom w:val="single" w:sz="1"/>
              <w:right w:val="single" w:sz="1"/>
            </w:tcBorders>
            <w:vAlign w:val="top"/>
          </w:tcPr>
          <w:p>
            <w:r>
              <w:t xml:space="preserve">P2C commitment library: Taproot key tweaking, tweaked key derivation, spend path for fund recovery</w:t>
            </w:r>
          </w:p>
        </w:tc>
      </w:tr>
      <w:tr>
        <w:tc>
          <w:tcPr>
            <w:tcW w:type="dxa" w:w="4788"/>
            <w:tcBorders>
              <w:top w:val="single" w:sz="1"/>
              <w:left w:val="single" w:sz="1"/>
              <w:bottom w:val="single" w:sz="1"/>
              <w:right w:val="single" w:sz="1"/>
            </w:tcBorders>
            <w:vAlign w:val="top"/>
          </w:tcPr>
          <w:p>
            <w:r>
              <w:t xml:space="preserve">4-6</w:t>
            </w:r>
          </w:p>
        </w:tc>
        <w:tc>
          <w:tcPr>
            <w:tcW w:type="dxa" w:w="4788"/>
            <w:tcBorders>
              <w:top w:val="single" w:sz="1"/>
              <w:left w:val="single" w:sz="1"/>
              <w:bottom w:val="single" w:sz="1"/>
              <w:right w:val="single" w:sz="1"/>
            </w:tcBorders>
            <w:vAlign w:val="top"/>
          </w:tcPr>
          <w:p>
            <w:r>
              <w:t xml:space="preserve">Migration path: dual-write (OP_RETURN + P2C) for transition period</w:t>
            </w:r>
          </w:p>
        </w:tc>
      </w:tr>
      <w:tr>
        <w:tc>
          <w:tcPr>
            <w:tcW w:type="dxa" w:w="4788"/>
            <w:tcBorders>
              <w:top w:val="single" w:sz="1"/>
              <w:left w:val="single" w:sz="1"/>
              <w:bottom w:val="single" w:sz="1"/>
              <w:right w:val="single" w:sz="1"/>
            </w:tcBorders>
            <w:vAlign w:val="top"/>
          </w:tcPr>
          <w:p>
            <w:r>
              <w:t xml:space="preserve">7-8</w:t>
            </w:r>
          </w:p>
        </w:tc>
        <w:tc>
          <w:tcPr>
            <w:tcW w:type="dxa" w:w="4788"/>
            <w:tcBorders>
              <w:top w:val="single" w:sz="1"/>
              <w:left w:val="single" w:sz="1"/>
              <w:bottom w:val="single" w:sz="1"/>
              <w:right w:val="single" w:sz="1"/>
            </w:tcBorders>
            <w:vAlign w:val="top"/>
          </w:tcPr>
          <w:p>
            <w:r>
              <w:t xml:space="preserve">Verification SDK update: support both OP_RETURN and P2C proof verification</w:t>
            </w:r>
          </w:p>
        </w:tc>
      </w:tr>
      <w:tr>
        <w:tc>
          <w:tcPr>
            <w:tcW w:type="dxa" w:w="4788"/>
            <w:tcBorders>
              <w:top w:val="single" w:sz="1"/>
              <w:left w:val="single" w:sz="1"/>
              <w:bottom w:val="single" w:sz="1"/>
              <w:right w:val="single" w:sz="1"/>
            </w:tcBorders>
            <w:vAlign w:val="top"/>
          </w:tcPr>
          <w:p>
            <w:r>
              <w:t xml:space="preserve">9-10</w:t>
            </w:r>
          </w:p>
        </w:tc>
        <w:tc>
          <w:tcPr>
            <w:tcW w:type="dxa" w:w="4788"/>
            <w:tcBorders>
              <w:top w:val="single" w:sz="1"/>
              <w:left w:val="single" w:sz="1"/>
              <w:bottom w:val="single" w:sz="1"/>
              <w:right w:val="single" w:sz="1"/>
            </w:tcBorders>
            <w:vAlign w:val="top"/>
          </w:tcPr>
          <w:p>
            <w:r>
              <w:t xml:space="preserve">Sunset OP_RETURN anchoring (new anchors P2C only, old proofs remain valid)</w:t>
            </w:r>
          </w:p>
        </w:tc>
      </w:tr>
    </w:tbl>
    <w:p>
      <w:pPr>
        <w:spacing w:after="120"/>
      </w:pPr>
      <w:r>
        <w:rPr>
          <w:rFonts w:ascii="Arial" w:cs="Arial" w:eastAsia="Arial" w:hAnsi="Arial"/>
          <w:b/>
          <w:bCs/>
        </w:rPr>
        <w:t xml:space="preserve">Key decision:</w:t>
      </w:r>
      <w:r>
        <w:rPr>
          <w:rFonts w:ascii="Arial" w:cs="Arial" w:eastAsia="Arial" w:hAnsi="Arial"/>
        </w:rPr>
        <w:t xml:space="preserve"> Whether to make the P2C UTXO spendable (fund recovery) or burn it (simpler, but wastes sats). Recommendation: make it spendable — cycle funds back to the fee account.</w:t>
      </w:r>
    </w:p>
    <w:p>
      <w:pPr>
        <w:pStyle w:val="Heading3"/>
        <w:spacing w:after="120" w:before="240"/>
        <w:outlineLvl w:val="2"/>
      </w:pPr>
      <w:r>
        <w:t xml:space="preserve">Phase 3: Regulatory Qualification (Q1-Q2 2027)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W w:type="dxa" w:w="4788"/>
            <w:tcBorders>
              <w:top w:val="single" w:sz="1"/>
              <w:left w:val="single" w:sz="1"/>
              <w:bottom w:val="single" w:sz="1"/>
              <w:right w:val="single" w:sz="1"/>
            </w:tcBorders>
            <w:shd w:fill="D3D3D3" w:val="clear"/>
            <w:vAlign w:val="center"/>
          </w:tcPr>
          <w:p>
            <w:r>
              <w:t xml:space="preserve">Month</w:t>
            </w:r>
          </w:p>
        </w:tc>
        <w:tc>
          <w:tcPr>
            <w:tcW w:type="dxa" w:w="4788"/>
            <w:tcBorders>
              <w:top w:val="single" w:sz="1"/>
              <w:left w:val="single" w:sz="1"/>
              <w:bottom w:val="single" w:sz="1"/>
              <w:right w:val="single" w:sz="1"/>
            </w:tcBorders>
            <w:shd w:fill="D3D3D3" w:val="clear"/>
            <w:vAlign w:val="center"/>
          </w:tcPr>
          <w:p>
            <w:r>
              <w:t xml:space="preserve">Deliverable</w:t>
            </w:r>
          </w:p>
        </w:tc>
      </w:tr>
      <w:tr>
        <w:tc>
          <w:tcPr>
            <w:tcW w:type="dxa" w:w="4788"/>
            <w:tcBorders>
              <w:top w:val="single" w:sz="1"/>
              <w:left w:val="single" w:sz="1"/>
              <w:bottom w:val="single" w:sz="1"/>
              <w:right w:val="single" w:sz="1"/>
            </w:tcBorders>
            <w:vAlign w:val="top"/>
          </w:tcPr>
          <w:p>
            <w:r>
              <w:t xml:space="preserve">1-2</w:t>
            </w:r>
          </w:p>
        </w:tc>
        <w:tc>
          <w:tcPr>
            <w:tcW w:type="dxa" w:w="4788"/>
            <w:tcBorders>
              <w:top w:val="single" w:sz="1"/>
              <w:left w:val="single" w:sz="1"/>
              <w:bottom w:val="single" w:sz="1"/>
              <w:right w:val="single" w:sz="1"/>
            </w:tcBorders>
            <w:vAlign w:val="top"/>
          </w:tcPr>
          <w:p>
            <w:r>
              <w:t xml:space="preserve">RFC 3161 TSA implementation</w:t>
            </w:r>
          </w:p>
        </w:tc>
      </w:tr>
      <w:tr>
        <w:tc>
          <w:tcPr>
            <w:tcW w:type="dxa" w:w="4788"/>
            <w:tcBorders>
              <w:top w:val="single" w:sz="1"/>
              <w:left w:val="single" w:sz="1"/>
              <w:bottom w:val="single" w:sz="1"/>
              <w:right w:val="single" w:sz="1"/>
            </w:tcBorders>
            <w:vAlign w:val="top"/>
          </w:tcPr>
          <w:p>
            <w:r>
              <w:t xml:space="preserve">3-4</w:t>
            </w:r>
          </w:p>
        </w:tc>
        <w:tc>
          <w:tcPr>
            <w:tcW w:type="dxa" w:w="4788"/>
            <w:tcBorders>
              <w:top w:val="single" w:sz="1"/>
              <w:left w:val="single" w:sz="1"/>
              <w:bottom w:val="single" w:sz="1"/>
              <w:right w:val="single" w:sz="1"/>
            </w:tcBorders>
            <w:vAlign w:val="top"/>
          </w:tcPr>
          <w:p>
            <w:r>
              <w:t xml:space="preserve">QTSP conformity assessment preparation</w:t>
            </w:r>
          </w:p>
        </w:tc>
      </w:tr>
      <w:tr>
        <w:tc>
          <w:tcPr>
            <w:tcW w:type="dxa" w:w="4788"/>
            <w:tcBorders>
              <w:top w:val="single" w:sz="1"/>
              <w:left w:val="single" w:sz="1"/>
              <w:bottom w:val="single" w:sz="1"/>
              <w:right w:val="single" w:sz="1"/>
            </w:tcBorders>
            <w:vAlign w:val="top"/>
          </w:tcPr>
          <w:p>
            <w:r>
              <w:t xml:space="preserve">5-6</w:t>
            </w:r>
          </w:p>
        </w:tc>
        <w:tc>
          <w:tcPr>
            <w:tcW w:type="dxa" w:w="4788"/>
            <w:tcBorders>
              <w:top w:val="single" w:sz="1"/>
              <w:left w:val="single" w:sz="1"/>
              <w:bottom w:val="single" w:sz="1"/>
              <w:right w:val="single" w:sz="1"/>
            </w:tcBorders>
            <w:vAlign w:val="top"/>
          </w:tcPr>
          <w:p>
            <w:r>
              <w:t xml:space="preserve">eIDAS 2.0 Electronic Ledger qualification application</w:t>
            </w:r>
          </w:p>
        </w:tc>
      </w:tr>
    </w:tbl>
    <w:p>
      <w:pPr>
        <w:spacing w:after="120"/>
      </w:pPr>
      <w:r>
        <w:rPr>
          <w:rFonts w:ascii="Arial" w:cs="Arial" w:eastAsia="Arial" w:hAnsi="Arial"/>
          <w:b/>
          <w:bCs/>
        </w:rPr>
        <w:t xml:space="preserve">Dependencies:</w:t>
      </w:r>
      <w:r>
        <w:rPr>
          <w:rFonts w:ascii="Arial" w:cs="Arial" w:eastAsia="Arial" w:hAnsi="Arial"/>
        </w:rPr>
        <w:t xml:space="preserve"> Legal counsel for QTSP application, conformity assessment body selection.</w:t>
      </w:r>
    </w:p>
    <w:p>
      <w:pPr>
        <w:pStyle w:val="Heading3"/>
        <w:spacing w:after="120" w:before="240"/>
        <w:outlineLvl w:val="2"/>
      </w:pPr>
      <w:r>
        <w:t xml:space="preserve">Phase 4: Advanced Features (Q3 2027+)</w:t>
      </w:r>
    </w:p>
    <w:p>
      <w:pPr>
        <w:pStyle w:val="ListParagraph"/>
        <w:numPr>
          <w:ilvl w:val="0"/>
          <w:numId w:val="1"/>
        </w:numPr>
        <w:spacing w:after="100"/>
      </w:pPr>
      <w:r>
        <w:t xml:space="preserve">Staychain implementation (linked batch transactions)</w:t>
      </w:r>
    </w:p>
    <w:p>
      <w:pPr>
        <w:pStyle w:val="ListParagraph"/>
        <w:numPr>
          <w:ilvl w:val="0"/>
          <w:numId w:val="1"/>
        </w:numPr>
        <w:spacing w:after="100"/>
      </w:pPr>
      <w:r>
        <w:t xml:space="preserve">Multi-region anchoring (Bitcoin + one backup chain for regulatory redundancy)</w:t>
      </w:r>
    </w:p>
    <w:p>
      <w:pPr>
        <w:pStyle w:val="ListParagraph"/>
        <w:numPr>
          <w:ilvl w:val="0"/>
          <w:numId w:val="1"/>
        </w:numPr>
        <w:spacing w:after="100"/>
      </w:pPr>
      <w:r>
        <w:t xml:space="preserve">Zero-knowledge proof of anchor (prove a credential is anchored without revealing which transaction)</w:t>
      </w:r>
    </w:p>
    <w:p>
      <w:pPr>
        <w:pStyle w:val="ListParagraph"/>
        <w:numPr>
          <w:ilvl w:val="0"/>
          <w:numId w:val="1"/>
        </w:numPr>
        <w:spacing w:after="100"/>
      </w:pPr>
      <w:r>
        <w:t xml:space="preserve">Threshold signatures for batch signing (replace single KMS key with M-of-N)</w:t>
      </w:r>
    </w:p>
    <w:p>
      <w:pPr>
        <w:pStyle w:val="Heading2"/>
        <w:spacing w:after="120" w:before="240"/>
        <w:outlineLvl w:val="1"/>
      </w:pPr>
      <w:r>
        <w:t xml:space="preserve">10. Risks &amp; Mitigations</w:t>
      </w:r>
    </w:p>
    <w:p>
      <w:pPr>
        <w:pStyle w:val="Heading3"/>
        <w:spacing w:after="120" w:before="240"/>
        <w:outlineLvl w:val="2"/>
      </w:pPr>
      <w:r>
        <w:t xml:space="preserve">10.1 Bitcoin Fee Spikes</w:t>
      </w:r>
    </w:p>
    <w:p>
      <w:pPr>
        <w:spacing w:after="120"/>
      </w:pPr>
      <w:r>
        <w:rPr>
          <w:rFonts w:ascii="Arial" w:cs="Arial" w:eastAsia="Arial" w:hAnsi="Arial"/>
          <w:b/>
          <w:bCs/>
        </w:rPr>
        <w:t xml:space="preserve">Risk:</w:t>
      </w:r>
      <w:r>
        <w:rPr>
          <w:rFonts w:ascii="Arial" w:cs="Arial" w:eastAsia="Arial" w:hAnsi="Arial"/>
        </w:rPr>
        <w:t xml:space="preserve"> Extended high-fee periods (50+ sat/vB for weeks) making anchoring expensive.</w:t>
      </w:r>
    </w:p>
    <w:p>
      <w:pPr>
        <w:spacing w:after="120"/>
      </w:pPr>
      <w:r>
        <w:rPr>
          <w:rFonts w:ascii="Arial" w:cs="Arial" w:eastAsia="Arial" w:hAnsi="Arial"/>
          <w:b/>
          <w:bCs/>
        </w:rPr>
        <w:t xml:space="preserve">Mitigation:</w:t>
      </w:r>
      <w:r>
        <w:rPr>
          <w:rFonts w:ascii="Arial" w:cs="Arial" w:eastAsia="Arial" w:hAnsi="Arial"/>
        </w:rPr>
        <w:t xml:space="preserve"> Merkle batching absorbs fee spikes gracefully — a 10x fee increase with 1,000-document batches still costs &lt; $0.01/anchor. RBF strategy ensures Arkova doesn't overpay during spikes. Worst case: increase batch interval during high-fee periods to accumulate more documents per batch.</w:t>
      </w:r>
    </w:p>
    <w:p>
      <w:pPr>
        <w:pStyle w:val="Heading3"/>
        <w:spacing w:after="120" w:before="240"/>
        <w:outlineLvl w:val="2"/>
      </w:pPr>
      <w:r>
        <w:t xml:space="preserve">10.2 Bitcoin Protocol Changes</w:t>
      </w:r>
    </w:p>
    <w:p>
      <w:pPr>
        <w:spacing w:after="120"/>
      </w:pPr>
      <w:r>
        <w:rPr>
          <w:rFonts w:ascii="Arial" w:cs="Arial" w:eastAsia="Arial" w:hAnsi="Arial"/>
          <w:b/>
          <w:bCs/>
        </w:rPr>
        <w:t xml:space="preserve">Risk:</w:t>
      </w:r>
      <w:r>
        <w:rPr>
          <w:rFonts w:ascii="Arial" w:cs="Arial" w:eastAsia="Arial" w:hAnsi="Arial"/>
        </w:rPr>
        <w:t xml:space="preserve"> Future Bitcoin Core releases restrict or modify OP_RETURN behavior.</w:t>
      </w:r>
    </w:p>
    <w:p>
      <w:pPr>
        <w:spacing w:after="120"/>
      </w:pPr>
      <w:r>
        <w:rPr>
          <w:rFonts w:ascii="Arial" w:cs="Arial" w:eastAsia="Arial" w:hAnsi="Arial"/>
          <w:b/>
          <w:bCs/>
        </w:rPr>
        <w:t xml:space="preserve">Mitigation:</w:t>
      </w:r>
      <w:r>
        <w:rPr>
          <w:rFonts w:ascii="Arial" w:cs="Arial" w:eastAsia="Arial" w:hAnsi="Arial"/>
        </w:rPr>
        <w:t xml:space="preserve"> The v30 changes moved in the opposite direction (expanded limits). However, P2C migration (Phase 2) eliminates this risk entirely — P2C commitments are indistinguishable from normal transactions and cannot be policy-filtered. This is the strongest argument for Phase 2.</w:t>
      </w:r>
    </w:p>
    <w:p>
      <w:pPr>
        <w:pStyle w:val="Heading3"/>
        <w:spacing w:after="120" w:before="240"/>
        <w:outlineLvl w:val="2"/>
      </w:pPr>
      <w:r>
        <w:t xml:space="preserve">10.3 Node Policy Fragmentation</w:t>
      </w:r>
    </w:p>
    <w:p>
      <w:pPr>
        <w:spacing w:after="120"/>
      </w:pPr>
      <w:r>
        <w:rPr>
          <w:rFonts w:ascii="Arial" w:cs="Arial" w:eastAsia="Arial" w:hAnsi="Arial"/>
          <w:b/>
          <w:bCs/>
        </w:rPr>
        <w:t xml:space="preserve">Risk:</w:t>
      </w:r>
      <w:r>
        <w:rPr>
          <w:rFonts w:ascii="Arial" w:cs="Arial" w:eastAsia="Arial" w:hAnsi="Arial"/>
        </w:rPr>
        <w:t xml:space="preserve"> ~12% of nodes run Bitcoin Knots with stricter relay policies. Arkova's transactions might not propagate to all nodes.</w:t>
      </w:r>
    </w:p>
    <w:p>
      <w:pPr>
        <w:spacing w:after="120"/>
      </w:pPr>
      <w:r>
        <w:rPr>
          <w:rFonts w:ascii="Arial" w:cs="Arial" w:eastAsia="Arial" w:hAnsi="Arial"/>
          <w:b/>
          <w:bCs/>
        </w:rPr>
        <w:t xml:space="preserve">Mitigation:</w:t>
      </w:r>
      <w:r>
        <w:rPr>
          <w:rFonts w:ascii="Arial" w:cs="Arial" w:eastAsia="Arial" w:hAnsi="Arial"/>
        </w:rPr>
        <w:t xml:space="preserve"> Arkova's OP_RETURN transactions (32-byte payload) are well within even Knots' 80-byte limit. No issue today. P2C transactions are indistinguishable from normal Taproot spends — universally relayed.</w:t>
      </w:r>
    </w:p>
    <w:p>
      <w:pPr>
        <w:pStyle w:val="Heading3"/>
        <w:spacing w:after="120" w:before="240"/>
        <w:outlineLvl w:val="2"/>
      </w:pPr>
      <w:r>
        <w:t xml:space="preserve">10.4 Key Compromise (AWS KMS)</w:t>
      </w:r>
    </w:p>
    <w:p>
      <w:pPr>
        <w:spacing w:after="120"/>
      </w:pPr>
      <w:r>
        <w:rPr>
          <w:rFonts w:ascii="Arial" w:cs="Arial" w:eastAsia="Arial" w:hAnsi="Arial"/>
          <w:b/>
          <w:bCs/>
        </w:rPr>
        <w:t xml:space="preserve">Risk:</w:t>
      </w:r>
      <w:r>
        <w:rPr>
          <w:rFonts w:ascii="Arial" w:cs="Arial" w:eastAsia="Arial" w:hAnsi="Arial"/>
        </w:rPr>
        <w:t xml:space="preserve"> AWS KMS key used for signing anchoring transactions is compromised.</w:t>
      </w:r>
    </w:p>
    <w:p>
      <w:pPr>
        <w:spacing w:after="120"/>
      </w:pPr>
      <w:r>
        <w:rPr>
          <w:rFonts w:ascii="Arial" w:cs="Arial" w:eastAsia="Arial" w:hAnsi="Arial"/>
          <w:b/>
          <w:bCs/>
        </w:rPr>
        <w:t xml:space="preserve">Mitigation:</w:t>
      </w:r>
      <w:r>
        <w:rPr>
          <w:rFonts w:ascii="Arial" w:cs="Arial" w:eastAsia="Arial" w:hAnsi="Arial"/>
        </w:rPr>
        <w:t xml:space="preserve"> KMS provides hardware-backed key protection with audit logging. Implement key rotation schedule. For P2C, a compromised key means an attacker could create fake anchoring proofs — but they'd also need to create Bitcoin transactions, which requires the fee account UTXO. Separate the signing key from the UTXO access path.</w:t>
      </w:r>
    </w:p>
    <w:p>
      <w:pPr>
        <w:pStyle w:val="Heading3"/>
        <w:spacing w:after="120" w:before="240"/>
        <w:outlineLvl w:val="2"/>
      </w:pPr>
      <w:r>
        <w:t xml:space="preserve">10.5 Merkle Proof Storage Loss</w:t>
      </w:r>
    </w:p>
    <w:p>
      <w:pPr>
        <w:spacing w:after="120"/>
      </w:pPr>
      <w:r>
        <w:rPr>
          <w:rFonts w:ascii="Arial" w:cs="Arial" w:eastAsia="Arial" w:hAnsi="Arial"/>
          <w:b/>
          <w:bCs/>
        </w:rPr>
        <w:t xml:space="preserve">Risk:</w:t>
      </w:r>
      <w:r>
        <w:rPr>
          <w:rFonts w:ascii="Arial" w:cs="Arial" w:eastAsia="Arial" w:hAnsi="Arial"/>
        </w:rPr>
        <w:t xml:space="preserve"> Merkle proofs stored off-chain (DynamoDB/S3) are lost. Without proofs, individual documents can't be verified against the on-chain root.</w:t>
      </w:r>
    </w:p>
    <w:p>
      <w:pPr>
        <w:spacing w:after="120"/>
      </w:pPr>
      <w:r>
        <w:rPr>
          <w:rFonts w:ascii="Arial" w:cs="Arial" w:eastAsia="Arial" w:hAnsi="Arial"/>
          <w:b/>
          <w:bCs/>
        </w:rPr>
        <w:t xml:space="preserve">Mitigation:</w:t>
      </w:r>
      <w:r>
        <w:rPr>
          <w:rFonts w:ascii="Arial" w:cs="Arial" w:eastAsia="Arial" w:hAnsi="Arial"/>
        </w:rPr>
        <w:t xml:space="preserve"> S3 with cross-region replication and versioning. DynamoDB global tables. Regular proof export to cold storage. Consider publishing proof sets to IPFS as an additional redundancy layer. The Merkle tree can be reconstructed from the original document hashes if the batch membership list is preserved.</w:t>
      </w:r>
    </w:p>
    <w:p>
      <w:pPr>
        <w:pStyle w:val="Heading3"/>
        <w:spacing w:after="120" w:before="240"/>
        <w:outlineLvl w:val="2"/>
      </w:pPr>
      <w:r>
        <w:t xml:space="preserve">10.6 Regulatory Risk</w:t>
      </w:r>
    </w:p>
    <w:p>
      <w:pPr>
        <w:spacing w:after="120"/>
      </w:pPr>
      <w:r>
        <w:rPr>
          <w:rFonts w:ascii="Arial" w:cs="Arial" w:eastAsia="Arial" w:hAnsi="Arial"/>
          <w:b/>
          <w:bCs/>
        </w:rPr>
        <w:t xml:space="preserve">Risk:</w:t>
      </w:r>
      <w:r>
        <w:rPr>
          <w:rFonts w:ascii="Arial" w:cs="Arial" w:eastAsia="Arial" w:hAnsi="Arial"/>
        </w:rPr>
        <w:t xml:space="preserve"> A jurisdiction rules that Bitcoin-based timestamps don't meet legal requirements for Arkova's use case.</w:t>
      </w:r>
    </w:p>
    <w:p>
      <w:pPr>
        <w:spacing w:after="120"/>
      </w:pPr>
      <w:r>
        <w:rPr>
          <w:rFonts w:ascii="Arial" w:cs="Arial" w:eastAsia="Arial" w:hAnsi="Arial"/>
          <w:b/>
          <w:bCs/>
        </w:rPr>
        <w:t xml:space="preserve">Mitigation:</w:t>
      </w:r>
      <w:r>
        <w:rPr>
          <w:rFonts w:ascii="Arial" w:cs="Arial" w:eastAsia="Arial" w:hAnsi="Arial"/>
        </w:rPr>
        <w:t xml:space="preserve"> RFC 3161 wrapper (Phase 3) provides a standards-compliant fallback. The Bitcoin anchor becomes additional assurance on top of a legally recognized timestamp format. Belt-and-suspenders.</w:t>
      </w:r>
    </w:p>
    <w:p>
      <w:pPr>
        <w:pStyle w:val="Heading3"/>
        <w:spacing w:after="120" w:before="240"/>
        <w:outlineLvl w:val="2"/>
      </w:pPr>
      <w:r>
        <w:t xml:space="preserve">10.7 Reorg Risk</w:t>
      </w:r>
    </w:p>
    <w:p>
      <w:pPr>
        <w:spacing w:after="120"/>
      </w:pPr>
      <w:r>
        <w:rPr>
          <w:rFonts w:ascii="Arial" w:cs="Arial" w:eastAsia="Arial" w:hAnsi="Arial"/>
          <w:b/>
          <w:bCs/>
        </w:rPr>
        <w:t xml:space="preserve">Risk:</w:t>
      </w:r>
      <w:r>
        <w:rPr>
          <w:rFonts w:ascii="Arial" w:cs="Arial" w:eastAsia="Arial" w:hAnsi="Arial"/>
        </w:rPr>
        <w:t xml:space="preserve"> A Bitcoin blockchain reorganization invalidates a confirmed anchoring transaction.</w:t>
      </w:r>
    </w:p>
    <w:p>
      <w:pPr>
        <w:spacing w:after="120"/>
      </w:pPr>
      <w:r>
        <w:rPr>
          <w:rFonts w:ascii="Arial" w:cs="Arial" w:eastAsia="Arial" w:hAnsi="Arial"/>
          <w:b/>
          <w:bCs/>
        </w:rPr>
        <w:t xml:space="preserve">Mitigation:</w:t>
      </w:r>
      <w:r>
        <w:rPr>
          <w:rFonts w:ascii="Arial" w:cs="Arial" w:eastAsia="Arial" w:hAnsi="Arial"/>
        </w:rPr>
        <w:t xml:space="preserve"> Wait for 6 confirmations (~1 hour) before reporting an anchor as final. For high-value credentials, wait for 12+ confirmations. Reorgs deeper than 6 blocks have not occurred on Bitcoin mainnet in over a decade.</w:t>
      </w:r>
    </w:p>
    <w:p>
      <w:pPr>
        <w:pStyle w:val="Heading3"/>
        <w:spacing w:after="120" w:before="240"/>
        <w:outlineLvl w:val="2"/>
      </w:pPr>
      <w:r>
        <w:t xml:space="preserve">10.8 BTC Price Volatility</w:t>
      </w:r>
    </w:p>
    <w:p>
      <w:pPr>
        <w:spacing w:after="120"/>
      </w:pPr>
      <w:r>
        <w:rPr>
          <w:rFonts w:ascii="Arial" w:cs="Arial" w:eastAsia="Arial" w:hAnsi="Arial"/>
          <w:b/>
          <w:bCs/>
        </w:rPr>
        <w:t xml:space="preserve">Risk:</w:t>
      </w:r>
      <w:r>
        <w:rPr>
          <w:rFonts w:ascii="Arial" w:cs="Arial" w:eastAsia="Arial" w:hAnsi="Arial"/>
        </w:rPr>
        <w:t xml:space="preserve"> BTC price appreciation makes anchoring more expensive in USD terms.</w:t>
      </w:r>
    </w:p>
    <w:p>
      <w:pPr>
        <w:spacing w:after="120"/>
      </w:pPr>
      <w:r>
        <w:rPr>
          <w:rFonts w:ascii="Arial" w:cs="Arial" w:eastAsia="Arial" w:hAnsi="Arial"/>
          <w:b/>
          <w:bCs/>
        </w:rPr>
        <w:t xml:space="preserve">Mitigation:</w:t>
      </w:r>
      <w:r>
        <w:rPr>
          <w:rFonts w:ascii="Arial" w:cs="Arial" w:eastAsia="Arial" w:hAnsi="Arial"/>
        </w:rPr>
        <w:t xml:space="preserve"> With Merkle batching, the BTC amount per anchor is tiny (microcents). Even a 10x BTC price increase from $84K to $840K would only move costs from $0.00014/anchor to $0.0014/anchor at batch size 1,000. Still negligible.</w:t>
      </w:r>
    </w:p>
    <w:p>
      <w:pPr>
        <w:pStyle w:val="Heading2"/>
        <w:spacing w:after="120" w:before="240"/>
        <w:outlineLvl w:val="1"/>
      </w:pPr>
      <w:r>
        <w:t xml:space="preserve">11. Sources</w:t>
      </w:r>
    </w:p>
    <w:p>
      <w:pPr>
        <w:pStyle w:val="Heading3"/>
        <w:spacing w:after="120" w:before="240"/>
        <w:outlineLvl w:val="2"/>
      </w:pPr>
      <w:r>
        <w:t xml:space="preserve">Bitcoin Core &amp; Protocol</w:t>
      </w:r>
    </w:p>
    <w:p>
      <w:pPr>
        <w:pStyle w:val="ListParagraph"/>
        <w:numPr>
          <w:ilvl w:val="0"/>
          <w:numId w:val="1"/>
        </w:numPr>
        <w:spacing w:after="100"/>
      </w:pPr>
      <w:r>
        <w:t xml:space="preserve">[Bitcoin Core v30 OP_RETURN Changes — CoinDesk](https://www.coindesk.com/tech/2025/06/10/bitcoin-core-30-to-increase-op_return-data-limit-after-developer-debate-concludes)</w:t>
      </w:r>
    </w:p>
    <w:p>
      <w:pPr>
        <w:pStyle w:val="ListParagraph"/>
        <w:numPr>
          <w:ilvl w:val="0"/>
          <w:numId w:val="1"/>
        </w:numPr>
        <w:spacing w:after="100"/>
      </w:pPr>
      <w:r>
        <w:t xml:space="preserve">[Bitcoin Core v30 Release Guide — Yellow](https://yellow.com/en-US/research/bitcoin-core-v30-release-guide-opreturn-changes-wallet-updates-and-network-impact)</w:t>
      </w:r>
    </w:p>
    <w:p>
      <w:pPr>
        <w:pStyle w:val="ListParagraph"/>
        <w:numPr>
          <w:ilvl w:val="0"/>
          <w:numId w:val="1"/>
        </w:numPr>
        <w:spacing w:after="100"/>
      </w:pPr>
      <w:r>
        <w:t xml:space="preserve">[OP_RETURN Policy Merge — The Block](https://www.theblock.co/post/357594/bitcoin-core-devs-merge-controversial-op_return-policy-change-into-planned-october-release)</w:t>
      </w:r>
    </w:p>
    <w:p>
      <w:pPr>
        <w:pStyle w:val="ListParagraph"/>
        <w:numPr>
          <w:ilvl w:val="0"/>
          <w:numId w:val="1"/>
        </w:numPr>
        <w:spacing w:after="100"/>
      </w:pPr>
      <w:r>
        <w:t xml:space="preserve">[GitHub Issue #33619: Revert OP_RETURN Changes](https://github.com/bitcoin/bitcoin/issues/33619)</w:t>
      </w:r>
    </w:p>
    <w:p>
      <w:pPr>
        <w:pStyle w:val="ListParagraph"/>
        <w:numPr>
          <w:ilvl w:val="0"/>
          <w:numId w:val="1"/>
        </w:numPr>
        <w:spacing w:after="100"/>
      </w:pPr>
      <w:r>
        <w:t xml:space="preserve">[GitHub Issue #33595: Decouple Data Carrier Limits](https://github.com/bitcoin/bitcoin/issues/33595)</w:t>
      </w:r>
    </w:p>
    <w:p>
      <w:pPr>
        <w:pStyle w:val="ListParagraph"/>
        <w:numPr>
          <w:ilvl w:val="0"/>
          <w:numId w:val="1"/>
        </w:numPr>
        <w:spacing w:after="100"/>
      </w:pPr>
      <w:r>
        <w:t xml:space="preserve">[BIP 341 — Taproot Standard](https://github.com/bitcoin/bips/blob/master/bip-0341.mediawiki)</w:t>
      </w:r>
    </w:p>
    <w:p>
      <w:pPr>
        <w:pStyle w:val="ListParagraph"/>
        <w:numPr>
          <w:ilvl w:val="0"/>
          <w:numId w:val="1"/>
        </w:numPr>
        <w:spacing w:after="100"/>
      </w:pPr>
      <w:r>
        <w:t xml:space="preserve">[BIP 347 — OP_CAT in Tapscript](https://bips.dev/347/)</w:t>
      </w:r>
    </w:p>
    <w:p>
      <w:pPr>
        <w:pStyle w:val="ListParagraph"/>
        <w:numPr>
          <w:ilvl w:val="0"/>
          <w:numId w:val="1"/>
        </w:numPr>
        <w:spacing w:after="100"/>
      </w:pPr>
      <w:r>
        <w:t xml:space="preserve">[Bitcoin Optech — Taproot](https://bitcoinops.org/en/topics/taproot/)</w:t>
      </w:r>
    </w:p>
    <w:p>
      <w:pPr>
        <w:pStyle w:val="ListParagraph"/>
        <w:numPr>
          <w:ilvl w:val="0"/>
          <w:numId w:val="1"/>
        </w:numPr>
        <w:spacing w:after="100"/>
      </w:pPr>
      <w:r>
        <w:t xml:space="preserve">[Bitcoin Optech — Replace-by-Fee](https://bitcoinops.org/en/topics/replace-by-fee/)</w:t>
      </w:r>
    </w:p>
    <w:p>
      <w:pPr>
        <w:pStyle w:val="ListParagraph"/>
        <w:numPr>
          <w:ilvl w:val="0"/>
          <w:numId w:val="1"/>
        </w:numPr>
        <w:spacing w:after="100"/>
      </w:pPr>
      <w:r>
        <w:t xml:space="preserve">[Bitcoin Optech — OP_CAT](https://bitcoinops.org/en/topics/op_cat/)</w:t>
      </w:r>
    </w:p>
    <w:p>
      <w:pPr>
        <w:pStyle w:val="Heading3"/>
        <w:spacing w:after="120" w:before="240"/>
        <w:outlineLvl w:val="2"/>
      </w:pPr>
      <w:r>
        <w:t xml:space="preserve">Commitment Schemes &amp; Data Embedding</w:t>
      </w:r>
    </w:p>
    <w:p>
      <w:pPr>
        <w:pStyle w:val="ListParagraph"/>
        <w:numPr>
          <w:ilvl w:val="0"/>
          <w:numId w:val="1"/>
        </w:numPr>
        <w:spacing w:after="100"/>
      </w:pPr>
      <w:r>
        <w:t xml:space="preserve">[RGB Protocol Commitment Schemes](https://docs.rgb.info/commitment-layer/commitment-schemes)</w:t>
      </w:r>
    </w:p>
    <w:p>
      <w:pPr>
        <w:pStyle w:val="ListParagraph"/>
        <w:numPr>
          <w:ilvl w:val="0"/>
          <w:numId w:val="1"/>
        </w:numPr>
        <w:spacing w:after="100"/>
      </w:pPr>
      <w:r>
        <w:t xml:space="preserve">[LNPBP-1 Standard — Pay-to-Contract](https://github.com/LNP-BP/LNPBPs/blob/master/lnpbp-0001.md)</w:t>
      </w:r>
    </w:p>
    <w:p>
      <w:pPr>
        <w:pStyle w:val="ListParagraph"/>
        <w:numPr>
          <w:ilvl w:val="0"/>
          <w:numId w:val="1"/>
        </w:numPr>
        <w:spacing w:after="100"/>
      </w:pPr>
      <w:r>
        <w:t xml:space="preserve">[Taproot Script Path Deep Analysis](https://medium.com/@aaron.recompile/taproot-control-block-deep-analysis-stack-execution-visualization-5ff10f98032c)</w:t>
      </w:r>
    </w:p>
    <w:p>
      <w:pPr>
        <w:pStyle w:val="ListParagraph"/>
        <w:numPr>
          <w:ilvl w:val="0"/>
          <w:numId w:val="1"/>
        </w:numPr>
        <w:spacing w:after="100"/>
      </w:pPr>
      <w:r>
        <w:t xml:space="preserve">[How Bitcoin Inscriptions Really Work](https://www.chanalston.com/blog/how-bitcoin-inscription-really-work/)</w:t>
      </w:r>
    </w:p>
    <w:p>
      <w:pPr>
        <w:pStyle w:val="ListParagraph"/>
        <w:numPr>
          <w:ilvl w:val="0"/>
          <w:numId w:val="1"/>
        </w:numPr>
        <w:spacing w:after="100"/>
      </w:pPr>
      <w:r>
        <w:t xml:space="preserve">[Understanding Taproot Assets Protocol](https://medium.com/nayuta-engineering-blog-en/understanding-taproot-assets-protocol-e2dfe3fc1e07)</w:t>
      </w:r>
    </w:p>
    <w:p>
      <w:pPr>
        <w:pStyle w:val="ListParagraph"/>
        <w:numPr>
          <w:ilvl w:val="0"/>
          <w:numId w:val="1"/>
        </w:numPr>
        <w:spacing w:after="100"/>
      </w:pPr>
      <w:r>
        <w:t xml:space="preserve">[Ordinal Theory Handbook — Inscriptions](https://docs.ordinals.com/inscriptions.html)</w:t>
      </w:r>
    </w:p>
    <w:p>
      <w:pPr>
        <w:pStyle w:val="ListParagraph"/>
        <w:numPr>
          <w:ilvl w:val="0"/>
          <w:numId w:val="1"/>
        </w:numPr>
        <w:spacing w:after="100"/>
      </w:pPr>
      <w:r>
        <w:t xml:space="preserve">[The Witness Discount Explained](https://bitcoinmagazine.com/technical/the-witness-discount-why-some-bytes-are-cheaper-than-others)</w:t>
      </w:r>
    </w:p>
    <w:p>
      <w:pPr>
        <w:pStyle w:val="ListParagraph"/>
        <w:numPr>
          <w:ilvl w:val="0"/>
          <w:numId w:val="1"/>
        </w:numPr>
        <w:spacing w:after="100"/>
      </w:pPr>
      <w:r>
        <w:t xml:space="preserve">[BitVM Whitepaper](https://bitvm.org/bitvm.pdf)</w:t>
      </w:r>
    </w:p>
    <w:p>
      <w:pPr>
        <w:pStyle w:val="Heading3"/>
        <w:spacing w:after="120" w:before="240"/>
        <w:outlineLvl w:val="2"/>
      </w:pPr>
      <w:r>
        <w:t xml:space="preserve">Competing Protocols</w:t>
      </w:r>
    </w:p>
    <w:p>
      <w:pPr>
        <w:pStyle w:val="ListParagraph"/>
        <w:numPr>
          <w:ilvl w:val="0"/>
          <w:numId w:val="1"/>
        </w:numPr>
        <w:spacing w:after="100"/>
      </w:pPr>
      <w:r>
        <w:t xml:space="preserve">[OpenTimestamps](https://opentimestamps.org/)</w:t>
      </w:r>
    </w:p>
    <w:p>
      <w:pPr>
        <w:pStyle w:val="ListParagraph"/>
        <w:numPr>
          <w:ilvl w:val="0"/>
          <w:numId w:val="1"/>
        </w:numPr>
        <w:spacing w:after="100"/>
      </w:pPr>
      <w:r>
        <w:t xml:space="preserve">[OpenTimestamps Announcement — Peter Todd](https://petertodd.org/2016/opentimestamps-announcement)</w:t>
      </w:r>
    </w:p>
    <w:p>
      <w:pPr>
        <w:pStyle w:val="ListParagraph"/>
        <w:numPr>
          <w:ilvl w:val="0"/>
          <w:numId w:val="1"/>
        </w:numPr>
        <w:spacing w:after="100"/>
      </w:pPr>
      <w:r>
        <w:t xml:space="preserve">[Chainpoint Protocol](https://chainpoint.org/)</w:t>
      </w:r>
    </w:p>
    <w:p>
      <w:pPr>
        <w:pStyle w:val="ListParagraph"/>
        <w:numPr>
          <w:ilvl w:val="0"/>
          <w:numId w:val="1"/>
        </w:numPr>
        <w:spacing w:after="100"/>
      </w:pPr>
      <w:r>
        <w:t xml:space="preserve">[Proof of Existence](https://proofofexistence.com/)</w:t>
      </w:r>
    </w:p>
    <w:p>
      <w:pPr>
        <w:pStyle w:val="ListParagraph"/>
        <w:numPr>
          <w:ilvl w:val="0"/>
          <w:numId w:val="1"/>
        </w:numPr>
        <w:spacing w:after="100"/>
      </w:pPr>
      <w:r>
        <w:t xml:space="preserve">[Mainstay Documentation — CommerceBlock](https://commerceblock.readthedocs.io/en/latest/mainstay-con/index.html)</w:t>
      </w:r>
    </w:p>
    <w:p>
      <w:pPr>
        <w:pStyle w:val="ListParagraph"/>
        <w:numPr>
          <w:ilvl w:val="0"/>
          <w:numId w:val="1"/>
        </w:numPr>
        <w:spacing w:after="100"/>
      </w:pPr>
      <w:r>
        <w:t xml:space="preserve">[RGB Protocol](https://rgb.tech/)</w:t>
      </w:r>
    </w:p>
    <w:p>
      <w:pPr>
        <w:pStyle w:val="ListParagraph"/>
        <w:numPr>
          <w:ilvl w:val="0"/>
          <w:numId w:val="1"/>
        </w:numPr>
        <w:spacing w:after="100"/>
      </w:pPr>
      <w:r>
        <w:t xml:space="preserve">[RGB v0.12 Release](https://www.techpassion.net/cryptos/rgb-v0-12-bitcoin-smart-contracts-enter-the-production-era-with-zk-starks/2065/)</w:t>
      </w:r>
    </w:p>
    <w:p>
      <w:pPr>
        <w:pStyle w:val="ListParagraph"/>
        <w:numPr>
          <w:ilvl w:val="0"/>
          <w:numId w:val="1"/>
        </w:numPr>
        <w:spacing w:after="100"/>
      </w:pPr>
      <w:r>
        <w:t xml:space="preserve">[Stacks Proof of Transfer](https://docs.stacks.co/learn/stacks-101/proof-of-transfer)</w:t>
      </w:r>
    </w:p>
    <w:p>
      <w:pPr>
        <w:pStyle w:val="ListParagraph"/>
        <w:numPr>
          <w:ilvl w:val="0"/>
          <w:numId w:val="1"/>
        </w:numPr>
        <w:spacing w:after="100"/>
      </w:pPr>
      <w:r>
        <w:t xml:space="preserve">[OriginStamp Timestamping](https://originstamp.com/)</w:t>
      </w:r>
    </w:p>
    <w:p>
      <w:pPr>
        <w:pStyle w:val="ListParagraph"/>
        <w:numPr>
          <w:ilvl w:val="0"/>
          <w:numId w:val="1"/>
        </w:numPr>
        <w:spacing w:after="100"/>
      </w:pPr>
      <w:r>
        <w:t xml:space="preserve">[Accumulate Network](https://accumulatenetwork.io/)</w:t>
      </w:r>
    </w:p>
    <w:p>
      <w:pPr>
        <w:pStyle w:val="Heading3"/>
        <w:spacing w:after="120" w:before="240"/>
        <w:outlineLvl w:val="2"/>
      </w:pPr>
      <w:r>
        <w:t xml:space="preserve">Fee Market &amp; Cost Data</w:t>
      </w:r>
    </w:p>
    <w:p>
      <w:pPr>
        <w:pStyle w:val="ListParagraph"/>
        <w:numPr>
          <w:ilvl w:val="0"/>
          <w:numId w:val="1"/>
        </w:numPr>
        <w:spacing w:after="100"/>
      </w:pPr>
      <w:r>
        <w:t xml:space="preserve">[Bitcoin Average Transaction Fee — YCharts](https://ycharts.com/indicators/bitcoin_average_transaction_fee)</w:t>
      </w:r>
    </w:p>
    <w:p>
      <w:pPr>
        <w:pStyle w:val="ListParagraph"/>
        <w:numPr>
          <w:ilvl w:val="0"/>
          <w:numId w:val="1"/>
        </w:numPr>
        <w:spacing w:after="100"/>
      </w:pPr>
      <w:r>
        <w:t xml:space="preserve">[Bitcoin Transaction Fees — 99Bitcoins](https://99bitcoins.com/cryptocurrency/bitcoin/fees/)</w:t>
      </w:r>
    </w:p>
    <w:p>
      <w:pPr>
        <w:pStyle w:val="ListParagraph"/>
        <w:numPr>
          <w:ilvl w:val="0"/>
          <w:numId w:val="1"/>
        </w:numPr>
        <w:spacing w:after="100"/>
      </w:pPr>
      <w:r>
        <w:t xml:space="preserve">[Mempool.space](https://mempool.space/)</w:t>
      </w:r>
    </w:p>
    <w:p>
      <w:pPr>
        <w:pStyle w:val="ListParagraph"/>
        <w:numPr>
          <w:ilvl w:val="0"/>
          <w:numId w:val="1"/>
        </w:numPr>
        <w:spacing w:after="100"/>
      </w:pPr>
      <w:r>
        <w:t xml:space="preserve">[Bitcoin Optech Transaction Size Calculator](https://bitcoinops.org/en/tools/calc-size/)</w:t>
      </w:r>
    </w:p>
    <w:p>
      <w:pPr>
        <w:pStyle w:val="ListParagraph"/>
        <w:numPr>
          <w:ilvl w:val="0"/>
          <w:numId w:val="1"/>
        </w:numPr>
        <w:spacing w:after="100"/>
      </w:pPr>
      <w:r>
        <w:t xml:space="preserve">[When Are Bitcoin Fees Lowest — Bitget](https://www.bitget.com/wiki/when-are-bitcoin-fees-lowest)</w:t>
      </w:r>
    </w:p>
    <w:p>
      <w:pPr>
        <w:pStyle w:val="Heading3"/>
        <w:spacing w:after="120" w:before="240"/>
        <w:outlineLvl w:val="2"/>
      </w:pPr>
      <w:r>
        <w:t xml:space="preserve">Regulatory &amp; Standards</w:t>
      </w:r>
    </w:p>
    <w:p>
      <w:pPr>
        <w:pStyle w:val="ListParagraph"/>
        <w:numPr>
          <w:ilvl w:val="0"/>
          <w:numId w:val="1"/>
        </w:numPr>
        <w:spacing w:after="100"/>
      </w:pPr>
      <w:r>
        <w:t xml:space="preserve">[ISO/IEC 18014-1:2008](https://www.iso.org/standard/50678.html)</w:t>
      </w:r>
    </w:p>
    <w:p>
      <w:pPr>
        <w:pStyle w:val="ListParagraph"/>
        <w:numPr>
          <w:ilvl w:val="0"/>
          <w:numId w:val="1"/>
        </w:numPr>
        <w:spacing w:after="100"/>
      </w:pPr>
      <w:r>
        <w:t xml:space="preserve">[ISO/IEC 18014-2:2021](https://www.iso.org/standard/76155.html)</w:t>
      </w:r>
    </w:p>
    <w:p>
      <w:pPr>
        <w:pStyle w:val="ListParagraph"/>
        <w:numPr>
          <w:ilvl w:val="0"/>
          <w:numId w:val="1"/>
        </w:numPr>
        <w:spacing w:after="100"/>
      </w:pPr>
      <w:r>
        <w:t xml:space="preserve">[eIDAS 2.0 Compliance — Entrust](https://www.entrust.com/resources/learn/eidas-2)</w:t>
      </w:r>
    </w:p>
    <w:p>
      <w:pPr>
        <w:pStyle w:val="ListParagraph"/>
        <w:numPr>
          <w:ilvl w:val="0"/>
          <w:numId w:val="1"/>
        </w:numPr>
        <w:spacing w:after="100"/>
      </w:pPr>
      <w:r>
        <w:t xml:space="preserve">[Qualified Timestamps Legal Force](https://www.copyright.eu/docs/legal-force-of-qualified-electronic-timestamping-compared-to-others/)</w:t>
      </w:r>
    </w:p>
    <w:p>
      <w:pPr>
        <w:pStyle w:val="ListParagraph"/>
        <w:numPr>
          <w:ilvl w:val="0"/>
          <w:numId w:val="1"/>
        </w:numPr>
        <w:spacing w:after="100"/>
      </w:pPr>
      <w:r>
        <w:t xml:space="preserve">[RFC 3161 — Time-Stamp Protocol](https://www.rfc-editor.org/info/rfc3161)</w:t>
      </w:r>
    </w:p>
    <w:p>
      <w:pPr>
        <w:pStyle w:val="ListParagraph"/>
        <w:numPr>
          <w:ilvl w:val="0"/>
          <w:numId w:val="1"/>
        </w:numPr>
        <w:spacing w:after="100"/>
      </w:pPr>
      <w:r>
        <w:t xml:space="preserve">[IETF Draft — Distributed Ledger Time-Stamp](https://datatracker.ietf.org/doc/draft-intesigroup-dlts/11/)</w:t>
      </w:r>
    </w:p>
    <w:p>
      <w:pPr>
        <w:pStyle w:val="ListParagraph"/>
        <w:numPr>
          <w:ilvl w:val="0"/>
          <w:numId w:val="1"/>
        </w:numPr>
        <w:spacing w:after="100"/>
      </w:pPr>
      <w:r>
        <w:t xml:space="preserve">[NIST IR 8202 — Blockchain Technology Overview](https://csrc.nist.gov/pubs/ir/8202/final)</w:t>
      </w:r>
    </w:p>
    <w:p>
      <w:pPr>
        <w:pStyle w:val="ListParagraph"/>
        <w:numPr>
          <w:ilvl w:val="0"/>
          <w:numId w:val="1"/>
        </w:numPr>
        <w:spacing w:after="100"/>
      </w:pPr>
      <w:r>
        <w:t xml:space="preserve">[ETSI EN 319 421 V1.3.1](https://www.etsi.org/deliver/etsi_en/319400_319499/319421/01.03.01_30/en_319421v010301v.pdf)</w:t>
      </w:r>
    </w:p>
    <w:p>
      <w:pPr>
        <w:pStyle w:val="ListParagraph"/>
        <w:numPr>
          <w:ilvl w:val="0"/>
          <w:numId w:val="1"/>
        </w:numPr>
        <w:spacing w:after="100"/>
      </w:pPr>
      <w:r>
        <w:t xml:space="preserve">[Italy's Legal Recognition of Blockchain Timestamping](https://natlawreview.com/article/italy-s-legal-recognition-blockchain-based-timestamping)</w:t>
      </w:r>
    </w:p>
    <w:p>
      <w:pPr>
        <w:pStyle w:val="ListParagraph"/>
        <w:numPr>
          <w:ilvl w:val="0"/>
          <w:numId w:val="1"/>
        </w:numPr>
        <w:spacing w:after="100"/>
      </w:pPr>
      <w:r>
        <w:t xml:space="preserve">[Blockchain Evidence in Chinese Courts — Stanford](https://stanford-jblp.pubpub.org/pub/blockchain-evidence-courts-china)</w:t>
      </w:r>
    </w:p>
    <w:p>
      <w:pPr>
        <w:pStyle w:val="ListParagraph"/>
        <w:numPr>
          <w:ilvl w:val="0"/>
          <w:numId w:val="1"/>
        </w:numPr>
        <w:spacing w:after="100"/>
      </w:pPr>
      <w:r>
        <w:t xml:space="preserve">[Blockchain in the Courtroom — Frontiers](https://www.frontiersin.org/journals/blockchain/articles/10.3389/fbloc.2024.1306058/full)</w:t>
      </w:r>
    </w:p>
    <w:p>
      <w:pPr>
        <w:pStyle w:val="Heading3"/>
        <w:spacing w:after="120" w:before="240"/>
        <w:outlineLvl w:val="2"/>
      </w:pPr>
      <w:r>
        <w:t xml:space="preserve">BitcoinTalk Forum Threads</w:t>
      </w:r>
    </w:p>
    <w:p>
      <w:pPr>
        <w:pStyle w:val="ListParagraph"/>
        <w:numPr>
          <w:ilvl w:val="0"/>
          <w:numId w:val="1"/>
        </w:numPr>
        <w:spacing w:after="100"/>
      </w:pPr>
      <w:r>
        <w:t xml:space="preserve">[Timestamping on the Bitcoin Blockchain: limits](https://bitcointalk.org/index.php?topic=1282960.0)</w:t>
      </w:r>
    </w:p>
    <w:p>
      <w:pPr>
        <w:pStyle w:val="ListParagraph"/>
        <w:numPr>
          <w:ilvl w:val="0"/>
          <w:numId w:val="1"/>
        </w:numPr>
        <w:spacing w:after="100"/>
      </w:pPr>
      <w:r>
        <w:t xml:space="preserve">[OP_RETURN](https://bitcointalk.org/index.php?topic=418437.0)</w:t>
      </w:r>
    </w:p>
    <w:p>
      <w:pPr>
        <w:pStyle w:val="ListParagraph"/>
        <w:numPr>
          <w:ilvl w:val="0"/>
          <w:numId w:val="1"/>
        </w:numPr>
        <w:spacing w:after="100"/>
      </w:pPr>
      <w:r>
        <w:t xml:space="preserve">[Removing OP_return limits seems like a huge mistake](https://bitcointalk.org/index.php?topic=5539943.0)</w:t>
      </w:r>
    </w:p>
    <w:p>
      <w:pPr>
        <w:pStyle w:val="ListParagraph"/>
        <w:numPr>
          <w:ilvl w:val="0"/>
          <w:numId w:val="1"/>
        </w:numPr>
        <w:spacing w:after="100"/>
      </w:pPr>
      <w:r>
        <w:t xml:space="preserve">[Bitcoin Core or Bitcoin Knots, the OP_RETURN debate](https://bitcointalk.org/index.php?topic=5561660.40)</w:t>
      </w:r>
    </w:p>
    <w:p>
      <w:pPr>
        <w:pStyle w:val="ListParagraph"/>
        <w:numPr>
          <w:ilvl w:val="0"/>
          <w:numId w:val="1"/>
        </w:numPr>
        <w:spacing w:after="100"/>
      </w:pPr>
      <w:r>
        <w:t xml:space="preserve">[Signing file and proof of existence | OP_RETURN 80 +17 bytes](https://bitcointalk.org/index.php?topic=985451.0)</w:t>
      </w:r>
    </w:p>
    <w:p>
      <w:pPr>
        <w:pStyle w:val="ListParagraph"/>
        <w:numPr>
          <w:ilvl w:val="0"/>
          <w:numId w:val="1"/>
        </w:numPr>
        <w:spacing w:after="100"/>
      </w:pPr>
      <w:r>
        <w:t xml:space="preserve">[FACTOM — Introducing Honesty to Record-Keeping](https://bitcointalk.org/index.php?topic=850070.115)</w:t>
      </w:r>
    </w:p>
    <w:p>
      <w:pPr>
        <w:pStyle w:val="ListParagraph"/>
        <w:numPr>
          <w:ilvl w:val="0"/>
          <w:numId w:val="1"/>
        </w:numPr>
        <w:spacing w:after="100"/>
      </w:pPr>
      <w:r>
        <w:t xml:space="preserve">[Stampery.co — blockchain-based proof of ownership](https://bitcointalk.org/index.php?topic=1004372.0)</w:t>
      </w:r>
    </w:p>
    <w:p>
      <w:pPr>
        <w:pStyle w:val="ListParagraph"/>
        <w:numPr>
          <w:ilvl w:val="0"/>
          <w:numId w:val="1"/>
        </w:numPr>
        <w:spacing w:after="100"/>
      </w:pPr>
      <w:r>
        <w:t xml:space="preserve">[Using the Blockchain to Document Intellectual Property Rights](https://bitcointalk.org/index.php?topic=730822.0)</w:t>
      </w:r>
    </w:p>
    <w:p>
      <w:pPr>
        <w:pStyle w:val="ListParagraph"/>
        <w:numPr>
          <w:ilvl w:val="0"/>
          <w:numId w:val="1"/>
        </w:numPr>
        <w:spacing w:after="100"/>
      </w:pPr>
      <w:r>
        <w:t xml:space="preserve">[Merkle Trees and Merkle Roots for dummies](https://bitcointalk.org/index.php?topic=5272933.0)</w:t>
      </w:r>
    </w:p>
    <w:p>
      <w:pPr>
        <w:pStyle w:val="ListParagraph"/>
        <w:numPr>
          <w:ilvl w:val="0"/>
          <w:numId w:val="1"/>
        </w:numPr>
        <w:spacing w:after="100"/>
      </w:pPr>
      <w:r>
        <w:t xml:space="preserve">[Why do we need double hashing in a Merkle tree?](https://bitcointalk.org/index.php?topic=1151925.0)</w:t>
      </w:r>
    </w:p>
    <w:p>
      <w:pPr>
        <w:pStyle w:val="ListParagraph"/>
        <w:numPr>
          <w:ilvl w:val="0"/>
          <w:numId w:val="1"/>
        </w:numPr>
        <w:spacing w:after="100"/>
      </w:pPr>
      <w:r>
        <w:t xml:space="preserve">[How can taproot transactions manage to store so much data?](https://bitcointalk.org/index.php?topic=5491586.0)</w:t>
      </w:r>
    </w:p>
    <w:p>
      <w:pPr>
        <w:pStyle w:val="ListParagraph"/>
        <w:numPr>
          <w:ilvl w:val="0"/>
          <w:numId w:val="1"/>
        </w:numPr>
        <w:spacing w:after="100"/>
      </w:pPr>
      <w:r>
        <w:t xml:space="preserve">[Searching OP_RETURN data](https://bitcointalk.org/index.php?topic=600348.0)</w:t>
      </w:r>
    </w:p>
    <w:p>
      <w:pPr>
        <w:pStyle w:val="ListParagraph"/>
        <w:numPr>
          <w:ilvl w:val="0"/>
          <w:numId w:val="1"/>
        </w:numPr>
        <w:spacing w:after="100"/>
      </w:pPr>
      <w:r>
        <w:t xml:space="preserve">[Pruning OP_RETURNs with illegal content](https://bitcointalk.org/index.php?topic=950922.0)</w:t>
      </w:r>
    </w:p>
    <w:p>
      <w:pPr>
        <w:spacing w:after="120"/>
      </w:pPr>
      <w:r>
        <w:rPr>
          <w:rFonts w:ascii="Arial" w:cs="Arial" w:eastAsia="Arial" w:hAnsi="Arial"/>
          <w:i/>
          <w:iCs/>
        </w:rPr>
        <w:t xml:space="preserve">Document generated March 24, 2026. Research reflects Bitcoin protocol state as of Bitcoin Core v30 (October 2025) and fee market conditions through March 2026.</w:t>
      </w:r>
    </w:p>
    <w:p>
      <w:pPr>
        <w:pageBreakBefore/>
      </w:pPr>
    </w:p>
    <w:p>
      <w:pPr>
        <w:pStyle w:val="Heading1"/>
        <w:spacing w:after="120" w:before="240"/>
        <w:outlineLvl w:val="0"/>
      </w:pPr>
      <w:r>
        <w:t xml:space="preserve">Part 2: AI &amp; Nessie Strategy</w:t>
      </w:r>
    </w:p>
    <w:p>
      <w:pPr>
        <w:pStyle w:val="Heading1"/>
        <w:spacing w:after="120" w:before="240"/>
        <w:outlineLvl w:val="0"/>
      </w:pPr>
      <w:r>
        <w:t xml:space="preserve">Arkova AI Strategy: Research &amp; Recommendations</w:t>
      </w:r>
    </w:p>
    <w:p>
      <w:pPr>
        <w:spacing w:after="120"/>
      </w:pPr>
      <w:r>
        <w:rPr>
          <w:rFonts w:ascii="Arial" w:cs="Arial" w:eastAsia="Arial" w:hAnsi="Arial"/>
          <w:b/>
          <w:bCs/>
        </w:rPr>
        <w:t xml:space="preserve">Date:</w:t>
      </w:r>
      <w:r>
        <w:rPr>
          <w:rFonts w:ascii="Arial" w:cs="Arial" w:eastAsia="Arial" w:hAnsi="Arial"/>
        </w:rPr>
        <w:t xml:space="preserve"> March 24, 2026</w:t>
      </w:r>
    </w:p>
    <w:p>
      <w:pPr>
        <w:spacing w:after="120"/>
      </w:pPr>
      <w:r>
        <w:rPr>
          <w:rFonts w:ascii="Arial" w:cs="Arial" w:eastAsia="Arial" w:hAnsi="Arial"/>
          <w:b/>
          <w:bCs/>
        </w:rPr>
        <w:t xml:space="preserve">Scope:</w:t>
      </w:r>
      <w:r>
        <w:rPr>
          <w:rFonts w:ascii="Arial" w:cs="Arial" w:eastAsia="Arial" w:hAnsi="Arial"/>
        </w:rPr>
        <w:t xml:space="preserve"> Nessie SLM, Metadata Extraction, RAG Architecture, Client-Side AI, Evaluation, Competitive Intelligence</w:t>
      </w:r>
    </w:p>
    <w:p>
      <w:pPr>
        <w:pStyle w:val="Heading2"/>
        <w:spacing w:after="120" w:before="240"/>
        <w:outlineLvl w:val="1"/>
      </w:pPr>
      <w:r>
        <w:t xml:space="preserve">1. Fine-Tuning Best Practices for Nessie (Llama 3.1 8B)</w:t>
      </w:r>
    </w:p>
    <w:p>
      <w:pPr>
        <w:pStyle w:val="Heading3"/>
        <w:spacing w:after="120" w:before="240"/>
        <w:outlineLvl w:val="2"/>
      </w:pPr>
      <w:r>
        <w:t xml:space="preserve">1.1 LoRA Hyperparameter Recommendations</w:t>
      </w:r>
    </w:p>
    <w:p>
      <w:pPr>
        <w:spacing w:after="120"/>
      </w:pPr>
      <w:r>
        <w:rPr>
          <w:rFonts w:ascii="Arial" w:cs="Arial" w:eastAsia="Arial" w:hAnsi="Arial"/>
        </w:rPr>
        <w:t xml:space="preserve">Based on current community consensus from r/LocalLLaMA, Hugging Face, and Unsloth documentation: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400" w:hRule="atLeast"/>
        </w:trPr>
        <w:tc>
          <w:tcPr>
            <w:tcW w:type="dxa" w:w="3192"/>
            <w:tcBorders>
              <w:top w:val="single" w:sz="1"/>
              <w:left w:val="single" w:sz="1"/>
              <w:bottom w:val="single" w:sz="1"/>
              <w:right w:val="single" w:sz="1"/>
            </w:tcBorders>
            <w:shd w:fill="D3D3D3" w:val="clear"/>
            <w:vAlign w:val="center"/>
          </w:tcPr>
          <w:p>
            <w:r>
              <w:t xml:space="preserve">Parameter</w:t>
            </w:r>
          </w:p>
        </w:tc>
        <w:tc>
          <w:tcPr>
            <w:tcW w:type="dxa" w:w="3192"/>
            <w:tcBorders>
              <w:top w:val="single" w:sz="1"/>
              <w:left w:val="single" w:sz="1"/>
              <w:bottom w:val="single" w:sz="1"/>
              <w:right w:val="single" w:sz="1"/>
            </w:tcBorders>
            <w:shd w:fill="D3D3D3" w:val="clear"/>
            <w:vAlign w:val="center"/>
          </w:tcPr>
          <w:p>
            <w:r>
              <w:t xml:space="preserve">Recommended</w:t>
            </w:r>
          </w:p>
        </w:tc>
        <w:tc>
          <w:tcPr>
            <w:tcW w:type="dxa" w:w="3192"/>
            <w:tcBorders>
              <w:top w:val="single" w:sz="1"/>
              <w:left w:val="single" w:sz="1"/>
              <w:bottom w:val="single" w:sz="1"/>
              <w:right w:val="single" w:sz="1"/>
            </w:tcBorders>
            <w:shd w:fill="D3D3D3" w:val="clear"/>
            <w:vAlign w:val="center"/>
          </w:tcPr>
          <w:p>
            <w:r>
              <w:t xml:space="preserve">Notes</w:t>
            </w:r>
          </w:p>
        </w:tc>
      </w:tr>
      <w:tr>
        <w:tc>
          <w:tcPr>
            <w:tcW w:type="dxa" w:w="3192"/>
            <w:tcBorders>
              <w:top w:val="single" w:sz="1"/>
              <w:left w:val="single" w:sz="1"/>
              <w:bottom w:val="single" w:sz="1"/>
              <w:right w:val="single" w:sz="1"/>
            </w:tcBorders>
            <w:vAlign w:val="top"/>
          </w:tcPr>
          <w:p>
            <w:r>
              <w:t xml:space="preserve">**LoRA rank (r)**</w:t>
            </w:r>
          </w:p>
        </w:tc>
        <w:tc>
          <w:tcPr>
            <w:tcW w:type="dxa" w:w="3192"/>
            <w:tcBorders>
              <w:top w:val="single" w:sz="1"/>
              <w:left w:val="single" w:sz="1"/>
              <w:bottom w:val="single" w:sz="1"/>
              <w:right w:val="single" w:sz="1"/>
            </w:tcBorders>
            <w:vAlign w:val="top"/>
          </w:tcPr>
          <w:p>
            <w:r>
              <w:t xml:space="preserve">16–32 (start 16)</w:t>
            </w:r>
          </w:p>
        </w:tc>
        <w:tc>
          <w:tcPr>
            <w:tcW w:type="dxa" w:w="3192"/>
            <w:tcBorders>
              <w:top w:val="single" w:sz="1"/>
              <w:left w:val="single" w:sz="1"/>
              <w:bottom w:val="single" w:sz="1"/>
              <w:right w:val="single" w:sz="1"/>
            </w:tcBorders>
            <w:vAlign w:val="top"/>
          </w:tcPr>
          <w:p>
            <w:r>
              <w:t xml:space="preserve">r=32–64 for complex domain tasks (SEC, patents). r=16 sufficient for style adaptation</w:t>
            </w:r>
          </w:p>
        </w:tc>
      </w:tr>
      <w:tr>
        <w:tc>
          <w:tcPr>
            <w:tcW w:type="dxa" w:w="3192"/>
            <w:tcBorders>
              <w:top w:val="single" w:sz="1"/>
              <w:left w:val="single" w:sz="1"/>
              <w:bottom w:val="single" w:sz="1"/>
              <w:right w:val="single" w:sz="1"/>
            </w:tcBorders>
            <w:vAlign w:val="top"/>
          </w:tcPr>
          <w:p>
            <w:r>
              <w:t xml:space="preserve">**LoRA alpha**</w:t>
            </w:r>
          </w:p>
        </w:tc>
        <w:tc>
          <w:tcPr>
            <w:tcW w:type="dxa" w:w="3192"/>
            <w:tcBorders>
              <w:top w:val="single" w:sz="1"/>
              <w:left w:val="single" w:sz="1"/>
              <w:bottom w:val="single" w:sz="1"/>
              <w:right w:val="single" w:sz="1"/>
            </w:tcBorders>
            <w:vAlign w:val="top"/>
          </w:tcPr>
          <w:p>
            <w:r>
              <w:t xml:space="preserve">Equal to rank (16–32)</w:t>
            </w:r>
          </w:p>
        </w:tc>
        <w:tc>
          <w:tcPr>
            <w:tcW w:type="dxa" w:w="3192"/>
            <w:tcBorders>
              <w:top w:val="single" w:sz="1"/>
              <w:left w:val="single" w:sz="1"/>
              <w:bottom w:val="single" w:sz="1"/>
              <w:right w:val="single" w:sz="1"/>
            </w:tcBorders>
            <w:vAlign w:val="top"/>
          </w:tcPr>
          <w:p>
            <w:r>
              <w:t xml:space="preserve">Alpha/rank ratio of 1.0 is the stable default</w:t>
            </w:r>
          </w:p>
        </w:tc>
      </w:tr>
      <w:tr>
        <w:tc>
          <w:tcPr>
            <w:tcW w:type="dxa" w:w="3192"/>
            <w:tcBorders>
              <w:top w:val="single" w:sz="1"/>
              <w:left w:val="single" w:sz="1"/>
              <w:bottom w:val="single" w:sz="1"/>
              <w:right w:val="single" w:sz="1"/>
            </w:tcBorders>
            <w:vAlign w:val="top"/>
          </w:tcPr>
          <w:p>
            <w:r>
              <w:t xml:space="preserve">**Learning rate**</w:t>
            </w:r>
          </w:p>
        </w:tc>
        <w:tc>
          <w:tcPr>
            <w:tcW w:type="dxa" w:w="3192"/>
            <w:tcBorders>
              <w:top w:val="single" w:sz="1"/>
              <w:left w:val="single" w:sz="1"/>
              <w:bottom w:val="single" w:sz="1"/>
              <w:right w:val="single" w:sz="1"/>
            </w:tcBorders>
            <w:vAlign w:val="top"/>
          </w:tcPr>
          <w:p>
            <w:r>
              <w:t xml:space="preserve">2e-4</w:t>
            </w:r>
          </w:p>
        </w:tc>
        <w:tc>
          <w:tcPr>
            <w:tcW w:type="dxa" w:w="3192"/>
            <w:tcBorders>
              <w:top w:val="single" w:sz="1"/>
              <w:left w:val="single" w:sz="1"/>
              <w:bottom w:val="single" w:sz="1"/>
              <w:right w:val="single" w:sz="1"/>
            </w:tcBorders>
            <w:vAlign w:val="top"/>
          </w:tcPr>
          <w:p>
            <w:r>
              <w:t xml:space="preserve">Cosine warmup schedule; keep high rate for 80% of training, then decay</w:t>
            </w:r>
          </w:p>
        </w:tc>
      </w:tr>
      <w:tr>
        <w:tc>
          <w:tcPr>
            <w:tcW w:type="dxa" w:w="3192"/>
            <w:tcBorders>
              <w:top w:val="single" w:sz="1"/>
              <w:left w:val="single" w:sz="1"/>
              <w:bottom w:val="single" w:sz="1"/>
              <w:right w:val="single" w:sz="1"/>
            </w:tcBorders>
            <w:vAlign w:val="top"/>
          </w:tcPr>
          <w:p>
            <w:r>
              <w:t xml:space="preserve">**Batch size**</w:t>
            </w:r>
          </w:p>
        </w:tc>
        <w:tc>
          <w:tcPr>
            <w:tcW w:type="dxa" w:w="3192"/>
            <w:tcBorders>
              <w:top w:val="single" w:sz="1"/>
              <w:left w:val="single" w:sz="1"/>
              <w:bottom w:val="single" w:sz="1"/>
              <w:right w:val="single" w:sz="1"/>
            </w:tcBorders>
            <w:vAlign w:val="top"/>
          </w:tcPr>
          <w:p>
            <w:r>
              <w:t xml:space="preserve">8–16 effective</w:t>
            </w:r>
          </w:p>
        </w:tc>
        <w:tc>
          <w:tcPr>
            <w:tcW w:type="dxa" w:w="3192"/>
            <w:tcBorders>
              <w:top w:val="single" w:sz="1"/>
              <w:left w:val="single" w:sz="1"/>
              <w:bottom w:val="single" w:sz="1"/>
              <w:right w:val="single" w:sz="1"/>
            </w:tcBorders>
            <w:vAlign w:val="top"/>
          </w:tcPr>
          <w:p>
            <w:r>
              <w:t xml:space="preserve">Use gradient accumulation (steps=2–4) if GPU memory limited</w:t>
            </w:r>
          </w:p>
        </w:tc>
      </w:tr>
      <w:tr>
        <w:tc>
          <w:tcPr>
            <w:tcW w:type="dxa" w:w="3192"/>
            <w:tcBorders>
              <w:top w:val="single" w:sz="1"/>
              <w:left w:val="single" w:sz="1"/>
              <w:bottom w:val="single" w:sz="1"/>
              <w:right w:val="single" w:sz="1"/>
            </w:tcBorders>
            <w:vAlign w:val="top"/>
          </w:tcPr>
          <w:p>
            <w:r>
              <w:t xml:space="preserve">**Epochs**</w:t>
            </w:r>
          </w:p>
        </w:tc>
        <w:tc>
          <w:tcPr>
            <w:tcW w:type="dxa" w:w="3192"/>
            <w:tcBorders>
              <w:top w:val="single" w:sz="1"/>
              <w:left w:val="single" w:sz="1"/>
              <w:bottom w:val="single" w:sz="1"/>
              <w:right w:val="single" w:sz="1"/>
            </w:tcBorders>
            <w:vAlign w:val="top"/>
          </w:tcPr>
          <w:p>
            <w:r>
              <w:t xml:space="preserve">1–3</w:t>
            </w:r>
          </w:p>
        </w:tc>
        <w:tc>
          <w:tcPr>
            <w:tcW w:type="dxa" w:w="3192"/>
            <w:tcBorders>
              <w:top w:val="single" w:sz="1"/>
              <w:left w:val="single" w:sz="1"/>
              <w:bottom w:val="single" w:sz="1"/>
              <w:right w:val="single" w:sz="1"/>
            </w:tcBorders>
            <w:vAlign w:val="top"/>
          </w:tcPr>
          <w:p>
            <w:r>
              <w:t xml:space="preserve">Legal/financial data is dense; 1 epoch often sufficient with quality data. Use early stopping</w:t>
            </w:r>
          </w:p>
        </w:tc>
      </w:tr>
      <w:tr>
        <w:tc>
          <w:tcPr>
            <w:tcW w:type="dxa" w:w="3192"/>
            <w:tcBorders>
              <w:top w:val="single" w:sz="1"/>
              <w:left w:val="single" w:sz="1"/>
              <w:bottom w:val="single" w:sz="1"/>
              <w:right w:val="single" w:sz="1"/>
            </w:tcBorders>
            <w:vAlign w:val="top"/>
          </w:tcPr>
          <w:p>
            <w:r>
              <w:t xml:space="preserve">**Target modules**</w:t>
            </w:r>
          </w:p>
        </w:tc>
        <w:tc>
          <w:tcPr>
            <w:tcW w:type="dxa" w:w="3192"/>
            <w:tcBorders>
              <w:top w:val="single" w:sz="1"/>
              <w:left w:val="single" w:sz="1"/>
              <w:bottom w:val="single" w:sz="1"/>
              <w:right w:val="single" w:sz="1"/>
            </w:tcBorders>
            <w:vAlign w:val="top"/>
          </w:tcPr>
          <w:p>
            <w:r>
              <w:t xml:space="preserve">`all-linear`</w:t>
            </w:r>
          </w:p>
        </w:tc>
        <w:tc>
          <w:tcPr>
            <w:tcW w:type="dxa" w:w="3192"/>
            <w:tcBorders>
              <w:top w:val="single" w:sz="1"/>
              <w:left w:val="single" w:sz="1"/>
              <w:bottom w:val="single" w:sz="1"/>
              <w:right w:val="single" w:sz="1"/>
            </w:tcBorders>
            <w:vAlign w:val="top"/>
          </w:tcPr>
          <w:p>
            <w:r>
              <w:t xml:space="preserve">2026 best practice: target all linear layers, not just q_proj/v_proj</w:t>
            </w:r>
          </w:p>
        </w:tc>
      </w:tr>
      <w:tr>
        <w:tc>
          <w:tcPr>
            <w:tcW w:type="dxa" w:w="3192"/>
            <w:tcBorders>
              <w:top w:val="single" w:sz="1"/>
              <w:left w:val="single" w:sz="1"/>
              <w:bottom w:val="single" w:sz="1"/>
              <w:right w:val="single" w:sz="1"/>
            </w:tcBorders>
            <w:vAlign w:val="top"/>
          </w:tcPr>
          <w:p>
            <w:r>
              <w:t xml:space="preserve">**Optimizer**</w:t>
            </w:r>
          </w:p>
        </w:tc>
        <w:tc>
          <w:tcPr>
            <w:tcW w:type="dxa" w:w="3192"/>
            <w:tcBorders>
              <w:top w:val="single" w:sz="1"/>
              <w:left w:val="single" w:sz="1"/>
              <w:bottom w:val="single" w:sz="1"/>
              <w:right w:val="single" w:sz="1"/>
            </w:tcBorders>
            <w:vAlign w:val="top"/>
          </w:tcPr>
          <w:p>
            <w:r>
              <w:t xml:space="preserve">AdamW 8-bit (paged)</w:t>
            </w:r>
          </w:p>
        </w:tc>
        <w:tc>
          <w:tcPr>
            <w:tcW w:type="dxa" w:w="3192"/>
            <w:tcBorders>
              <w:top w:val="single" w:sz="1"/>
              <w:left w:val="single" w:sz="1"/>
              <w:bottom w:val="single" w:sz="1"/>
              <w:right w:val="single" w:sz="1"/>
            </w:tcBorders>
            <w:vAlign w:val="top"/>
          </w:tcPr>
          <w:p>
            <w:r>
              <w:t xml:space="preserve">Standard for QLoRA setups</w:t>
            </w:r>
          </w:p>
        </w:tc>
      </w:tr>
      <w:tr>
        <w:tc>
          <w:tcPr>
            <w:tcW w:type="dxa" w:w="3192"/>
            <w:tcBorders>
              <w:top w:val="single" w:sz="1"/>
              <w:left w:val="single" w:sz="1"/>
              <w:bottom w:val="single" w:sz="1"/>
              <w:right w:val="single" w:sz="1"/>
            </w:tcBorders>
            <w:vAlign w:val="top"/>
          </w:tcPr>
          <w:p>
            <w:r>
              <w:t xml:space="preserve">**Warmup ratio**</w:t>
            </w:r>
          </w:p>
        </w:tc>
        <w:tc>
          <w:tcPr>
            <w:tcW w:type="dxa" w:w="3192"/>
            <w:tcBorders>
              <w:top w:val="single" w:sz="1"/>
              <w:left w:val="single" w:sz="1"/>
              <w:bottom w:val="single" w:sz="1"/>
              <w:right w:val="single" w:sz="1"/>
            </w:tcBorders>
            <w:vAlign w:val="top"/>
          </w:tcPr>
          <w:p>
            <w:r>
              <w:t xml:space="preserve">0.03–0.05</w:t>
            </w:r>
          </w:p>
        </w:tc>
        <w:tc>
          <w:tcPr>
            <w:tcW w:type="dxa" w:w="3192"/>
            <w:tcBorders>
              <w:top w:val="single" w:sz="1"/>
              <w:left w:val="single" w:sz="1"/>
              <w:bottom w:val="single" w:sz="1"/>
              <w:right w:val="single" w:sz="1"/>
            </w:tcBorders>
            <w:vAlign w:val="top"/>
          </w:tcPr>
          <w:p>
            <w:r>
              <w:t xml:space="preserve">Short warmup, then cosine decay</w:t>
            </w:r>
          </w:p>
        </w:tc>
      </w:tr>
      <w:tr>
        <w:tc>
          <w:tcPr>
            <w:tcW w:type="dxa" w:w="3192"/>
            <w:tcBorders>
              <w:top w:val="single" w:sz="1"/>
              <w:left w:val="single" w:sz="1"/>
              <w:bottom w:val="single" w:sz="1"/>
              <w:right w:val="single" w:sz="1"/>
            </w:tcBorders>
            <w:vAlign w:val="top"/>
          </w:tcPr>
          <w:p>
            <w:r>
              <w:t xml:space="preserve">**Max sequence length**</w:t>
            </w:r>
          </w:p>
        </w:tc>
        <w:tc>
          <w:tcPr>
            <w:tcW w:type="dxa" w:w="3192"/>
            <w:tcBorders>
              <w:top w:val="single" w:sz="1"/>
              <w:left w:val="single" w:sz="1"/>
              <w:bottom w:val="single" w:sz="1"/>
              <w:right w:val="single" w:sz="1"/>
            </w:tcBorders>
            <w:vAlign w:val="top"/>
          </w:tcPr>
          <w:p>
            <w:r>
              <w:t xml:space="preserve">4096–8192</w:t>
            </w:r>
          </w:p>
        </w:tc>
        <w:tc>
          <w:tcPr>
            <w:tcW w:type="dxa" w:w="3192"/>
            <w:tcBorders>
              <w:top w:val="single" w:sz="1"/>
              <w:left w:val="single" w:sz="1"/>
              <w:bottom w:val="single" w:sz="1"/>
              <w:right w:val="single" w:sz="1"/>
            </w:tcBorders>
            <w:vAlign w:val="top"/>
          </w:tcPr>
          <w:p>
            <w:r>
              <w:t xml:space="preserve">Legal docs are long; 8192 ideal but memory-dependent</w:t>
            </w:r>
          </w:p>
        </w:tc>
      </w:tr>
    </w:tbl>
    <w:p>
      <w:pPr>
        <w:spacing w:after="120"/>
      </w:pPr>
      <w:r>
        <w:rPr>
          <w:rFonts w:ascii="Arial" w:cs="Arial" w:eastAsia="Arial" w:hAnsi="Arial"/>
          <w:b/>
          <w:bCs/>
        </w:rPr>
        <w:t xml:space="preserve">Recommendation for Arkova:</w:t>
      </w:r>
      <w:r>
        <w:rPr>
          <w:rFonts w:ascii="Arial" w:cs="Arial" w:eastAsia="Arial" w:hAnsi="Arial"/>
        </w:rPr>
        <w:t xml:space="preserve"> Start with QLoRA (4-bit NF4 quantization) using Unsloth for 2x training speed and 60% memory reduction. An 8B model fine-tunes comfortably on a single A100 or even consumer 24GB cards. Use </w:t>
      </w:r>
      <w:r>
        <w:rPr>
          <w:rFonts w:ascii="Courier New" w:cs="Courier New" w:eastAsia="Courier New" w:hAnsi="Courier New"/>
          <w:shd w:fill="F5F5F5" w:val="clear"/>
        </w:rPr>
        <w:t xml:space="preserve">r=32, alpha=32, target_modules="all-linear"</w:t>
      </w:r>
      <w:r>
        <w:rPr>
          <w:rFonts w:ascii="Arial" w:cs="Arial" w:eastAsia="Arial" w:hAnsi="Arial"/>
        </w:rPr>
        <w:t xml:space="preserve"> for your compliance domains.</w:t>
      </w:r>
    </w:p>
    <w:p>
      <w:pPr>
        <w:pStyle w:val="Heading3"/>
        <w:spacing w:after="120" w:before="240"/>
        <w:outlineLvl w:val="2"/>
      </w:pPr>
      <w:r>
        <w:t xml:space="preserve">1.2 QLoRA vs LoRA vs Full Fine-Tune Decision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tLeast"/>
        </w:trPr>
        <w:tc>
          <w:tcPr>
            <w:tcW w:type="dxa" w:w="2394"/>
            <w:tcBorders>
              <w:top w:val="single" w:sz="1"/>
              <w:left w:val="single" w:sz="1"/>
              <w:bottom w:val="single" w:sz="1"/>
              <w:right w:val="single" w:sz="1"/>
            </w:tcBorders>
            <w:shd w:fill="D3D3D3" w:val="clear"/>
            <w:vAlign w:val="center"/>
          </w:tcPr>
          <w:p>
            <w:r>
              <w:t xml:space="preserve">Method</w:t>
            </w:r>
          </w:p>
        </w:tc>
        <w:tc>
          <w:tcPr>
            <w:tcW w:type="dxa" w:w="2394"/>
            <w:tcBorders>
              <w:top w:val="single" w:sz="1"/>
              <w:left w:val="single" w:sz="1"/>
              <w:bottom w:val="single" w:sz="1"/>
              <w:right w:val="single" w:sz="1"/>
            </w:tcBorders>
            <w:shd w:fill="D3D3D3" w:val="clear"/>
            <w:vAlign w:val="center"/>
          </w:tcPr>
          <w:p>
            <w:r>
              <w:t xml:space="preserve">VRAM (8B model)</w:t>
            </w:r>
          </w:p>
        </w:tc>
        <w:tc>
          <w:tcPr>
            <w:tcW w:type="dxa" w:w="2394"/>
            <w:tcBorders>
              <w:top w:val="single" w:sz="1"/>
              <w:left w:val="single" w:sz="1"/>
              <w:bottom w:val="single" w:sz="1"/>
              <w:right w:val="single" w:sz="1"/>
            </w:tcBorders>
            <w:shd w:fill="D3D3D3" w:val="clear"/>
            <w:vAlign w:val="center"/>
          </w:tcPr>
          <w:p>
            <w:r>
              <w:t xml:space="preserve">Performance vs Full FT</w:t>
            </w:r>
          </w:p>
        </w:tc>
        <w:tc>
          <w:tcPr>
            <w:tcW w:type="dxa" w:w="2394"/>
            <w:tcBorders>
              <w:top w:val="single" w:sz="1"/>
              <w:left w:val="single" w:sz="1"/>
              <w:bottom w:val="single" w:sz="1"/>
              <w:right w:val="single" w:sz="1"/>
            </w:tcBorders>
            <w:shd w:fill="D3D3D3" w:val="clear"/>
            <w:vAlign w:val="center"/>
          </w:tcPr>
          <w:p>
            <w:r>
              <w:t xml:space="preserve">Best For</w:t>
            </w:r>
          </w:p>
        </w:tc>
      </w:tr>
      <w:tr>
        <w:tc>
          <w:tcPr>
            <w:tcW w:type="dxa" w:w="2394"/>
            <w:tcBorders>
              <w:top w:val="single" w:sz="1"/>
              <w:left w:val="single" w:sz="1"/>
              <w:bottom w:val="single" w:sz="1"/>
              <w:right w:val="single" w:sz="1"/>
            </w:tcBorders>
            <w:vAlign w:val="top"/>
          </w:tcPr>
          <w:p>
            <w:r>
              <w:t xml:space="preserve">**Full fine-tune**</w:t>
            </w:r>
          </w:p>
        </w:tc>
        <w:tc>
          <w:tcPr>
            <w:tcW w:type="dxa" w:w="2394"/>
            <w:tcBorders>
              <w:top w:val="single" w:sz="1"/>
              <w:left w:val="single" w:sz="1"/>
              <w:bottom w:val="single" w:sz="1"/>
              <w:right w:val="single" w:sz="1"/>
            </w:tcBorders>
            <w:vAlign w:val="top"/>
          </w:tcPr>
          <w:p>
            <w:r>
              <w:t xml:space="preserve">~80GB (multi-GPU)</w:t>
            </w:r>
          </w:p>
        </w:tc>
        <w:tc>
          <w:tcPr>
            <w:tcW w:type="dxa" w:w="2394"/>
            <w:tcBorders>
              <w:top w:val="single" w:sz="1"/>
              <w:left w:val="single" w:sz="1"/>
              <w:bottom w:val="single" w:sz="1"/>
              <w:right w:val="single" w:sz="1"/>
            </w:tcBorders>
            <w:vAlign w:val="top"/>
          </w:tcPr>
          <w:p>
            <w:r>
              <w:t xml:space="preserve">100% baseline</w:t>
            </w:r>
          </w:p>
        </w:tc>
        <w:tc>
          <w:tcPr>
            <w:tcW w:type="dxa" w:w="2394"/>
            <w:tcBorders>
              <w:top w:val="single" w:sz="1"/>
              <w:left w:val="single" w:sz="1"/>
              <w:bottom w:val="single" w:sz="1"/>
              <w:right w:val="single" w:sz="1"/>
            </w:tcBorders>
            <w:vAlign w:val="top"/>
          </w:tcPr>
          <w:p>
            <w:r>
              <w:t xml:space="preserve">When you have unlimited compute and need max performance</w:t>
            </w:r>
          </w:p>
        </w:tc>
      </w:tr>
      <w:tr>
        <w:tc>
          <w:tcPr>
            <w:tcW w:type="dxa" w:w="2394"/>
            <w:tcBorders>
              <w:top w:val="single" w:sz="1"/>
              <w:left w:val="single" w:sz="1"/>
              <w:bottom w:val="single" w:sz="1"/>
              <w:right w:val="single" w:sz="1"/>
            </w:tcBorders>
            <w:vAlign w:val="top"/>
          </w:tcPr>
          <w:p>
            <w:r>
              <w:t xml:space="preserve">**LoRA**</w:t>
            </w:r>
          </w:p>
        </w:tc>
        <w:tc>
          <w:tcPr>
            <w:tcW w:type="dxa" w:w="2394"/>
            <w:tcBorders>
              <w:top w:val="single" w:sz="1"/>
              <w:left w:val="single" w:sz="1"/>
              <w:bottom w:val="single" w:sz="1"/>
              <w:right w:val="single" w:sz="1"/>
            </w:tcBorders>
            <w:vAlign w:val="top"/>
          </w:tcPr>
          <w:p>
            <w:r>
              <w:t xml:space="preserve">~16–24GB</w:t>
            </w:r>
          </w:p>
        </w:tc>
        <w:tc>
          <w:tcPr>
            <w:tcW w:type="dxa" w:w="2394"/>
            <w:tcBorders>
              <w:top w:val="single" w:sz="1"/>
              <w:left w:val="single" w:sz="1"/>
              <w:bottom w:val="single" w:sz="1"/>
              <w:right w:val="single" w:sz="1"/>
            </w:tcBorders>
            <w:vAlign w:val="top"/>
          </w:tcPr>
          <w:p>
            <w:r>
              <w:t xml:space="preserve">95–98% of full FT</w:t>
            </w:r>
          </w:p>
        </w:tc>
        <w:tc>
          <w:tcPr>
            <w:tcW w:type="dxa" w:w="2394"/>
            <w:tcBorders>
              <w:top w:val="single" w:sz="1"/>
              <w:left w:val="single" w:sz="1"/>
              <w:bottom w:val="single" w:sz="1"/>
              <w:right w:val="single" w:sz="1"/>
            </w:tcBorders>
            <w:vAlign w:val="top"/>
          </w:tcPr>
          <w:p>
            <w:r>
              <w:t xml:space="preserve">Multi-domain deployment (SEC, patents, regulatory adapters)</w:t>
            </w:r>
          </w:p>
        </w:tc>
      </w:tr>
      <w:tr>
        <w:tc>
          <w:tcPr>
            <w:tcW w:type="dxa" w:w="2394"/>
            <w:tcBorders>
              <w:top w:val="single" w:sz="1"/>
              <w:left w:val="single" w:sz="1"/>
              <w:bottom w:val="single" w:sz="1"/>
              <w:right w:val="single" w:sz="1"/>
            </w:tcBorders>
            <w:vAlign w:val="top"/>
          </w:tcPr>
          <w:p>
            <w:r>
              <w:t xml:space="preserve">**QLoRA**</w:t>
            </w:r>
          </w:p>
        </w:tc>
        <w:tc>
          <w:tcPr>
            <w:tcW w:type="dxa" w:w="2394"/>
            <w:tcBorders>
              <w:top w:val="single" w:sz="1"/>
              <w:left w:val="single" w:sz="1"/>
              <w:bottom w:val="single" w:sz="1"/>
              <w:right w:val="single" w:sz="1"/>
            </w:tcBorders>
            <w:vAlign w:val="top"/>
          </w:tcPr>
          <w:p>
            <w:r>
              <w:t xml:space="preserve">~6–8GB</w:t>
            </w:r>
          </w:p>
        </w:tc>
        <w:tc>
          <w:tcPr>
            <w:tcW w:type="dxa" w:w="2394"/>
            <w:tcBorders>
              <w:top w:val="single" w:sz="1"/>
              <w:left w:val="single" w:sz="1"/>
              <w:bottom w:val="single" w:sz="1"/>
              <w:right w:val="single" w:sz="1"/>
            </w:tcBorders>
            <w:vAlign w:val="top"/>
          </w:tcPr>
          <w:p>
            <w:r>
              <w:t xml:space="preserve">90–95% of full FT</w:t>
            </w:r>
          </w:p>
        </w:tc>
        <w:tc>
          <w:tcPr>
            <w:tcW w:type="dxa" w:w="2394"/>
            <w:tcBorders>
              <w:top w:val="single" w:sz="1"/>
              <w:left w:val="single" w:sz="1"/>
              <w:bottom w:val="single" w:sz="1"/>
              <w:right w:val="single" w:sz="1"/>
            </w:tcBorders>
            <w:vAlign w:val="top"/>
          </w:tcPr>
          <w:p>
            <w:r>
              <w:t xml:space="preserve">Resource-constrained training; rapid experimentation</w:t>
            </w:r>
          </w:p>
        </w:tc>
      </w:tr>
    </w:tbl>
    <w:p>
      <w:pPr>
        <w:spacing w:after="120"/>
      </w:pPr>
      <w:r>
        <w:rPr>
          <w:rFonts w:ascii="Arial" w:cs="Arial" w:eastAsia="Arial" w:hAnsi="Arial"/>
          <w:b/>
          <w:bCs/>
        </w:rPr>
        <w:t xml:space="preserve">Recommendation:</w:t>
      </w:r>
      <w:r>
        <w:rPr>
          <w:rFonts w:ascii="Arial" w:cs="Arial" w:eastAsia="Arial" w:hAnsi="Arial"/>
        </w:rPr>
        <w:t xml:space="preserve"> QLoRA for experimentation and initial adapter development; LoRA for production adapters. The performance gap is minimal for domain-specific tasks where the training data quality matters more than the method.</w:t>
      </w:r>
    </w:p>
    <w:p>
      <w:pPr>
        <w:pStyle w:val="Heading3"/>
        <w:spacing w:after="120" w:before="240"/>
        <w:outlineLvl w:val="2"/>
      </w:pPr>
      <w:r>
        <w:t xml:space="preserve">1.3 Multi-LoRA Serving Architecture</w:t>
      </w:r>
    </w:p>
    <w:p>
      <w:pPr>
        <w:spacing w:after="120"/>
      </w:pPr>
      <w:r>
        <w:rPr>
          <w:rFonts w:ascii="Arial" w:cs="Arial" w:eastAsia="Arial" w:hAnsi="Arial"/>
        </w:rPr>
        <w:t xml:space="preserve">Current state-of-the-art for serving multiple domain adapters:</w:t>
      </w:r>
    </w:p>
    <w:p>
      <w:pPr>
        <w:spacing w:after="120"/>
      </w:pPr>
      <w:r>
        <w:rPr>
          <w:rFonts w:ascii="Arial" w:cs="Arial" w:eastAsia="Arial" w:hAnsi="Arial"/>
          <w:b/>
          <w:bCs/>
        </w:rPr>
        <w:t xml:space="preserve">LoRAServe</w:t>
      </w:r>
      <w:r>
        <w:rPr>
          <w:rFonts w:ascii="Arial" w:cs="Arial" w:eastAsia="Arial" w:hAnsi="Arial"/>
        </w:rPr>
        <w:t xml:space="preserve"> (2025): A workload-aware dynamic adapter placement framework that delivers up to 2x higher throughput, 9x lower TTFT, and 50% fewer GPUs under SLO constraints. This is directly relevant to Arkova's multi-adapter design (SEC, patents, academic, regulatory).</w:t>
      </w:r>
    </w:p>
    <w:p>
      <w:pPr>
        <w:spacing w:after="120"/>
      </w:pPr>
      <w:r>
        <w:rPr>
          <w:rFonts w:ascii="Arial" w:cs="Arial" w:eastAsia="Arial" w:hAnsi="Arial"/>
          <w:b/>
          <w:bCs/>
        </w:rPr>
        <w:t xml:space="preserve">Adapter routing approaches:</w:t>
      </w:r>
    </w:p>
    <w:p>
      <w:pPr>
        <w:pStyle w:val="ListParagraph"/>
        <w:numPr>
          <w:ilvl w:val="0"/>
          <w:numId w:val="1"/>
        </w:numPr>
        <w:spacing w:after="100"/>
      </w:pPr>
      <w:r>
        <w:t xml:space="preserve">**Classifier-based routing:** Train a lightweight classifier (e.g., distilbert) on document type to route to the correct LoRA adapter. Simple, deterministic, low latency.</w:t>
      </w:r>
    </w:p>
    <w:p>
      <w:pPr>
        <w:pStyle w:val="ListParagraph"/>
        <w:numPr>
          <w:ilvl w:val="0"/>
          <w:numId w:val="1"/>
        </w:numPr>
        <w:spacing w:after="100"/>
      </w:pPr>
      <w:r>
        <w:t xml:space="preserve">**Per-token routing (MoLoRA):** Learned gating routes individual tokens to specialized adapters. Eliminates need to choose a single adapter per request. More complex but handles mixed-domain queries (e.g., a regulatory filing citing patents).</w:t>
      </w:r>
    </w:p>
    <w:p>
      <w:pPr>
        <w:pStyle w:val="ListParagraph"/>
        <w:numPr>
          <w:ilvl w:val="0"/>
          <w:numId w:val="1"/>
        </w:numPr>
        <w:spacing w:after="100"/>
      </w:pPr>
      <w:r>
        <w:t xml:space="preserve">**LoRAuter:** Training-free routing using task representations — routes at the task level rather than adapter level.</w:t>
      </w:r>
    </w:p>
    <w:p>
      <w:pPr>
        <w:spacing w:after="120"/>
      </w:pPr>
      <w:r>
        <w:rPr>
          <w:rFonts w:ascii="Arial" w:cs="Arial" w:eastAsia="Arial" w:hAnsi="Arial"/>
          <w:b/>
          <w:bCs/>
        </w:rPr>
        <w:t xml:space="preserve">Recommendation for Arkova:</w:t>
      </w:r>
      <w:r>
        <w:rPr>
          <w:rFonts w:ascii="Arial" w:cs="Arial" w:eastAsia="Arial" w:hAnsi="Arial"/>
        </w:rPr>
        <w:t xml:space="preserve"> Start with classifier-based routing (you already have document type metadata). Move to per-token routing (MoLoRA) as adapter count grows beyond 4–5 domains. Use vLLM or Ray Serve for the serving infrastructure — both have native multi-LoRA support.</w:t>
      </w:r>
    </w:p>
    <w:p>
      <w:pPr>
        <w:pStyle w:val="Heading3"/>
        <w:spacing w:after="120" w:before="240"/>
        <w:outlineLvl w:val="2"/>
      </w:pPr>
      <w:r>
        <w:t xml:space="preserve">1.4 Synthetic Data Generation &amp; Validation</w:t>
      </w:r>
    </w:p>
    <w:p>
      <w:pPr>
        <w:spacing w:after="120"/>
      </w:pPr>
      <w:r>
        <w:rPr>
          <w:rFonts w:ascii="Arial" w:cs="Arial" w:eastAsia="Arial" w:hAnsi="Arial"/>
        </w:rPr>
        <w:t xml:space="preserve">Since Arkova uses Claude/Gemini to generate training pairs, these quality practices are critical:</w:t>
      </w:r>
    </w:p>
    <w:p>
      <w:pPr>
        <w:spacing w:after="120"/>
      </w:pPr>
      <w:r>
        <w:rPr>
          <w:rFonts w:ascii="Arial" w:cs="Arial" w:eastAsia="Arial" w:hAnsi="Arial"/>
          <w:b/>
          <w:bCs/>
        </w:rPr>
        <w:t xml:space="preserve">Generation best practices:</w:t>
      </w:r>
    </w:p>
    <w:p>
      <w:pPr>
        <w:pStyle w:val="ListParagraph"/>
        <w:numPr>
          <w:ilvl w:val="0"/>
          <w:numId w:val="1"/>
        </w:numPr>
        <w:spacing w:after="100"/>
      </w:pPr>
      <w:r>
        <w:t xml:space="preserve">Use a "network of agents" approach: one agent generates questions, another generates answers, a third validates coherence</w:t>
      </w:r>
    </w:p>
    <w:p>
      <w:pPr>
        <w:pStyle w:val="ListParagraph"/>
        <w:numPr>
          <w:ilvl w:val="0"/>
          <w:numId w:val="1"/>
        </w:numPr>
        <w:spacing w:after="100"/>
      </w:pPr>
      <w:r>
        <w:t xml:space="preserve">For compliance data, generate from real document structures (10-K sections, patent claims) to preserve format fidelity</w:t>
      </w:r>
    </w:p>
    <w:p>
      <w:pPr>
        <w:pStyle w:val="ListParagraph"/>
        <w:numPr>
          <w:ilvl w:val="0"/>
          <w:numId w:val="1"/>
        </w:numPr>
        <w:spacing w:after="100"/>
      </w:pPr>
      <w:r>
        <w:t xml:space="preserve">Include negative examples (incorrect citations, wrong regulatory references) for DPO training</w:t>
      </w:r>
    </w:p>
    <w:p>
      <w:pPr>
        <w:spacing w:after="120"/>
      </w:pPr>
      <w:r>
        <w:rPr>
          <w:rFonts w:ascii="Arial" w:cs="Arial" w:eastAsia="Arial" w:hAnsi="Arial"/>
          <w:b/>
          <w:bCs/>
        </w:rPr>
        <w:t xml:space="preserve">Validation pipeline:</w:t>
      </w:r>
    </w:p>
    <w:p>
      <w:pPr>
        <w:pStyle w:val="ListParagraph"/>
        <w:numPr>
          <w:ilvl w:val="0"/>
          <w:numId w:val="1"/>
        </w:numPr>
        <w:spacing w:after="100"/>
      </w:pPr>
      <w:r>
        <w:t xml:space="preserve">**Execution-based validation:** For structured outputs (metadata extraction), validate against known schemas</w:t>
      </w:r>
    </w:p>
    <w:p>
      <w:pPr>
        <w:pStyle w:val="ListParagraph"/>
        <w:numPr>
          <w:ilvl w:val="0"/>
          <w:numId w:val="1"/>
        </w:numPr>
        <w:spacing w:after="100"/>
      </w:pPr>
      <w:r>
        <w:t xml:space="preserve">**Cross-model verification:** Generate with Claude, validate with Gemini (or vice versa). Agreement = higher confidence</w:t>
      </w:r>
    </w:p>
    <w:p>
      <w:pPr>
        <w:pStyle w:val="ListParagraph"/>
        <w:numPr>
          <w:ilvl w:val="0"/>
          <w:numId w:val="1"/>
        </w:numPr>
        <w:spacing w:after="100"/>
      </w:pPr>
      <w:r>
        <w:t xml:space="preserve">**Human-in-the-loop sampling:** Random 5–10% manual review of generated pairs</w:t>
      </w:r>
    </w:p>
    <w:p>
      <w:pPr>
        <w:pStyle w:val="ListParagraph"/>
        <w:numPr>
          <w:ilvl w:val="0"/>
          <w:numId w:val="1"/>
        </w:numPr>
        <w:spacing w:after="100"/>
      </w:pPr>
      <w:r>
        <w:t xml:space="preserve">**Distribution alignment:** Compare synthetic data statistics (token length, entity density, complexity) against real data distribution</w:t>
      </w:r>
    </w:p>
    <w:p>
      <w:pPr>
        <w:pStyle w:val="ListParagraph"/>
        <w:numPr>
          <w:ilvl w:val="0"/>
          <w:numId w:val="1"/>
        </w:numPr>
        <w:spacing w:after="100"/>
      </w:pPr>
      <w:r>
        <w:t xml:space="preserve">**Filtering at two stages:** First during context generation, then during input-output pair generation</w:t>
      </w:r>
    </w:p>
    <w:p>
      <w:pPr>
        <w:spacing w:after="120"/>
      </w:pPr>
      <w:r>
        <w:rPr>
          <w:rFonts w:ascii="Arial" w:cs="Arial" w:eastAsia="Arial" w:hAnsi="Arial"/>
          <w:b/>
          <w:bCs/>
        </w:rPr>
        <w:t xml:space="preserve">Recommendation:</w:t>
      </w:r>
      <w:r>
        <w:rPr>
          <w:rFonts w:ascii="Arial" w:cs="Arial" w:eastAsia="Arial" w:hAnsi="Arial"/>
        </w:rPr>
        <w:t xml:space="preserve"> Build a synthetic data quality dashboard tracking: generation volume, cross-model agreement rate, human review scores, and downstream eval impact. Target cross-model agreement &gt;85% before including pairs in training sets.</w:t>
      </w:r>
    </w:p>
    <w:p>
      <w:pPr>
        <w:pStyle w:val="Heading3"/>
        <w:spacing w:after="120" w:before="240"/>
        <w:outlineLvl w:val="2"/>
      </w:pPr>
      <w:r>
        <w:t xml:space="preserve">1.5 DPO for Citation Accuracy</w:t>
      </w:r>
    </w:p>
    <w:p>
      <w:pPr>
        <w:spacing w:after="120"/>
      </w:pPr>
      <w:r>
        <w:rPr>
          <w:rFonts w:ascii="Arial" w:cs="Arial" w:eastAsia="Arial" w:hAnsi="Arial"/>
        </w:rPr>
        <w:t xml:space="preserve">DPO reduces compute costs by 40–75% compared to RLHF while matching performance on factuality tasks. For Arkova's citation accuracy specifically:</w:t>
      </w:r>
    </w:p>
    <w:p>
      <w:pPr>
        <w:pStyle w:val="ListParagraph"/>
        <w:numPr>
          <w:ilvl w:val="0"/>
          <w:numId w:val="1"/>
        </w:numPr>
        <w:spacing w:after="100"/>
      </w:pPr>
      <w:r>
        <w:t xml:space="preserve">**Create preference pairs:** Given a query + source documents, generate (correct_citation, hallucinated_citation) pairs</w:t>
      </w:r>
    </w:p>
    <w:p>
      <w:pPr>
        <w:pStyle w:val="ListParagraph"/>
        <w:numPr>
          <w:ilvl w:val="0"/>
          <w:numId w:val="1"/>
        </w:numPr>
        <w:spacing w:after="100"/>
      </w:pPr>
      <w:r>
        <w:t xml:space="preserve">**Use your Bitcoin-anchored documents as ground truth:** The immutable timestamp chain gives you a canonical reference for what the model *should* cite</w:t>
      </w:r>
    </w:p>
    <w:p>
      <w:pPr>
        <w:pStyle w:val="ListParagraph"/>
        <w:numPr>
          <w:ilvl w:val="0"/>
          <w:numId w:val="1"/>
        </w:numPr>
        <w:spacing w:after="100"/>
      </w:pPr>
      <w:r>
        <w:t xml:space="preserve">**DPO training order:** SFT first (base domain knowledge) → DPO second (citation behavior alignment)</w:t>
      </w:r>
    </w:p>
    <w:p>
      <w:pPr>
        <w:pStyle w:val="ListParagraph"/>
        <w:numPr>
          <w:ilvl w:val="0"/>
          <w:numId w:val="1"/>
        </w:numPr>
        <w:spacing w:after="100"/>
      </w:pPr>
      <w:r>
        <w:t xml:space="preserve">**Caveat:** A December 2025 study found DPO slightly weaker on structured reasoning tasks and out-of-distribution generalization. Monitor carefully on edge cases.</w:t>
      </w:r>
    </w:p>
    <w:p>
      <w:pPr>
        <w:pStyle w:val="Heading3"/>
        <w:spacing w:after="120" w:before="240"/>
        <w:outlineLvl w:val="2"/>
      </w:pPr>
      <w:r>
        <w:t xml:space="preserve">1.6 Distillation from Larger Models</w:t>
      </w:r>
    </w:p>
    <w:p>
      <w:pPr>
        <w:spacing w:after="120"/>
      </w:pPr>
      <w:r>
        <w:rPr>
          <w:rFonts w:ascii="Arial" w:cs="Arial" w:eastAsia="Arial" w:hAnsi="Arial"/>
        </w:rPr>
        <w:t xml:space="preserve">For Nessie specifically (8B server-side model and 3B client-side variant, distilled from Claude/Gemini teachers):</w:t>
      </w:r>
    </w:p>
    <w:p>
      <w:pPr>
        <w:pStyle w:val="ListParagraph"/>
        <w:numPr>
          <w:ilvl w:val="0"/>
          <w:numId w:val="1"/>
        </w:numPr>
        <w:spacing w:after="100"/>
      </w:pPr>
      <w:r>
        <w:t xml:space="preserve">**Step-by-step distillation** outperforms standard distillation: extract intermediate reasoning steps from the teacher, use them as additional training signal. This reduces data requirements significantly.</w:t>
      </w:r>
    </w:p>
    <w:p>
      <w:pPr>
        <w:pStyle w:val="ListParagraph"/>
        <w:numPr>
          <w:ilvl w:val="0"/>
          <w:numId w:val="1"/>
        </w:numPr>
        <w:spacing w:after="100"/>
      </w:pPr>
      <w:r>
        <w:t xml:space="preserve">**Legal/compliance constraint:** Only use open-source models as teachers for production distillation. API-provider ToS (OpenAI, Anthropic) generally prohibit using outputs to train competing models. Use Claude/Gemini for *synthetic data generation* (allowed under most ToS), but be careful about framing as "distillation."</w:t>
      </w:r>
    </w:p>
    <w:p>
      <w:pPr>
        <w:pStyle w:val="ListParagraph"/>
        <w:numPr>
          <w:ilvl w:val="0"/>
          <w:numId w:val="1"/>
        </w:numPr>
        <w:spacing w:after="100"/>
      </w:pPr>
      <w:r>
        <w:t xml:space="preserve">**Soft targets &gt; hard targets:** Train student on teacher's probability distributions, not just final answers.</w:t>
      </w:r>
    </w:p>
    <w:p>
      <w:pPr>
        <w:pStyle w:val="ListParagraph"/>
        <w:numPr>
          <w:ilvl w:val="0"/>
          <w:numId w:val="1"/>
        </w:numPr>
        <w:spacing w:after="100"/>
      </w:pPr>
      <w:r>
        <w:t xml:space="preserve">**Expected performance:** 2–8x faster inference than teacher with 85–95% of teacher quality on domain-specific tasks.</w:t>
      </w:r>
    </w:p>
    <w:p>
      <w:pPr>
        <w:pStyle w:val="Heading2"/>
        <w:spacing w:after="120" w:before="240"/>
        <w:outlineLvl w:val="1"/>
      </w:pPr>
      <w:r>
        <w:t xml:space="preserve">2. Metadata Extraction Improvements</w:t>
      </w:r>
    </w:p>
    <w:p>
      <w:pPr>
        <w:pStyle w:val="Heading3"/>
        <w:spacing w:after="120" w:before="240"/>
        <w:outlineLvl w:val="2"/>
      </w:pPr>
      <w:r>
        <w:t xml:space="preserve">2.1 Current Architecture Assessment</w:t>
      </w:r>
    </w:p>
    <w:p>
      <w:pPr>
        <w:spacing w:after="120"/>
      </w:pPr>
      <w:r>
        <w:rPr>
          <w:rFonts w:ascii="Arial" w:cs="Arial" w:eastAsia="Arial" w:hAnsi="Arial"/>
        </w:rPr>
        <w:t xml:space="preserve">Your current stack (PDF.js + Tesseract.js client-side, Gemini primary, Cloudflare AI fallback) is solid for privacy preservation. Here's where to improve:</w:t>
      </w:r>
    </w:p>
    <w:p>
      <w:pPr>
        <w:pStyle w:val="Heading3"/>
        <w:spacing w:after="120" w:before="240"/>
        <w:outlineLvl w:val="2"/>
      </w:pPr>
      <w:r>
        <w:t xml:space="preserve">2.2 SEC 10-K/Q Specific Extraction</w:t>
      </w:r>
    </w:p>
    <w:p>
      <w:pPr>
        <w:spacing w:after="120"/>
      </w:pPr>
      <w:r>
        <w:rPr>
          <w:rFonts w:ascii="Arial" w:cs="Arial" w:eastAsia="Arial" w:hAnsi="Arial"/>
          <w:b/>
          <w:bCs/>
        </w:rPr>
        <w:t xml:space="preserve">Recommended tools and approaches: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tLeast"/>
        </w:trPr>
        <w:tc>
          <w:tcPr>
            <w:tcW w:type="dxa" w:w="2394"/>
            <w:tcBorders>
              <w:top w:val="single" w:sz="1"/>
              <w:left w:val="single" w:sz="1"/>
              <w:bottom w:val="single" w:sz="1"/>
              <w:right w:val="single" w:sz="1"/>
            </w:tcBorders>
            <w:shd w:fill="D3D3D3" w:val="clear"/>
            <w:vAlign w:val="center"/>
          </w:tcPr>
          <w:p>
            <w:r>
              <w:t xml:space="preserve">Approach</w:t>
            </w:r>
          </w:p>
        </w:tc>
        <w:tc>
          <w:tcPr>
            <w:tcW w:type="dxa" w:w="2394"/>
            <w:tcBorders>
              <w:top w:val="single" w:sz="1"/>
              <w:left w:val="single" w:sz="1"/>
              <w:bottom w:val="single" w:sz="1"/>
              <w:right w:val="single" w:sz="1"/>
            </w:tcBorders>
            <w:shd w:fill="D3D3D3" w:val="clear"/>
            <w:vAlign w:val="center"/>
          </w:tcPr>
          <w:p>
            <w:r>
              <w:t xml:space="preserve">Tool/Model</w:t>
            </w:r>
          </w:p>
        </w:tc>
        <w:tc>
          <w:tcPr>
            <w:tcW w:type="dxa" w:w="2394"/>
            <w:tcBorders>
              <w:top w:val="single" w:sz="1"/>
              <w:left w:val="single" w:sz="1"/>
              <w:bottom w:val="single" w:sz="1"/>
              <w:right w:val="single" w:sz="1"/>
            </w:tcBorders>
            <w:shd w:fill="D3D3D3" w:val="clear"/>
            <w:vAlign w:val="center"/>
          </w:tcPr>
          <w:p>
            <w:r>
              <w:t xml:space="preserve">Precision</w:t>
            </w:r>
          </w:p>
        </w:tc>
        <w:tc>
          <w:tcPr>
            <w:tcW w:type="dxa" w:w="2394"/>
            <w:tcBorders>
              <w:top w:val="single" w:sz="1"/>
              <w:left w:val="single" w:sz="1"/>
              <w:bottom w:val="single" w:sz="1"/>
              <w:right w:val="single" w:sz="1"/>
            </w:tcBorders>
            <w:shd w:fill="D3D3D3" w:val="clear"/>
            <w:vAlign w:val="center"/>
          </w:tcPr>
          <w:p>
            <w:r>
              <w:t xml:space="preserve">Client-Side?</w:t>
            </w:r>
          </w:p>
        </w:tc>
      </w:tr>
      <w:tr>
        <w:tc>
          <w:tcPr>
            <w:tcW w:type="dxa" w:w="2394"/>
            <w:tcBorders>
              <w:top w:val="single" w:sz="1"/>
              <w:left w:val="single" w:sz="1"/>
              <w:bottom w:val="single" w:sz="1"/>
              <w:right w:val="single" w:sz="1"/>
            </w:tcBorders>
            <w:vAlign w:val="top"/>
          </w:tcPr>
          <w:p>
            <w:r>
              <w:t xml:space="preserve">**XBRL/iXBRL parsing**</w:t>
            </w:r>
          </w:p>
        </w:tc>
        <w:tc>
          <w:tcPr>
            <w:tcW w:type="dxa" w:w="2394"/>
            <w:tcBorders>
              <w:top w:val="single" w:sz="1"/>
              <w:left w:val="single" w:sz="1"/>
              <w:bottom w:val="single" w:sz="1"/>
              <w:right w:val="single" w:sz="1"/>
            </w:tcBorders>
            <w:vAlign w:val="top"/>
          </w:tcPr>
          <w:p>
            <w:r>
              <w:t xml:space="preserve">sec-api, python-xbrl</w:t>
            </w:r>
          </w:p>
        </w:tc>
        <w:tc>
          <w:tcPr>
            <w:tcW w:type="dxa" w:w="2394"/>
            <w:tcBorders>
              <w:top w:val="single" w:sz="1"/>
              <w:left w:val="single" w:sz="1"/>
              <w:bottom w:val="single" w:sz="1"/>
              <w:right w:val="single" w:sz="1"/>
            </w:tcBorders>
            <w:vAlign w:val="top"/>
          </w:tcPr>
          <w:p>
            <w:r>
              <w:t xml:space="preserve">Very high (structured data)</w:t>
            </w:r>
          </w:p>
        </w:tc>
        <w:tc>
          <w:tcPr>
            <w:tcW w:type="dxa" w:w="2394"/>
            <w:tcBorders>
              <w:top w:val="single" w:sz="1"/>
              <w:left w:val="single" w:sz="1"/>
              <w:bottom w:val="single" w:sz="1"/>
              <w:right w:val="single" w:sz="1"/>
            </w:tcBorders>
            <w:vAlign w:val="top"/>
          </w:tcPr>
          <w:p>
            <w:r>
              <w:t xml:space="preserve">Partially (parsing is lightweight)</w:t>
            </w:r>
          </w:p>
        </w:tc>
      </w:tr>
      <w:tr>
        <w:tc>
          <w:tcPr>
            <w:tcW w:type="dxa" w:w="2394"/>
            <w:tcBorders>
              <w:top w:val="single" w:sz="1"/>
              <w:left w:val="single" w:sz="1"/>
              <w:bottom w:val="single" w:sz="1"/>
              <w:right w:val="single" w:sz="1"/>
            </w:tcBorders>
            <w:vAlign w:val="top"/>
          </w:tcPr>
          <w:p>
            <w:r>
              <w:t xml:space="preserve">**Table extraction**</w:t>
            </w:r>
          </w:p>
        </w:tc>
        <w:tc>
          <w:tcPr>
            <w:tcW w:type="dxa" w:w="2394"/>
            <w:tcBorders>
              <w:top w:val="single" w:sz="1"/>
              <w:left w:val="single" w:sz="1"/>
              <w:bottom w:val="single" w:sz="1"/>
              <w:right w:val="single" w:sz="1"/>
            </w:tcBorders>
            <w:vAlign w:val="top"/>
          </w:tcPr>
          <w:p>
            <w:r>
              <w:t xml:space="preserve">YOLO + BERT layout models</w:t>
            </w:r>
          </w:p>
        </w:tc>
        <w:tc>
          <w:tcPr>
            <w:tcW w:type="dxa" w:w="2394"/>
            <w:tcBorders>
              <w:top w:val="single" w:sz="1"/>
              <w:left w:val="single" w:sz="1"/>
              <w:bottom w:val="single" w:sz="1"/>
              <w:right w:val="single" w:sz="1"/>
            </w:tcBorders>
            <w:vAlign w:val="top"/>
          </w:tcPr>
          <w:p>
            <w:r>
              <w:t xml:space="preserve">High</w:t>
            </w:r>
          </w:p>
        </w:tc>
        <w:tc>
          <w:tcPr>
            <w:tcW w:type="dxa" w:w="2394"/>
            <w:tcBorders>
              <w:top w:val="single" w:sz="1"/>
              <w:left w:val="single" w:sz="1"/>
              <w:bottom w:val="single" w:sz="1"/>
              <w:right w:val="single" w:sz="1"/>
            </w:tcBorders>
            <w:vAlign w:val="top"/>
          </w:tcPr>
          <w:p>
            <w:r>
              <w:t xml:space="preserve">Feasible with ONNX</w:t>
            </w:r>
          </w:p>
        </w:tc>
      </w:tr>
      <w:tr>
        <w:tc>
          <w:tcPr>
            <w:tcW w:type="dxa" w:w="2394"/>
            <w:tcBorders>
              <w:top w:val="single" w:sz="1"/>
              <w:left w:val="single" w:sz="1"/>
              <w:bottom w:val="single" w:sz="1"/>
              <w:right w:val="single" w:sz="1"/>
            </w:tcBorders>
            <w:vAlign w:val="top"/>
          </w:tcPr>
          <w:p>
            <w:r>
              <w:t xml:space="preserve">**Section segmentation**</w:t>
            </w:r>
          </w:p>
        </w:tc>
        <w:tc>
          <w:tcPr>
            <w:tcW w:type="dxa" w:w="2394"/>
            <w:tcBorders>
              <w:top w:val="single" w:sz="1"/>
              <w:left w:val="single" w:sz="1"/>
              <w:bottom w:val="single" w:sz="1"/>
              <w:right w:val="single" w:sz="1"/>
            </w:tcBorders>
            <w:vAlign w:val="top"/>
          </w:tcPr>
          <w:p>
            <w:r>
              <w:t xml:space="preserve">LayoutLMv3, DocTR</w:t>
            </w:r>
          </w:p>
        </w:tc>
        <w:tc>
          <w:tcPr>
            <w:tcW w:type="dxa" w:w="2394"/>
            <w:tcBorders>
              <w:top w:val="single" w:sz="1"/>
              <w:left w:val="single" w:sz="1"/>
              <w:bottom w:val="single" w:sz="1"/>
              <w:right w:val="single" w:sz="1"/>
            </w:tcBorders>
            <w:vAlign w:val="top"/>
          </w:tcPr>
          <w:p>
            <w:r>
              <w:t xml:space="preserve">High</w:t>
            </w:r>
          </w:p>
        </w:tc>
        <w:tc>
          <w:tcPr>
            <w:tcW w:type="dxa" w:w="2394"/>
            <w:tcBorders>
              <w:top w:val="single" w:sz="1"/>
              <w:left w:val="single" w:sz="1"/>
              <w:bottom w:val="single" w:sz="1"/>
              <w:right w:val="single" w:sz="1"/>
            </w:tcBorders>
            <w:vAlign w:val="top"/>
          </w:tcPr>
          <w:p>
            <w:r>
              <w:t xml:space="preserve">Possible via transformers.js</w:t>
            </w:r>
          </w:p>
        </w:tc>
      </w:tr>
      <w:tr>
        <w:tc>
          <w:tcPr>
            <w:tcW w:type="dxa" w:w="2394"/>
            <w:tcBorders>
              <w:top w:val="single" w:sz="1"/>
              <w:left w:val="single" w:sz="1"/>
              <w:bottom w:val="single" w:sz="1"/>
              <w:right w:val="single" w:sz="1"/>
            </w:tcBorders>
            <w:vAlign w:val="top"/>
          </w:tcPr>
          <w:p>
            <w:r>
              <w:t xml:space="preserve">**Entity extraction**</w:t>
            </w:r>
          </w:p>
        </w:tc>
        <w:tc>
          <w:tcPr>
            <w:tcW w:type="dxa" w:w="2394"/>
            <w:tcBorders>
              <w:top w:val="single" w:sz="1"/>
              <w:left w:val="single" w:sz="1"/>
              <w:bottom w:val="single" w:sz="1"/>
              <w:right w:val="single" w:sz="1"/>
            </w:tcBorders>
            <w:vAlign w:val="top"/>
          </w:tcPr>
          <w:p>
            <w:r>
              <w:t xml:space="preserve">FinBERT, SEC-BERT</w:t>
            </w:r>
          </w:p>
        </w:tc>
        <w:tc>
          <w:tcPr>
            <w:tcW w:type="dxa" w:w="2394"/>
            <w:tcBorders>
              <w:top w:val="single" w:sz="1"/>
              <w:left w:val="single" w:sz="1"/>
              <w:bottom w:val="single" w:sz="1"/>
              <w:right w:val="single" w:sz="1"/>
            </w:tcBorders>
            <w:vAlign w:val="top"/>
          </w:tcPr>
          <w:p>
            <w:r>
              <w:t xml:space="preserve">High</w:t>
            </w:r>
          </w:p>
        </w:tc>
        <w:tc>
          <w:tcPr>
            <w:tcW w:type="dxa" w:w="2394"/>
            <w:tcBorders>
              <w:top w:val="single" w:sz="1"/>
              <w:left w:val="single" w:sz="1"/>
              <w:bottom w:val="single" w:sz="1"/>
              <w:right w:val="single" w:sz="1"/>
            </w:tcBorders>
            <w:vAlign w:val="top"/>
          </w:tcPr>
          <w:p>
            <w:r>
              <w:t xml:space="preserve">Yes (small models)</w:t>
            </w:r>
          </w:p>
        </w:tc>
      </w:tr>
      <w:tr>
        <w:tc>
          <w:tcPr>
            <w:tcW w:type="dxa" w:w="2394"/>
            <w:tcBorders>
              <w:top w:val="single" w:sz="1"/>
              <w:left w:val="single" w:sz="1"/>
              <w:bottom w:val="single" w:sz="1"/>
              <w:right w:val="single" w:sz="1"/>
            </w:tcBorders>
            <w:vAlign w:val="top"/>
          </w:tcPr>
          <w:p>
            <w:r>
              <w:t xml:space="preserve">**End-to-end**</w:t>
            </w:r>
          </w:p>
        </w:tc>
        <w:tc>
          <w:tcPr>
            <w:tcW w:type="dxa" w:w="2394"/>
            <w:tcBorders>
              <w:top w:val="single" w:sz="1"/>
              <w:left w:val="single" w:sz="1"/>
              <w:bottom w:val="single" w:sz="1"/>
              <w:right w:val="single" w:sz="1"/>
            </w:tcBorders>
            <w:vAlign w:val="top"/>
          </w:tcPr>
          <w:p>
            <w:r>
              <w:t xml:space="preserve">LlamaExtract (LlamaIndex)</w:t>
            </w:r>
          </w:p>
        </w:tc>
        <w:tc>
          <w:tcPr>
            <w:tcW w:type="dxa" w:w="2394"/>
            <w:tcBorders>
              <w:top w:val="single" w:sz="1"/>
              <w:left w:val="single" w:sz="1"/>
              <w:bottom w:val="single" w:sz="1"/>
              <w:right w:val="single" w:sz="1"/>
            </w:tcBorders>
            <w:vAlign w:val="top"/>
          </w:tcPr>
          <w:p>
            <w:r>
              <w:t xml:space="preserve">Moderate-High</w:t>
            </w:r>
          </w:p>
        </w:tc>
        <w:tc>
          <w:tcPr>
            <w:tcW w:type="dxa" w:w="2394"/>
            <w:tcBorders>
              <w:top w:val="single" w:sz="1"/>
              <w:left w:val="single" w:sz="1"/>
              <w:bottom w:val="single" w:sz="1"/>
              <w:right w:val="single" w:sz="1"/>
            </w:tcBorders>
            <w:vAlign w:val="top"/>
          </w:tcPr>
          <w:p>
            <w:r>
              <w:t xml:space="preserve">No (server-side)</w:t>
            </w:r>
          </w:p>
        </w:tc>
      </w:tr>
    </w:tbl>
    <w:p>
      <w:pPr>
        <w:spacing w:after="120"/>
      </w:pPr>
      <w:r>
        <w:rPr>
          <w:rFonts w:ascii="Arial" w:cs="Arial" w:eastAsia="Arial" w:hAnsi="Arial"/>
          <w:b/>
          <w:bCs/>
        </w:rPr>
        <w:t xml:space="preserve">Key insight:</w:t>
      </w:r>
      <w:r>
        <w:rPr>
          <w:rFonts w:ascii="Arial" w:cs="Arial" w:eastAsia="Arial" w:hAnsi="Arial"/>
        </w:rPr>
        <w:t xml:space="preserve"> SEC filings increasingly use iXBRL (inline XBRL) format, which embeds structured data directly in the HTML. Parsing iXBRL first eliminates the need for AI extraction of financial data entirely — it's already tagged. Fall back to AI extraction only for narrative sections (MD&amp;A, Risk Factors).</w:t>
      </w:r>
    </w:p>
    <w:p>
      <w:pPr>
        <w:spacing w:after="120"/>
      </w:pPr>
      <w:r>
        <w:rPr>
          <w:rFonts w:ascii="Arial" w:cs="Arial" w:eastAsia="Arial" w:hAnsi="Arial"/>
          <w:b/>
          <w:bCs/>
        </w:rPr>
        <w:t xml:space="preserve">Recommendation:</w:t>
      </w:r>
      <w:r>
        <w:rPr>
          <w:rFonts w:ascii="Arial" w:cs="Arial" w:eastAsia="Arial" w:hAnsi="Arial"/>
        </w:rPr>
        <w:t xml:space="preserve"> Add iXBRL parsing as the primary extraction path for SEC filings. Use AI extraction only for unstructured narrative sections. This will dramatically improve accuracy for financial data while reducing compute.</w:t>
      </w:r>
    </w:p>
    <w:p>
      <w:pPr>
        <w:pStyle w:val="Heading3"/>
        <w:spacing w:after="120" w:before="240"/>
        <w:outlineLvl w:val="2"/>
      </w:pPr>
      <w:r>
        <w:t xml:space="preserve">2.3 Client-Side Document AI Models</w:t>
      </w:r>
    </w:p>
    <w:p>
      <w:pPr>
        <w:spacing w:after="120"/>
      </w:pPr>
      <w:r>
        <w:rPr>
          <w:rFonts w:ascii="Arial" w:cs="Arial" w:eastAsia="Arial" w:hAnsi="Arial"/>
          <w:b/>
          <w:bCs/>
        </w:rPr>
        <w:t xml:space="preserve">Transformers.js v4</w:t>
      </w:r>
      <w:r>
        <w:rPr>
          <w:rFonts w:ascii="Arial" w:cs="Arial" w:eastAsia="Arial" w:hAnsi="Arial"/>
        </w:rPr>
        <w:t xml:space="preserve"> (released February 2026) is a game-changer:</w:t>
      </w:r>
    </w:p>
    <w:p>
      <w:pPr>
        <w:pStyle w:val="ListParagraph"/>
        <w:numPr>
          <w:ilvl w:val="0"/>
          <w:numId w:val="1"/>
        </w:numPr>
        <w:spacing w:after="100"/>
      </w:pPr>
      <w:r>
        <w:t xml:space="preserve">C++ rewritten WebGPU runtime delivers 3–10x speed improvements over v3</w:t>
      </w:r>
    </w:p>
    <w:p>
      <w:pPr>
        <w:pStyle w:val="ListParagraph"/>
        <w:numPr>
          <w:ilvl w:val="0"/>
          <w:numId w:val="1"/>
        </w:numPr>
        <w:spacing w:after="100"/>
      </w:pPr>
      <w:r>
        <w:t xml:space="preserve">Supports models with 8B+ parameters</w:t>
      </w:r>
    </w:p>
    <w:p>
      <w:pPr>
        <w:pStyle w:val="ListParagraph"/>
        <w:numPr>
          <w:ilvl w:val="0"/>
          <w:numId w:val="1"/>
        </w:numPr>
        <w:spacing w:after="100"/>
      </w:pPr>
      <w:r>
        <w:t xml:space="preserve">Built-in support for NER, text classification, and embedding generation</w:t>
      </w:r>
    </w:p>
    <w:p>
      <w:pPr>
        <w:spacing w:after="120"/>
      </w:pPr>
      <w:r>
        <w:rPr>
          <w:rFonts w:ascii="Arial" w:cs="Arial" w:eastAsia="Arial" w:hAnsi="Arial"/>
          <w:b/>
          <w:bCs/>
        </w:rPr>
        <w:t xml:space="preserve">Recommended client-side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tLeast"/>
        </w:trPr>
        <w:tc>
          <w:tcPr>
            <w:tcW w:type="dxa" w:w="2394"/>
            <w:tcBorders>
              <w:top w:val="single" w:sz="1"/>
              <w:left w:val="single" w:sz="1"/>
              <w:bottom w:val="single" w:sz="1"/>
              <w:right w:val="single" w:sz="1"/>
            </w:tcBorders>
            <w:shd w:fill="D3D3D3" w:val="clear"/>
            <w:vAlign w:val="center"/>
          </w:tcPr>
          <w:p>
            <w:r>
              <w:t xml:space="preserve">Task</w:t>
            </w:r>
          </w:p>
        </w:tc>
        <w:tc>
          <w:tcPr>
            <w:tcW w:type="dxa" w:w="2394"/>
            <w:tcBorders>
              <w:top w:val="single" w:sz="1"/>
              <w:left w:val="single" w:sz="1"/>
              <w:bottom w:val="single" w:sz="1"/>
              <w:right w:val="single" w:sz="1"/>
            </w:tcBorders>
            <w:shd w:fill="D3D3D3" w:val="clear"/>
            <w:vAlign w:val="center"/>
          </w:tcPr>
          <w:p>
            <w:r>
              <w:t xml:space="preserve">Model</w:t>
            </w:r>
          </w:p>
        </w:tc>
        <w:tc>
          <w:tcPr>
            <w:tcW w:type="dxa" w:w="2394"/>
            <w:tcBorders>
              <w:top w:val="single" w:sz="1"/>
              <w:left w:val="single" w:sz="1"/>
              <w:bottom w:val="single" w:sz="1"/>
              <w:right w:val="single" w:sz="1"/>
            </w:tcBorders>
            <w:shd w:fill="D3D3D3" w:val="clear"/>
            <w:vAlign w:val="center"/>
          </w:tcPr>
          <w:p>
            <w:r>
              <w:t xml:space="preserve">Size</w:t>
            </w:r>
          </w:p>
        </w:tc>
        <w:tc>
          <w:tcPr>
            <w:tcW w:type="dxa" w:w="2394"/>
            <w:tcBorders>
              <w:top w:val="single" w:sz="1"/>
              <w:left w:val="single" w:sz="1"/>
              <w:bottom w:val="single" w:sz="1"/>
              <w:right w:val="single" w:sz="1"/>
            </w:tcBorders>
            <w:shd w:fill="D3D3D3" w:val="clear"/>
            <w:vAlign w:val="center"/>
          </w:tcPr>
          <w:p>
            <w:r>
              <w:t xml:space="preserve">Performance</w:t>
            </w:r>
          </w:p>
        </w:tc>
      </w:tr>
      <w:tr>
        <w:tc>
          <w:tcPr>
            <w:tcW w:type="dxa" w:w="2394"/>
            <w:tcBorders>
              <w:top w:val="single" w:sz="1"/>
              <w:left w:val="single" w:sz="1"/>
              <w:bottom w:val="single" w:sz="1"/>
              <w:right w:val="single" w:sz="1"/>
            </w:tcBorders>
            <w:vAlign w:val="top"/>
          </w:tcPr>
          <w:p>
            <w:r>
              <w:t xml:space="preserve">**OCR**</w:t>
            </w:r>
          </w:p>
        </w:tc>
        <w:tc>
          <w:tcPr>
            <w:tcW w:type="dxa" w:w="2394"/>
            <w:tcBorders>
              <w:top w:val="single" w:sz="1"/>
              <w:left w:val="single" w:sz="1"/>
              <w:bottom w:val="single" w:sz="1"/>
              <w:right w:val="single" w:sz="1"/>
            </w:tcBorders>
            <w:vAlign w:val="top"/>
          </w:tcPr>
          <w:p>
            <w:r>
              <w:t xml:space="preserve">Tesseract.js (current) → supplement with DocTR ONNX</w:t>
            </w:r>
          </w:p>
        </w:tc>
        <w:tc>
          <w:tcPr>
            <w:tcW w:type="dxa" w:w="2394"/>
            <w:tcBorders>
              <w:top w:val="single" w:sz="1"/>
              <w:left w:val="single" w:sz="1"/>
              <w:bottom w:val="single" w:sz="1"/>
              <w:right w:val="single" w:sz="1"/>
            </w:tcBorders>
            <w:vAlign w:val="top"/>
          </w:tcPr>
          <w:p>
            <w:r>
              <w:t xml:space="preserve">~50MB</w:t>
            </w:r>
          </w:p>
        </w:tc>
        <w:tc>
          <w:tcPr>
            <w:tcW w:type="dxa" w:w="2394"/>
            <w:tcBorders>
              <w:top w:val="single" w:sz="1"/>
              <w:left w:val="single" w:sz="1"/>
              <w:bottom w:val="single" w:sz="1"/>
              <w:right w:val="single" w:sz="1"/>
            </w:tcBorders>
            <w:vAlign w:val="top"/>
          </w:tcPr>
          <w:p>
            <w:r>
              <w:t xml:space="preserve">Significant accuracy improvement on complex layouts</w:t>
            </w:r>
          </w:p>
        </w:tc>
      </w:tr>
      <w:tr>
        <w:tc>
          <w:tcPr>
            <w:tcW w:type="dxa" w:w="2394"/>
            <w:tcBorders>
              <w:top w:val="single" w:sz="1"/>
              <w:left w:val="single" w:sz="1"/>
              <w:bottom w:val="single" w:sz="1"/>
              <w:right w:val="single" w:sz="1"/>
            </w:tcBorders>
            <w:vAlign w:val="top"/>
          </w:tcPr>
          <w:p>
            <w:r>
              <w:t xml:space="preserve">**Layout analysis**</w:t>
            </w:r>
          </w:p>
        </w:tc>
        <w:tc>
          <w:tcPr>
            <w:tcW w:type="dxa" w:w="2394"/>
            <w:tcBorders>
              <w:top w:val="single" w:sz="1"/>
              <w:left w:val="single" w:sz="1"/>
              <w:bottom w:val="single" w:sz="1"/>
              <w:right w:val="single" w:sz="1"/>
            </w:tcBorders>
            <w:vAlign w:val="top"/>
          </w:tcPr>
          <w:p>
            <w:r>
              <w:t xml:space="preserve">LayoutLMv3 (ONNX)</w:t>
            </w:r>
          </w:p>
        </w:tc>
        <w:tc>
          <w:tcPr>
            <w:tcW w:type="dxa" w:w="2394"/>
            <w:tcBorders>
              <w:top w:val="single" w:sz="1"/>
              <w:left w:val="single" w:sz="1"/>
              <w:bottom w:val="single" w:sz="1"/>
              <w:right w:val="single" w:sz="1"/>
            </w:tcBorders>
            <w:vAlign w:val="top"/>
          </w:tcPr>
          <w:p>
            <w:r>
              <w:t xml:space="preserve">~125MB</w:t>
            </w:r>
          </w:p>
        </w:tc>
        <w:tc>
          <w:tcPr>
            <w:tcW w:type="dxa" w:w="2394"/>
            <w:tcBorders>
              <w:top w:val="single" w:sz="1"/>
              <w:left w:val="single" w:sz="1"/>
              <w:bottom w:val="single" w:sz="1"/>
              <w:right w:val="single" w:sz="1"/>
            </w:tcBorders>
            <w:vAlign w:val="top"/>
          </w:tcPr>
          <w:p>
            <w:r>
              <w:t xml:space="preserve">Structure-aware extraction</w:t>
            </w:r>
          </w:p>
        </w:tc>
      </w:tr>
      <w:tr>
        <w:tc>
          <w:tcPr>
            <w:tcW w:type="dxa" w:w="2394"/>
            <w:tcBorders>
              <w:top w:val="single" w:sz="1"/>
              <w:left w:val="single" w:sz="1"/>
              <w:bottom w:val="single" w:sz="1"/>
              <w:right w:val="single" w:sz="1"/>
            </w:tcBorders>
            <w:vAlign w:val="top"/>
          </w:tcPr>
          <w:p>
            <w:r>
              <w:t xml:space="preserve">**NER/PII**</w:t>
            </w:r>
          </w:p>
        </w:tc>
        <w:tc>
          <w:tcPr>
            <w:tcW w:type="dxa" w:w="2394"/>
            <w:tcBorders>
              <w:top w:val="single" w:sz="1"/>
              <w:left w:val="single" w:sz="1"/>
              <w:bottom w:val="single" w:sz="1"/>
              <w:right w:val="single" w:sz="1"/>
            </w:tcBorders>
            <w:vAlign w:val="top"/>
          </w:tcPr>
          <w:p>
            <w:r>
              <w:t xml:space="preserve">GLiNER or microsoft/Phi-3-mini (quantized)</w:t>
            </w:r>
          </w:p>
        </w:tc>
        <w:tc>
          <w:tcPr>
            <w:tcW w:type="dxa" w:w="2394"/>
            <w:tcBorders>
              <w:top w:val="single" w:sz="1"/>
              <w:left w:val="single" w:sz="1"/>
              <w:bottom w:val="single" w:sz="1"/>
              <w:right w:val="single" w:sz="1"/>
            </w:tcBorders>
            <w:vAlign w:val="top"/>
          </w:tcPr>
          <w:p>
            <w:r>
              <w:t xml:space="preserve">~200MB–1GB</w:t>
            </w:r>
          </w:p>
        </w:tc>
        <w:tc>
          <w:tcPr>
            <w:tcW w:type="dxa" w:w="2394"/>
            <w:tcBorders>
              <w:top w:val="single" w:sz="1"/>
              <w:left w:val="single" w:sz="1"/>
              <w:bottom w:val="single" w:sz="1"/>
              <w:right w:val="single" w:sz="1"/>
            </w:tcBorders>
            <w:vAlign w:val="top"/>
          </w:tcPr>
          <w:p>
            <w:r>
              <w:t xml:space="preserve">Flexible entity extraction</w:t>
            </w:r>
          </w:p>
        </w:tc>
      </w:tr>
      <w:tr>
        <w:tc>
          <w:tcPr>
            <w:tcW w:type="dxa" w:w="2394"/>
            <w:tcBorders>
              <w:top w:val="single" w:sz="1"/>
              <w:left w:val="single" w:sz="1"/>
              <w:bottom w:val="single" w:sz="1"/>
              <w:right w:val="single" w:sz="1"/>
            </w:tcBorders>
            <w:vAlign w:val="top"/>
          </w:tcPr>
          <w:p>
            <w:r>
              <w:t xml:space="preserve">**Embeddings**</w:t>
            </w:r>
          </w:p>
        </w:tc>
        <w:tc>
          <w:tcPr>
            <w:tcW w:type="dxa" w:w="2394"/>
            <w:tcBorders>
              <w:top w:val="single" w:sz="1"/>
              <w:left w:val="single" w:sz="1"/>
              <w:bottom w:val="single" w:sz="1"/>
              <w:right w:val="single" w:sz="1"/>
            </w:tcBorders>
            <w:vAlign w:val="top"/>
          </w:tcPr>
          <w:p>
            <w:r>
              <w:t xml:space="preserve">all-MiniLM-L6-v2 (via transformers.js)</w:t>
            </w:r>
          </w:p>
        </w:tc>
        <w:tc>
          <w:tcPr>
            <w:tcW w:type="dxa" w:w="2394"/>
            <w:tcBorders>
              <w:top w:val="single" w:sz="1"/>
              <w:left w:val="single" w:sz="1"/>
              <w:bottom w:val="single" w:sz="1"/>
              <w:right w:val="single" w:sz="1"/>
            </w:tcBorders>
            <w:vAlign w:val="top"/>
          </w:tcPr>
          <w:p>
            <w:r>
              <w:t xml:space="preserve">~23MB</w:t>
            </w:r>
          </w:p>
        </w:tc>
        <w:tc>
          <w:tcPr>
            <w:tcW w:type="dxa" w:w="2394"/>
            <w:tcBorders>
              <w:top w:val="single" w:sz="1"/>
              <w:left w:val="single" w:sz="1"/>
              <w:bottom w:val="single" w:sz="1"/>
              <w:right w:val="single" w:sz="1"/>
            </w:tcBorders>
            <w:vAlign w:val="top"/>
          </w:tcPr>
          <w:p>
            <w:r>
              <w:t xml:space="preserve">Good enough for in-browser similarity</w:t>
            </w:r>
          </w:p>
        </w:tc>
      </w:tr>
      <w:tr>
        <w:tc>
          <w:tcPr>
            <w:tcW w:type="dxa" w:w="2394"/>
            <w:tcBorders>
              <w:top w:val="single" w:sz="1"/>
              <w:left w:val="single" w:sz="1"/>
              <w:bottom w:val="single" w:sz="1"/>
              <w:right w:val="single" w:sz="1"/>
            </w:tcBorders>
            <w:vAlign w:val="top"/>
          </w:tcPr>
          <w:p>
            <w:r>
              <w:t xml:space="preserve">**Classification**</w:t>
            </w:r>
          </w:p>
        </w:tc>
        <w:tc>
          <w:tcPr>
            <w:tcW w:type="dxa" w:w="2394"/>
            <w:tcBorders>
              <w:top w:val="single" w:sz="1"/>
              <w:left w:val="single" w:sz="1"/>
              <w:bottom w:val="single" w:sz="1"/>
              <w:right w:val="single" w:sz="1"/>
            </w:tcBorders>
            <w:vAlign w:val="top"/>
          </w:tcPr>
          <w:p>
            <w:r>
              <w:t xml:space="preserve">DistilBERT fine-tuned</w:t>
            </w:r>
          </w:p>
        </w:tc>
        <w:tc>
          <w:tcPr>
            <w:tcW w:type="dxa" w:w="2394"/>
            <w:tcBorders>
              <w:top w:val="single" w:sz="1"/>
              <w:left w:val="single" w:sz="1"/>
              <w:bottom w:val="single" w:sz="1"/>
              <w:right w:val="single" w:sz="1"/>
            </w:tcBorders>
            <w:vAlign w:val="top"/>
          </w:tcPr>
          <w:p>
            <w:r>
              <w:t xml:space="preserve">~65MB</w:t>
            </w:r>
          </w:p>
        </w:tc>
        <w:tc>
          <w:tcPr>
            <w:tcW w:type="dxa" w:w="2394"/>
            <w:tcBorders>
              <w:top w:val="single" w:sz="1"/>
              <w:left w:val="single" w:sz="1"/>
              <w:bottom w:val="single" w:sz="1"/>
              <w:right w:val="single" w:sz="1"/>
            </w:tcBorders>
            <w:vAlign w:val="top"/>
          </w:tcPr>
          <w:p>
            <w:r>
              <w:t xml:space="preserve">Document type routing</w:t>
            </w:r>
          </w:p>
        </w:tc>
      </w:tr>
    </w:tbl>
    <w:p>
      <w:pPr>
        <w:pStyle w:val="Heading3"/>
        <w:spacing w:after="120" w:before="240"/>
        <w:outlineLvl w:val="2"/>
      </w:pPr>
      <w:r>
        <w:t xml:space="preserve">2.4 PII Detection Improvements</w:t>
      </w:r>
    </w:p>
    <w:p>
      <w:pPr>
        <w:spacing w:after="120"/>
      </w:pPr>
      <w:r>
        <w:rPr>
          <w:rFonts w:ascii="Arial" w:cs="Arial" w:eastAsia="Arial" w:hAnsi="Arial"/>
        </w:rPr>
        <w:t xml:space="preserve">Current best approaches for client-side PII stripping:</w:t>
      </w:r>
    </w:p>
    <w:p>
      <w:pPr>
        <w:pStyle w:val="ListParagraph"/>
        <w:numPr>
          <w:ilvl w:val="0"/>
          <w:numId w:val="1"/>
        </w:numPr>
        <w:spacing w:after="100"/>
      </w:pPr>
      <w:r>
        <w:t xml:space="preserve">**Microsoft Presidio** patterns ported to JS for regex-based detection (SSN, credit cards, etc.)</w:t>
      </w:r>
    </w:p>
    <w:p>
      <w:pPr>
        <w:pStyle w:val="ListParagraph"/>
        <w:numPr>
          <w:ilvl w:val="0"/>
          <w:numId w:val="1"/>
        </w:numPr>
        <w:spacing w:after="100"/>
      </w:pPr>
      <w:r>
        <w:t xml:space="preserve">**GLiNER** for flexible, zero-shot NER (can detect custom entity types without retraining)</w:t>
      </w:r>
    </w:p>
    <w:p>
      <w:pPr>
        <w:pStyle w:val="ListParagraph"/>
        <w:numPr>
          <w:ilvl w:val="0"/>
          <w:numId w:val="1"/>
        </w:numPr>
        <w:spacing w:after="100"/>
      </w:pPr>
      <w:r>
        <w:t xml:space="preserve">**Layered approach:** Regex first (fast, high precision for structured PII), then model-based (for names, addresses, contextual PII)</w:t>
      </w:r>
    </w:p>
    <w:p>
      <w:pPr>
        <w:pStyle w:val="Heading3"/>
        <w:spacing w:after="120" w:before="240"/>
        <w:outlineLvl w:val="2"/>
      </w:pPr>
      <w:r>
        <w:t xml:space="preserve">2.5 Table Extraction State of the Art</w:t>
      </w:r>
    </w:p>
    <w:p>
      <w:pPr>
        <w:spacing w:after="120"/>
      </w:pPr>
      <w:r>
        <w:rPr>
          <w:rFonts w:ascii="Arial" w:cs="Arial" w:eastAsia="Arial" w:hAnsi="Arial"/>
        </w:rPr>
        <w:t xml:space="preserve">For PDF tables specifically:</w:t>
      </w:r>
    </w:p>
    <w:p>
      <w:pPr>
        <w:pStyle w:val="ListParagraph"/>
        <w:numPr>
          <w:ilvl w:val="0"/>
          <w:numId w:val="1"/>
        </w:numPr>
        <w:spacing w:after="100"/>
      </w:pPr>
      <w:r>
        <w:t xml:space="preserve">**YOLO-based detection** (real-time object detection) identifies table boundaries</w:t>
      </w:r>
    </w:p>
    <w:p>
      <w:pPr>
        <w:pStyle w:val="ListParagraph"/>
        <w:numPr>
          <w:ilvl w:val="0"/>
          <w:numId w:val="1"/>
        </w:numPr>
        <w:spacing w:after="100"/>
      </w:pPr>
      <w:r>
        <w:t xml:space="preserve">**BERT-based models** resolve cell content and relationships</w:t>
      </w:r>
    </w:p>
    <w:p>
      <w:pPr>
        <w:pStyle w:val="ListParagraph"/>
        <w:numPr>
          <w:ilvl w:val="0"/>
          <w:numId w:val="1"/>
        </w:numPr>
        <w:spacing w:after="100"/>
      </w:pPr>
      <w:r>
        <w:t xml:space="preserve">**Table Transformer (TATR)** from Microsoft — specifically designed for table structure recognition in documents</w:t>
      </w:r>
    </w:p>
    <w:p>
      <w:pPr>
        <w:pStyle w:val="ListParagraph"/>
        <w:numPr>
          <w:ilvl w:val="0"/>
          <w:numId w:val="1"/>
        </w:numPr>
        <w:spacing w:after="100"/>
      </w:pPr>
      <w:r>
        <w:t xml:space="preserve">For SEC filings: prefer HTML table parsing over PDF table extraction where possible (EDGAR provides HTML)</w:t>
      </w:r>
    </w:p>
    <w:p>
      <w:pPr>
        <w:pStyle w:val="Heading2"/>
        <w:spacing w:after="120" w:before="240"/>
        <w:outlineLvl w:val="1"/>
      </w:pPr>
      <w:r>
        <w:t xml:space="preserve">3. RAG Architecture Recommendations</w:t>
      </w:r>
    </w:p>
    <w:p>
      <w:pPr>
        <w:pStyle w:val="Heading3"/>
        <w:spacing w:after="120" w:before="240"/>
        <w:outlineLvl w:val="2"/>
      </w:pPr>
      <w:r>
        <w:t xml:space="preserve">3.1 Chunking Strategy for Legal/Financial Documents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400" w:hRule="atLeast"/>
        </w:trPr>
        <w:tc>
          <w:tcPr>
            <w:tcW w:type="dxa" w:w="3192"/>
            <w:tcBorders>
              <w:top w:val="single" w:sz="1"/>
              <w:left w:val="single" w:sz="1"/>
              <w:bottom w:val="single" w:sz="1"/>
              <w:right w:val="single" w:sz="1"/>
            </w:tcBorders>
            <w:shd w:fill="D3D3D3" w:val="clear"/>
            <w:vAlign w:val="center"/>
          </w:tcPr>
          <w:p>
            <w:r>
              <w:t xml:space="preserve">Strategy</w:t>
            </w:r>
          </w:p>
        </w:tc>
        <w:tc>
          <w:tcPr>
            <w:tcW w:type="dxa" w:w="3192"/>
            <w:tcBorders>
              <w:top w:val="single" w:sz="1"/>
              <w:left w:val="single" w:sz="1"/>
              <w:bottom w:val="single" w:sz="1"/>
              <w:right w:val="single" w:sz="1"/>
            </w:tcBorders>
            <w:shd w:fill="D3D3D3" w:val="clear"/>
            <w:vAlign w:val="center"/>
          </w:tcPr>
          <w:p>
            <w:r>
              <w:t xml:space="preserve">When to Use</w:t>
            </w:r>
          </w:p>
        </w:tc>
        <w:tc>
          <w:tcPr>
            <w:tcW w:type="dxa" w:w="3192"/>
            <w:tcBorders>
              <w:top w:val="single" w:sz="1"/>
              <w:left w:val="single" w:sz="1"/>
              <w:bottom w:val="single" w:sz="1"/>
              <w:right w:val="single" w:sz="1"/>
            </w:tcBorders>
            <w:shd w:fill="D3D3D3" w:val="clear"/>
            <w:vAlign w:val="center"/>
          </w:tcPr>
          <w:p>
            <w:r>
              <w:t xml:space="preserve">Expected Improvement</w:t>
            </w:r>
          </w:p>
        </w:tc>
      </w:tr>
      <w:tr>
        <w:tc>
          <w:tcPr>
            <w:tcW w:type="dxa" w:w="3192"/>
            <w:tcBorders>
              <w:top w:val="single" w:sz="1"/>
              <w:left w:val="single" w:sz="1"/>
              <w:bottom w:val="single" w:sz="1"/>
              <w:right w:val="single" w:sz="1"/>
            </w:tcBorders>
            <w:vAlign w:val="top"/>
          </w:tcPr>
          <w:p>
            <w:r>
              <w:t xml:space="preserve">**Markdown/section-aware chunking**</w:t>
            </w:r>
          </w:p>
        </w:tc>
        <w:tc>
          <w:tcPr>
            <w:tcW w:type="dxa" w:w="3192"/>
            <w:tcBorders>
              <w:top w:val="single" w:sz="1"/>
              <w:left w:val="single" w:sz="1"/>
              <w:bottom w:val="single" w:sz="1"/>
              <w:right w:val="single" w:sz="1"/>
            </w:tcBorders>
            <w:vAlign w:val="top"/>
          </w:tcPr>
          <w:p>
            <w:r>
              <w:t xml:space="preserve">Primary strategy for all structured docs</w:t>
            </w:r>
          </w:p>
        </w:tc>
        <w:tc>
          <w:tcPr>
            <w:tcW w:type="dxa" w:w="3192"/>
            <w:tcBorders>
              <w:top w:val="single" w:sz="1"/>
              <w:left w:val="single" w:sz="1"/>
              <w:bottom w:val="single" w:sz="1"/>
              <w:right w:val="single" w:sz="1"/>
            </w:tcBorders>
            <w:vAlign w:val="top"/>
          </w:tcPr>
          <w:p>
            <w:r>
              <w:t xml:space="preserve">+5–10% over naive fixed-size</w:t>
            </w:r>
          </w:p>
        </w:tc>
      </w:tr>
      <w:tr>
        <w:tc>
          <w:tcPr>
            <w:tcW w:type="dxa" w:w="3192"/>
            <w:tcBorders>
              <w:top w:val="single" w:sz="1"/>
              <w:left w:val="single" w:sz="1"/>
              <w:bottom w:val="single" w:sz="1"/>
              <w:right w:val="single" w:sz="1"/>
            </w:tcBorders>
            <w:vAlign w:val="top"/>
          </w:tcPr>
          <w:p>
            <w:r>
              <w:t xml:space="preserve">**Metadata-enriched chunks**</w:t>
            </w:r>
          </w:p>
        </w:tc>
        <w:tc>
          <w:tcPr>
            <w:tcW w:type="dxa" w:w="3192"/>
            <w:tcBorders>
              <w:top w:val="single" w:sz="1"/>
              <w:left w:val="single" w:sz="1"/>
              <w:bottom w:val="single" w:sz="1"/>
              <w:right w:val="single" w:sz="1"/>
            </w:tcBorders>
            <w:vAlign w:val="top"/>
          </w:tcPr>
          <w:p>
            <w:r>
              <w:t xml:space="preserve">All chunks</w:t>
            </w:r>
          </w:p>
        </w:tc>
        <w:tc>
          <w:tcPr>
            <w:tcW w:type="dxa" w:w="3192"/>
            <w:tcBorders>
              <w:top w:val="single" w:sz="1"/>
              <w:left w:val="single" w:sz="1"/>
              <w:bottom w:val="single" w:sz="1"/>
              <w:right w:val="single" w:sz="1"/>
            </w:tcBorders>
            <w:vAlign w:val="top"/>
          </w:tcPr>
          <w:p>
            <w:r>
              <w:t xml:space="preserve">Boosts QA accuracy from ~55% to ~73%</w:t>
            </w:r>
          </w:p>
        </w:tc>
      </w:tr>
      <w:tr>
        <w:tc>
          <w:tcPr>
            <w:tcW w:type="dxa" w:w="3192"/>
            <w:tcBorders>
              <w:top w:val="single" w:sz="1"/>
              <w:left w:val="single" w:sz="1"/>
              <w:bottom w:val="single" w:sz="1"/>
              <w:right w:val="single" w:sz="1"/>
            </w:tcBorders>
            <w:vAlign w:val="top"/>
          </w:tcPr>
          <w:p>
            <w:r>
              <w:t xml:space="preserve">**Semantic chunking**</w:t>
            </w:r>
          </w:p>
        </w:tc>
        <w:tc>
          <w:tcPr>
            <w:tcW w:type="dxa" w:w="3192"/>
            <w:tcBorders>
              <w:top w:val="single" w:sz="1"/>
              <w:left w:val="single" w:sz="1"/>
              <w:bottom w:val="single" w:sz="1"/>
              <w:right w:val="single" w:sz="1"/>
            </w:tcBorders>
            <w:vAlign w:val="top"/>
          </w:tcPr>
          <w:p>
            <w:r>
              <w:t xml:space="preserve">Unstructured narrative sections</w:t>
            </w:r>
          </w:p>
        </w:tc>
        <w:tc>
          <w:tcPr>
            <w:tcW w:type="dxa" w:w="3192"/>
            <w:tcBorders>
              <w:top w:val="single" w:sz="1"/>
              <w:left w:val="single" w:sz="1"/>
              <w:bottom w:val="single" w:sz="1"/>
              <w:right w:val="single" w:sz="1"/>
            </w:tcBorders>
            <w:vAlign w:val="top"/>
          </w:tcPr>
          <w:p>
            <w:r>
              <w:t xml:space="preserve">Moderate improvement; higher compute</w:t>
            </w:r>
          </w:p>
        </w:tc>
      </w:tr>
      <w:tr>
        <w:tc>
          <w:tcPr>
            <w:tcW w:type="dxa" w:w="3192"/>
            <w:tcBorders>
              <w:top w:val="single" w:sz="1"/>
              <w:left w:val="single" w:sz="1"/>
              <w:bottom w:val="single" w:sz="1"/>
              <w:right w:val="single" w:sz="1"/>
            </w:tcBorders>
            <w:vAlign w:val="top"/>
          </w:tcPr>
          <w:p>
            <w:r>
              <w:t xml:space="preserve">**Late chunking (Jina AI)**</w:t>
            </w:r>
          </w:p>
        </w:tc>
        <w:tc>
          <w:tcPr>
            <w:tcW w:type="dxa" w:w="3192"/>
            <w:tcBorders>
              <w:top w:val="single" w:sz="1"/>
              <w:left w:val="single" w:sz="1"/>
              <w:bottom w:val="single" w:sz="1"/>
              <w:right w:val="single" w:sz="1"/>
            </w:tcBorders>
            <w:vAlign w:val="top"/>
          </w:tcPr>
          <w:p>
            <w:r>
              <w:t xml:space="preserve">When context preservation is critical</w:t>
            </w:r>
          </w:p>
        </w:tc>
        <w:tc>
          <w:tcPr>
            <w:tcW w:type="dxa" w:w="3192"/>
            <w:tcBorders>
              <w:top w:val="single" w:sz="1"/>
              <w:left w:val="single" w:sz="1"/>
              <w:bottom w:val="single" w:sz="1"/>
              <w:right w:val="single" w:sz="1"/>
            </w:tcBorders>
            <w:vAlign w:val="top"/>
          </w:tcPr>
          <w:p>
            <w:r>
              <w:t xml:space="preserve">Each chunk retains full document context</w:t>
            </w:r>
          </w:p>
        </w:tc>
      </w:tr>
    </w:tbl>
    <w:p>
      <w:pPr>
        <w:spacing w:after="120"/>
      </w:pPr>
      <w:r>
        <w:rPr>
          <w:rFonts w:ascii="Arial" w:cs="Arial" w:eastAsia="Arial" w:hAnsi="Arial"/>
          <w:b/>
          <w:bCs/>
        </w:rPr>
        <w:t xml:space="preserve">Recommended configuration for Arkova:</w:t>
      </w:r>
    </w:p>
    <w:p>
      <w:pPr>
        <w:pStyle w:val="ListParagraph"/>
        <w:numPr>
          <w:ilvl w:val="0"/>
          <w:numId w:val="1"/>
        </w:numPr>
        <w:spacing w:after="100"/>
      </w:pPr>
      <w:r>
        <w:t xml:space="preserve">**Chunk size:** 1,024 tokens for financial documents (validated by Snowflake's FinanceBench research)</w:t>
      </w:r>
    </w:p>
    <w:p>
      <w:pPr>
        <w:pStyle w:val="ListParagraph"/>
        <w:numPr>
          <w:ilvl w:val="0"/>
          <w:numId w:val="1"/>
        </w:numPr>
        <w:spacing w:after="100"/>
      </w:pPr>
      <w:r>
        <w:t xml:space="preserve">**Overlap:** 200 tokens (20% overlap)</w:t>
      </w:r>
    </w:p>
    <w:p>
      <w:pPr>
        <w:pStyle w:val="ListParagraph"/>
        <w:numPr>
          <w:ilvl w:val="0"/>
          <w:numId w:val="1"/>
        </w:numPr>
        <w:spacing w:after="100"/>
      </w:pPr>
      <w:r>
        <w:t xml:space="preserve">**Metadata injection:** Append document-level context to every chunk: company name, filing date, form type, section header, Bitcoin anchor hash</w:t>
      </w:r>
    </w:p>
    <w:p>
      <w:pPr>
        <w:pStyle w:val="ListParagraph"/>
        <w:numPr>
          <w:ilvl w:val="0"/>
          <w:numId w:val="1"/>
        </w:numPr>
        <w:spacing w:after="100"/>
      </w:pPr>
      <w:r>
        <w:t xml:space="preserve">**Section-aware splitting:** Respect SEC filing section boundaries (Item 1, 1A, 7, 8, etc.)</w:t>
      </w:r>
    </w:p>
    <w:p>
      <w:pPr>
        <w:pStyle w:val="Heading3"/>
        <w:spacing w:after="120" w:before="240"/>
        <w:outlineLvl w:val="2"/>
      </w:pPr>
      <w:r>
        <w:t xml:space="preserve">3.2 Embedding Model Selection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tLeast"/>
        </w:trPr>
        <w:tc>
          <w:tcPr>
            <w:tcW w:type="dxa" w:w="2394"/>
            <w:tcBorders>
              <w:top w:val="single" w:sz="1"/>
              <w:left w:val="single" w:sz="1"/>
              <w:bottom w:val="single" w:sz="1"/>
              <w:right w:val="single" w:sz="1"/>
            </w:tcBorders>
            <w:shd w:fill="D3D3D3" w:val="clear"/>
            <w:vAlign w:val="center"/>
          </w:tcPr>
          <w:p>
            <w:r>
              <w:t xml:space="preserve">Model</w:t>
            </w:r>
          </w:p>
        </w:tc>
        <w:tc>
          <w:tcPr>
            <w:tcW w:type="dxa" w:w="2394"/>
            <w:tcBorders>
              <w:top w:val="single" w:sz="1"/>
              <w:left w:val="single" w:sz="1"/>
              <w:bottom w:val="single" w:sz="1"/>
              <w:right w:val="single" w:sz="1"/>
            </w:tcBorders>
            <w:shd w:fill="D3D3D3" w:val="clear"/>
            <w:vAlign w:val="center"/>
          </w:tcPr>
          <w:p>
            <w:r>
              <w:t xml:space="preserve">Dimensions</w:t>
            </w:r>
          </w:p>
        </w:tc>
        <w:tc>
          <w:tcPr>
            <w:tcW w:type="dxa" w:w="2394"/>
            <w:tcBorders>
              <w:top w:val="single" w:sz="1"/>
              <w:left w:val="single" w:sz="1"/>
              <w:bottom w:val="single" w:sz="1"/>
              <w:right w:val="single" w:sz="1"/>
            </w:tcBorders>
            <w:shd w:fill="D3D3D3" w:val="clear"/>
            <w:vAlign w:val="center"/>
          </w:tcPr>
          <w:p>
            <w:r>
              <w:t xml:space="preserve">Context Window</w:t>
            </w:r>
          </w:p>
        </w:tc>
        <w:tc>
          <w:tcPr>
            <w:tcW w:type="dxa" w:w="2394"/>
            <w:tcBorders>
              <w:top w:val="single" w:sz="1"/>
              <w:left w:val="single" w:sz="1"/>
              <w:bottom w:val="single" w:sz="1"/>
              <w:right w:val="single" w:sz="1"/>
            </w:tcBorders>
            <w:shd w:fill="D3D3D3" w:val="clear"/>
            <w:vAlign w:val="center"/>
          </w:tcPr>
          <w:p>
            <w:r>
              <w:t xml:space="preserve">Domain Performance</w:t>
            </w:r>
          </w:p>
        </w:tc>
      </w:tr>
      <w:tr>
        <w:tc>
          <w:tcPr>
            <w:tcW w:type="dxa" w:w="2394"/>
            <w:tcBorders>
              <w:top w:val="single" w:sz="1"/>
              <w:left w:val="single" w:sz="1"/>
              <w:bottom w:val="single" w:sz="1"/>
              <w:right w:val="single" w:sz="1"/>
            </w:tcBorders>
            <w:vAlign w:val="top"/>
          </w:tcPr>
          <w:p>
            <w:r>
              <w:t xml:space="preserve">**Voyage-3-large**</w:t>
            </w:r>
          </w:p>
        </w:tc>
        <w:tc>
          <w:tcPr>
            <w:tcW w:type="dxa" w:w="2394"/>
            <w:tcBorders>
              <w:top w:val="single" w:sz="1"/>
              <w:left w:val="single" w:sz="1"/>
              <w:bottom w:val="single" w:sz="1"/>
              <w:right w:val="single" w:sz="1"/>
            </w:tcBorders>
            <w:vAlign w:val="top"/>
          </w:tcPr>
          <w:p>
            <w:r>
              <w:t xml:space="preserve">1024</w:t>
            </w:r>
          </w:p>
        </w:tc>
        <w:tc>
          <w:tcPr>
            <w:tcW w:type="dxa" w:w="2394"/>
            <w:tcBorders>
              <w:top w:val="single" w:sz="1"/>
              <w:left w:val="single" w:sz="1"/>
              <w:bottom w:val="single" w:sz="1"/>
              <w:right w:val="single" w:sz="1"/>
            </w:tcBorders>
            <w:vAlign w:val="top"/>
          </w:tcPr>
          <w:p>
            <w:r>
              <w:t xml:space="preserve">32K tokens</w:t>
            </w:r>
          </w:p>
        </w:tc>
        <w:tc>
          <w:tcPr>
            <w:tcW w:type="dxa" w:w="2394"/>
            <w:tcBorders>
              <w:top w:val="single" w:sz="1"/>
              <w:left w:val="single" w:sz="1"/>
              <w:bottom w:val="single" w:sz="1"/>
              <w:right w:val="single" w:sz="1"/>
            </w:tcBorders>
            <w:vAlign w:val="top"/>
          </w:tcPr>
          <w:p>
            <w:r>
              <w:t xml:space="preserve">MTEB leader; +9.7% over OpenAI</w:t>
            </w:r>
          </w:p>
        </w:tc>
      </w:tr>
      <w:tr>
        <w:tc>
          <w:tcPr>
            <w:tcW w:type="dxa" w:w="2394"/>
            <w:tcBorders>
              <w:top w:val="single" w:sz="1"/>
              <w:left w:val="single" w:sz="1"/>
              <w:bottom w:val="single" w:sz="1"/>
              <w:right w:val="single" w:sz="1"/>
            </w:tcBorders>
            <w:vAlign w:val="top"/>
          </w:tcPr>
          <w:p>
            <w:r>
              <w:t xml:space="preserve">**voyage-law-2-harvey**</w:t>
            </w:r>
          </w:p>
        </w:tc>
        <w:tc>
          <w:tcPr>
            <w:tcW w:type="dxa" w:w="2394"/>
            <w:tcBorders>
              <w:top w:val="single" w:sz="1"/>
              <w:left w:val="single" w:sz="1"/>
              <w:bottom w:val="single" w:sz="1"/>
              <w:right w:val="single" w:sz="1"/>
            </w:tcBorders>
            <w:vAlign w:val="top"/>
          </w:tcPr>
          <w:p>
            <w:r>
              <w:t xml:space="preserve">1024</w:t>
            </w:r>
          </w:p>
        </w:tc>
        <w:tc>
          <w:tcPr>
            <w:tcW w:type="dxa" w:w="2394"/>
            <w:tcBorders>
              <w:top w:val="single" w:sz="1"/>
              <w:left w:val="single" w:sz="1"/>
              <w:bottom w:val="single" w:sz="1"/>
              <w:right w:val="single" w:sz="1"/>
            </w:tcBorders>
            <w:vAlign w:val="top"/>
          </w:tcPr>
          <w:p>
            <w:r>
              <w:t xml:space="preserve">32K</w:t>
            </w:r>
          </w:p>
        </w:tc>
        <w:tc>
          <w:tcPr>
            <w:tcW w:type="dxa" w:w="2394"/>
            <w:tcBorders>
              <w:top w:val="single" w:sz="1"/>
              <w:left w:val="single" w:sz="1"/>
              <w:bottom w:val="single" w:sz="1"/>
              <w:right w:val="single" w:sz="1"/>
            </w:tcBorders>
            <w:vAlign w:val="top"/>
          </w:tcPr>
          <w:p>
            <w:r>
              <w:t xml:space="preserve">Legal-specific (Harvey partnership)</w:t>
            </w:r>
          </w:p>
        </w:tc>
      </w:tr>
      <w:tr>
        <w:tc>
          <w:tcPr>
            <w:tcW w:type="dxa" w:w="2394"/>
            <w:tcBorders>
              <w:top w:val="single" w:sz="1"/>
              <w:left w:val="single" w:sz="1"/>
              <w:bottom w:val="single" w:sz="1"/>
              <w:right w:val="single" w:sz="1"/>
            </w:tcBorders>
            <w:vAlign w:val="top"/>
          </w:tcPr>
          <w:p>
            <w:r>
              <w:t xml:space="preserve">**Fin-E5**</w:t>
            </w:r>
          </w:p>
        </w:tc>
        <w:tc>
          <w:tcPr>
            <w:tcW w:type="dxa" w:w="2394"/>
            <w:tcBorders>
              <w:top w:val="single" w:sz="1"/>
              <w:left w:val="single" w:sz="1"/>
              <w:bottom w:val="single" w:sz="1"/>
              <w:right w:val="single" w:sz="1"/>
            </w:tcBorders>
            <w:vAlign w:val="top"/>
          </w:tcPr>
          <w:p>
            <w:r>
              <w:t xml:space="preserve">1024</w:t>
            </w:r>
          </w:p>
        </w:tc>
        <w:tc>
          <w:tcPr>
            <w:tcW w:type="dxa" w:w="2394"/>
            <w:tcBorders>
              <w:top w:val="single" w:sz="1"/>
              <w:left w:val="single" w:sz="1"/>
              <w:bottom w:val="single" w:sz="1"/>
              <w:right w:val="single" w:sz="1"/>
            </w:tcBorders>
            <w:vAlign w:val="top"/>
          </w:tcPr>
          <w:p>
            <w:r>
              <w:t xml:space="preserve">512</w:t>
            </w:r>
          </w:p>
        </w:tc>
        <w:tc>
          <w:tcPr>
            <w:tcW w:type="dxa" w:w="2394"/>
            <w:tcBorders>
              <w:top w:val="single" w:sz="1"/>
              <w:left w:val="single" w:sz="1"/>
              <w:bottom w:val="single" w:sz="1"/>
              <w:right w:val="single" w:sz="1"/>
            </w:tcBorders>
            <w:vAlign w:val="top"/>
          </w:tcPr>
          <w:p>
            <w:r>
              <w:t xml:space="preserve">+30% FinanceBench Recall@10 vs BGE-large</w:t>
            </w:r>
          </w:p>
        </w:tc>
      </w:tr>
      <w:tr>
        <w:tc>
          <w:tcPr>
            <w:tcW w:type="dxa" w:w="2394"/>
            <w:tcBorders>
              <w:top w:val="single" w:sz="1"/>
              <w:left w:val="single" w:sz="1"/>
              <w:bottom w:val="single" w:sz="1"/>
              <w:right w:val="single" w:sz="1"/>
            </w:tcBorders>
            <w:vAlign w:val="top"/>
          </w:tcPr>
          <w:p>
            <w:r>
              <w:t xml:space="preserve">**Jina-embeddings-v3**</w:t>
            </w:r>
          </w:p>
        </w:tc>
        <w:tc>
          <w:tcPr>
            <w:tcW w:type="dxa" w:w="2394"/>
            <w:tcBorders>
              <w:top w:val="single" w:sz="1"/>
              <w:left w:val="single" w:sz="1"/>
              <w:bottom w:val="single" w:sz="1"/>
              <w:right w:val="single" w:sz="1"/>
            </w:tcBorders>
            <w:vAlign w:val="top"/>
          </w:tcPr>
          <w:p>
            <w:r>
              <w:t xml:space="preserve">1024</w:t>
            </w:r>
          </w:p>
        </w:tc>
        <w:tc>
          <w:tcPr>
            <w:tcW w:type="dxa" w:w="2394"/>
            <w:tcBorders>
              <w:top w:val="single" w:sz="1"/>
              <w:left w:val="single" w:sz="1"/>
              <w:bottom w:val="single" w:sz="1"/>
              <w:right w:val="single" w:sz="1"/>
            </w:tcBorders>
            <w:vAlign w:val="top"/>
          </w:tcPr>
          <w:p>
            <w:r>
              <w:t xml:space="preserve">8K</w:t>
            </w:r>
          </w:p>
        </w:tc>
        <w:tc>
          <w:tcPr>
            <w:tcW w:type="dxa" w:w="2394"/>
            <w:tcBorders>
              <w:top w:val="single" w:sz="1"/>
              <w:left w:val="single" w:sz="1"/>
              <w:bottom w:val="single" w:sz="1"/>
              <w:right w:val="single" w:sz="1"/>
            </w:tcBorders>
            <w:vAlign w:val="top"/>
          </w:tcPr>
          <w:p>
            <w:r>
              <w:t xml:space="preserve">Good multilingual; late chunking support</w:t>
            </w:r>
          </w:p>
        </w:tc>
      </w:tr>
      <w:tr>
        <w:tc>
          <w:tcPr>
            <w:tcW w:type="dxa" w:w="2394"/>
            <w:tcBorders>
              <w:top w:val="single" w:sz="1"/>
              <w:left w:val="single" w:sz="1"/>
              <w:bottom w:val="single" w:sz="1"/>
              <w:right w:val="single" w:sz="1"/>
            </w:tcBorders>
            <w:vAlign w:val="top"/>
          </w:tcPr>
          <w:p>
            <w:r>
              <w:t xml:space="preserve">**BGE-large-en-v1.5**</w:t>
            </w:r>
          </w:p>
        </w:tc>
        <w:tc>
          <w:tcPr>
            <w:tcW w:type="dxa" w:w="2394"/>
            <w:tcBorders>
              <w:top w:val="single" w:sz="1"/>
              <w:left w:val="single" w:sz="1"/>
              <w:bottom w:val="single" w:sz="1"/>
              <w:right w:val="single" w:sz="1"/>
            </w:tcBorders>
            <w:vAlign w:val="top"/>
          </w:tcPr>
          <w:p>
            <w:r>
              <w:t xml:space="preserve">1024</w:t>
            </w:r>
          </w:p>
        </w:tc>
        <w:tc>
          <w:tcPr>
            <w:tcW w:type="dxa" w:w="2394"/>
            <w:tcBorders>
              <w:top w:val="single" w:sz="1"/>
              <w:left w:val="single" w:sz="1"/>
              <w:bottom w:val="single" w:sz="1"/>
              <w:right w:val="single" w:sz="1"/>
            </w:tcBorders>
            <w:vAlign w:val="top"/>
          </w:tcPr>
          <w:p>
            <w:r>
              <w:t xml:space="preserve">512</w:t>
            </w:r>
          </w:p>
        </w:tc>
        <w:tc>
          <w:tcPr>
            <w:tcW w:type="dxa" w:w="2394"/>
            <w:tcBorders>
              <w:top w:val="single" w:sz="1"/>
              <w:left w:val="single" w:sz="1"/>
              <w:bottom w:val="single" w:sz="1"/>
              <w:right w:val="single" w:sz="1"/>
            </w:tcBorders>
            <w:vAlign w:val="top"/>
          </w:tcPr>
          <w:p>
            <w:r>
              <w:t xml:space="preserve">Strong open-source baseline</w:t>
            </w:r>
          </w:p>
        </w:tc>
      </w:tr>
      <w:tr>
        <w:tc>
          <w:tcPr>
            <w:tcW w:type="dxa" w:w="2394"/>
            <w:tcBorders>
              <w:top w:val="single" w:sz="1"/>
              <w:left w:val="single" w:sz="1"/>
              <w:bottom w:val="single" w:sz="1"/>
              <w:right w:val="single" w:sz="1"/>
            </w:tcBorders>
            <w:vAlign w:val="top"/>
          </w:tcPr>
          <w:p>
            <w:r>
              <w:t xml:space="preserve">**all-MiniLM-L6-v2**</w:t>
            </w:r>
          </w:p>
        </w:tc>
        <w:tc>
          <w:tcPr>
            <w:tcW w:type="dxa" w:w="2394"/>
            <w:tcBorders>
              <w:top w:val="single" w:sz="1"/>
              <w:left w:val="single" w:sz="1"/>
              <w:bottom w:val="single" w:sz="1"/>
              <w:right w:val="single" w:sz="1"/>
            </w:tcBorders>
            <w:vAlign w:val="top"/>
          </w:tcPr>
          <w:p>
            <w:r>
              <w:t xml:space="preserve">384</w:t>
            </w:r>
          </w:p>
        </w:tc>
        <w:tc>
          <w:tcPr>
            <w:tcW w:type="dxa" w:w="2394"/>
            <w:tcBorders>
              <w:top w:val="single" w:sz="1"/>
              <w:left w:val="single" w:sz="1"/>
              <w:bottom w:val="single" w:sz="1"/>
              <w:right w:val="single" w:sz="1"/>
            </w:tcBorders>
            <w:vAlign w:val="top"/>
          </w:tcPr>
          <w:p>
            <w:r>
              <w:t xml:space="preserve">512</w:t>
            </w:r>
          </w:p>
        </w:tc>
        <w:tc>
          <w:tcPr>
            <w:tcW w:type="dxa" w:w="2394"/>
            <w:tcBorders>
              <w:top w:val="single" w:sz="1"/>
              <w:left w:val="single" w:sz="1"/>
              <w:bottom w:val="single" w:sz="1"/>
              <w:right w:val="single" w:sz="1"/>
            </w:tcBorders>
            <w:vAlign w:val="top"/>
          </w:tcPr>
          <w:p>
            <w:r>
              <w:t xml:space="preserve">Client-side only (tiny, fast)</w:t>
            </w:r>
          </w:p>
        </w:tc>
      </w:tr>
    </w:tbl>
    <w:p>
      <w:pPr>
        <w:spacing w:after="120"/>
      </w:pPr>
      <w:r>
        <w:rPr>
          <w:rFonts w:ascii="Arial" w:cs="Arial" w:eastAsia="Arial" w:hAnsi="Arial"/>
          <w:b/>
          <w:bCs/>
        </w:rPr>
        <w:t xml:space="preserve">Recommendation:</w:t>
      </w:r>
      <w:r>
        <w:rPr>
          <w:rFonts w:ascii="Arial" w:cs="Arial" w:eastAsia="Arial" w:hAnsi="Arial"/>
        </w:rPr>
        <w:t xml:space="preserve"> Use Voyage-3-large for server-side (best overall performance, 32K context handles long legal sections without splitting). Use all-MiniLM-L6-v2 for client-side preview/similarity. Consider training a custom embedding model on your compliance corpus once you have &gt;100K document pairs.</w:t>
      </w:r>
    </w:p>
    <w:p>
      <w:pPr>
        <w:pStyle w:val="Heading3"/>
        <w:spacing w:after="120" w:before="240"/>
        <w:outlineLvl w:val="2"/>
      </w:pPr>
      <w:r>
        <w:t xml:space="preserve">3.3 Hybrid Search Architecture</w:t>
      </w:r>
    </w:p>
    <w:p>
      <w:pPr>
        <w:spacing w:after="120"/>
      </w:pPr>
      <w:r>
        <w:rPr>
          <w:rFonts w:ascii="Arial" w:cs="Arial" w:eastAsia="Arial" w:hAnsi="Arial"/>
        </w:rPr>
        <w:t xml:space="preserve">Hybrid retrieval (dense + sparse) improves NDCG by 26–31% over dense-only. Recommended architecture:</w:t>
      </w:r>
    </w:p>
    <w:p>
      <w:pPr>
        <w:shd w:fill="F5F5F5" w:val="clear"/>
        <w:spacing w:after="120" w:before="120"/>
      </w:pPr>
      <w:r>
        <w:t xml:space="preserve">Query → [BM25 sparse search] → Top-100 candidates
      → [Dense embedding search] → Top-100 candidates
      → [Reciprocal Rank Fusion] → Top-50 merged
      → [Cross-encoder reranker] → Top-10 final
      → [Nessie generation with citations]</w:t>
      </w:r>
    </w:p>
    <w:p>
      <w:pPr>
        <w:spacing w:after="120"/>
      </w:pPr>
      <w:r>
        <w:rPr>
          <w:rFonts w:ascii="Arial" w:cs="Arial" w:eastAsia="Arial" w:hAnsi="Arial"/>
          <w:b/>
          <w:bCs/>
        </w:rPr>
        <w:t xml:space="preserve">Reranking:</w:t>
      </w:r>
      <w:r>
        <w:rPr>
          <w:rFonts w:ascii="Arial" w:cs="Arial" w:eastAsia="Arial" w:hAnsi="Arial"/>
        </w:rPr>
        <w:t xml:space="preserve"> Use a cross-encoder reranker (e.g., ms-marco-MiniLM-L-12-v2 or train a custom one). The HR+QDA research shows a 1.77M-parameter cross-attention reranker can be trained on-premise in 13 minutes with just 1,500 labeled examples — excellent for Arkova's privacy requirements.</w:t>
      </w:r>
    </w:p>
    <w:p>
      <w:pPr>
        <w:spacing w:after="120"/>
      </w:pPr>
      <w:r>
        <w:rPr>
          <w:rFonts w:ascii="Arial" w:cs="Arial" w:eastAsia="Arial" w:hAnsi="Arial"/>
          <w:b/>
          <w:bCs/>
        </w:rPr>
        <w:t xml:space="preserve">For compliance-specific queries:</w:t>
      </w:r>
      <w:r>
        <w:rPr>
          <w:rFonts w:ascii="Arial" w:cs="Arial" w:eastAsia="Arial" w:hAnsi="Arial"/>
        </w:rPr>
        <w:t xml:space="preserve"> Add metadata filters </w:t>
      </w:r>
      <w:r>
        <w:rPr>
          <w:rFonts w:ascii="Arial" w:cs="Arial" w:eastAsia="Arial" w:hAnsi="Arial"/>
          <w:i/>
          <w:iCs/>
        </w:rPr>
        <w:t xml:space="preserve">before</w:t>
      </w:r>
      <w:r>
        <w:rPr>
          <w:rFonts w:ascii="Arial" w:cs="Arial" w:eastAsia="Arial" w:hAnsi="Arial"/>
        </w:rPr>
        <w:t xml:space="preserve"> semantic search (jurisdiction, document type, date range) to narrow the search space.</w:t>
      </w:r>
    </w:p>
    <w:p>
      <w:pPr>
        <w:pStyle w:val="Heading3"/>
        <w:spacing w:after="120" w:before="240"/>
        <w:outlineLvl w:val="2"/>
      </w:pPr>
      <w:r>
        <w:t xml:space="preserve">3.4 Citation Mapping to Bitcoin-Anchored Documents</w:t>
      </w:r>
    </w:p>
    <w:p>
      <w:pPr>
        <w:spacing w:after="120"/>
      </w:pPr>
      <w:r>
        <w:rPr>
          <w:rFonts w:ascii="Arial" w:cs="Arial" w:eastAsia="Arial" w:hAnsi="Arial"/>
        </w:rPr>
        <w:t xml:space="preserve">Critical for Arkova's value proposition:</w:t>
      </w:r>
    </w:p>
    <w:p>
      <w:pPr>
        <w:pStyle w:val="ListParagraph"/>
        <w:numPr>
          <w:ilvl w:val="0"/>
          <w:numId w:val="1"/>
        </w:numPr>
        <w:spacing w:after="100"/>
      </w:pPr>
      <w:r>
        <w:t xml:space="preserve">Store Bitcoin anchor hashes as chunk metadata</w:t>
      </w:r>
    </w:p>
    <w:p>
      <w:pPr>
        <w:pStyle w:val="ListParagraph"/>
        <w:numPr>
          <w:ilvl w:val="0"/>
          <w:numId w:val="1"/>
        </w:numPr>
        <w:spacing w:after="100"/>
      </w:pPr>
      <w:r>
        <w:t xml:space="preserve">At retrieval time, return the anchor hash alongside each cited chunk</w:t>
      </w:r>
    </w:p>
    <w:p>
      <w:pPr>
        <w:pStyle w:val="ListParagraph"/>
        <w:numPr>
          <w:ilvl w:val="0"/>
          <w:numId w:val="1"/>
        </w:numPr>
        <w:spacing w:after="100"/>
      </w:pPr>
      <w:r>
        <w:t xml:space="preserve">Verification flow: `cited chunk → chunk hash → document hash → Bitcoin timestamp`</w:t>
      </w:r>
    </w:p>
    <w:p>
      <w:pPr>
        <w:pStyle w:val="ListParagraph"/>
        <w:numPr>
          <w:ilvl w:val="0"/>
          <w:numId w:val="1"/>
        </w:numPr>
        <w:spacing w:after="100"/>
      </w:pPr>
      <w:r>
        <w:t xml:space="preserve">Consider storing chunk-level Merkle tree hashes for granular citation verification</w:t>
      </w:r>
    </w:p>
    <w:p>
      <w:pPr>
        <w:pStyle w:val="Heading2"/>
        <w:spacing w:after="120" w:before="240"/>
        <w:outlineLvl w:val="1"/>
      </w:pPr>
      <w:r>
        <w:t xml:space="preserve">4. Client-Side AI Roadmap</w:t>
      </w:r>
    </w:p>
    <w:p>
      <w:pPr>
        <w:pStyle w:val="Heading3"/>
        <w:spacing w:after="120" w:before="240"/>
        <w:outlineLvl w:val="2"/>
      </w:pPr>
      <w:r>
        <w:t xml:space="preserve">4.1 WebLLM Performance Reality Check</w:t>
      </w:r>
    </w:p>
    <w:p>
      <w:pPr>
        <w:spacing w:after="120"/>
      </w:pPr>
      <w:r>
        <w:rPr>
          <w:rFonts w:ascii="Arial" w:cs="Arial" w:eastAsia="Arial" w:hAnsi="Arial"/>
          <w:b/>
          <w:bCs/>
        </w:rPr>
        <w:t xml:space="preserve">Current benchmarks (2025–2026):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rHeight w:val="400" w:hRule="atLeast"/>
        </w:trPr>
        <w:tc>
          <w:tcPr>
            <w:tcW w:type="dxa" w:w="1915"/>
            <w:tcBorders>
              <w:top w:val="single" w:sz="1"/>
              <w:left w:val="single" w:sz="1"/>
              <w:bottom w:val="single" w:sz="1"/>
              <w:right w:val="single" w:sz="1"/>
            </w:tcBorders>
            <w:shd w:fill="D3D3D3" w:val="clear"/>
            <w:vAlign w:val="center"/>
          </w:tcPr>
          <w:p>
            <w:r>
              <w:t xml:space="preserve">Model</w:t>
            </w:r>
          </w:p>
        </w:tc>
        <w:tc>
          <w:tcPr>
            <w:tcW w:type="dxa" w:w="1915"/>
            <w:tcBorders>
              <w:top w:val="single" w:sz="1"/>
              <w:left w:val="single" w:sz="1"/>
              <w:bottom w:val="single" w:sz="1"/>
              <w:right w:val="single" w:sz="1"/>
            </w:tcBorders>
            <w:shd w:fill="D3D3D3" w:val="clear"/>
            <w:vAlign w:val="center"/>
          </w:tcPr>
          <w:p>
            <w:r>
              <w:t xml:space="preserve">Quantization</w:t>
            </w:r>
          </w:p>
        </w:tc>
        <w:tc>
          <w:tcPr>
            <w:tcW w:type="dxa" w:w="1915"/>
            <w:tcBorders>
              <w:top w:val="single" w:sz="1"/>
              <w:left w:val="single" w:sz="1"/>
              <w:bottom w:val="single" w:sz="1"/>
              <w:right w:val="single" w:sz="1"/>
            </w:tcBorders>
            <w:shd w:fill="D3D3D3" w:val="clear"/>
            <w:vAlign w:val="center"/>
          </w:tcPr>
          <w:p>
            <w:r>
              <w:t xml:space="preserve">VRAM Required</w:t>
            </w:r>
          </w:p>
        </w:tc>
        <w:tc>
          <w:tcPr>
            <w:tcW w:type="dxa" w:w="1915"/>
            <w:tcBorders>
              <w:top w:val="single" w:sz="1"/>
              <w:left w:val="single" w:sz="1"/>
              <w:bottom w:val="single" w:sz="1"/>
              <w:right w:val="single" w:sz="1"/>
            </w:tcBorders>
            <w:shd w:fill="D3D3D3" w:val="clear"/>
            <w:vAlign w:val="center"/>
          </w:tcPr>
          <w:p>
            <w:r>
              <w:t xml:space="preserve">Tokens/sec (M3 Max)</w:t>
            </w:r>
          </w:p>
        </w:tc>
        <w:tc>
          <w:tcPr>
            <w:tcW w:type="dxa" w:w="1915"/>
            <w:tcBorders>
              <w:top w:val="single" w:sz="1"/>
              <w:left w:val="single" w:sz="1"/>
              <w:bottom w:val="single" w:sz="1"/>
              <w:right w:val="single" w:sz="1"/>
            </w:tcBorders>
            <w:shd w:fill="D3D3D3" w:val="clear"/>
            <w:vAlign w:val="center"/>
          </w:tcPr>
          <w:p>
            <w:r>
              <w:t xml:space="preserve">Tokens/sec (avg laptop)</w:t>
            </w:r>
          </w:p>
        </w:tc>
      </w:tr>
      <w:tr>
        <w:tc>
          <w:tcPr>
            <w:tcW w:type="dxa" w:w="1915"/>
            <w:tcBorders>
              <w:top w:val="single" w:sz="1"/>
              <w:left w:val="single" w:sz="1"/>
              <w:bottom w:val="single" w:sz="1"/>
              <w:right w:val="single" w:sz="1"/>
            </w:tcBorders>
            <w:vAlign w:val="top"/>
          </w:tcPr>
          <w:p>
            <w:r>
              <w:t xml:space="preserve">Llama 3.1 8B</w:t>
            </w:r>
          </w:p>
        </w:tc>
        <w:tc>
          <w:tcPr>
            <w:tcW w:type="dxa" w:w="1915"/>
            <w:tcBorders>
              <w:top w:val="single" w:sz="1"/>
              <w:left w:val="single" w:sz="1"/>
              <w:bottom w:val="single" w:sz="1"/>
              <w:right w:val="single" w:sz="1"/>
            </w:tcBorders>
            <w:vAlign w:val="top"/>
          </w:tcPr>
          <w:p>
            <w:r>
              <w:t xml:space="preserve">4-bit</w:t>
            </w:r>
          </w:p>
        </w:tc>
        <w:tc>
          <w:tcPr>
            <w:tcW w:type="dxa" w:w="1915"/>
            <w:tcBorders>
              <w:top w:val="single" w:sz="1"/>
              <w:left w:val="single" w:sz="1"/>
              <w:bottom w:val="single" w:sz="1"/>
              <w:right w:val="single" w:sz="1"/>
            </w:tcBorders>
            <w:vAlign w:val="top"/>
          </w:tcPr>
          <w:p>
            <w:r>
              <w:t xml:space="preserve">~3.5 GB</w:t>
            </w:r>
          </w:p>
        </w:tc>
        <w:tc>
          <w:tcPr>
            <w:tcW w:type="dxa" w:w="1915"/>
            <w:tcBorders>
              <w:top w:val="single" w:sz="1"/>
              <w:left w:val="single" w:sz="1"/>
              <w:bottom w:val="single" w:sz="1"/>
              <w:right w:val="single" w:sz="1"/>
            </w:tcBorders>
            <w:vAlign w:val="top"/>
          </w:tcPr>
          <w:p>
            <w:r>
              <w:t xml:space="preserve">~41 tok/s</w:t>
            </w:r>
          </w:p>
        </w:tc>
        <w:tc>
          <w:tcPr>
            <w:tcW w:type="dxa" w:w="1915"/>
            <w:tcBorders>
              <w:top w:val="single" w:sz="1"/>
              <w:left w:val="single" w:sz="1"/>
              <w:bottom w:val="single" w:sz="1"/>
              <w:right w:val="single" w:sz="1"/>
            </w:tcBorders>
            <w:vAlign w:val="top"/>
          </w:tcPr>
          <w:p>
            <w:r>
              <w:t xml:space="preserve">~4–7 tok/s</w:t>
            </w:r>
          </w:p>
        </w:tc>
      </w:tr>
      <w:tr>
        <w:tc>
          <w:tcPr>
            <w:tcW w:type="dxa" w:w="1915"/>
            <w:tcBorders>
              <w:top w:val="single" w:sz="1"/>
              <w:left w:val="single" w:sz="1"/>
              <w:bottom w:val="single" w:sz="1"/>
              <w:right w:val="single" w:sz="1"/>
            </w:tcBorders>
            <w:vAlign w:val="top"/>
          </w:tcPr>
          <w:p>
            <w:r>
              <w:t xml:space="preserve">Llama 3.2 3B</w:t>
            </w:r>
          </w:p>
        </w:tc>
        <w:tc>
          <w:tcPr>
            <w:tcW w:type="dxa" w:w="1915"/>
            <w:tcBorders>
              <w:top w:val="single" w:sz="1"/>
              <w:left w:val="single" w:sz="1"/>
              <w:bottom w:val="single" w:sz="1"/>
              <w:right w:val="single" w:sz="1"/>
            </w:tcBorders>
            <w:vAlign w:val="top"/>
          </w:tcPr>
          <w:p>
            <w:r>
              <w:t xml:space="preserve">4-bit</w:t>
            </w:r>
          </w:p>
        </w:tc>
        <w:tc>
          <w:tcPr>
            <w:tcW w:type="dxa" w:w="1915"/>
            <w:tcBorders>
              <w:top w:val="single" w:sz="1"/>
              <w:left w:val="single" w:sz="1"/>
              <w:bottom w:val="single" w:sz="1"/>
              <w:right w:val="single" w:sz="1"/>
            </w:tcBorders>
            <w:vAlign w:val="top"/>
          </w:tcPr>
          <w:p>
            <w:r>
              <w:t xml:space="preserve">~1.4 GB</w:t>
            </w:r>
          </w:p>
        </w:tc>
        <w:tc>
          <w:tcPr>
            <w:tcW w:type="dxa" w:w="1915"/>
            <w:tcBorders>
              <w:top w:val="single" w:sz="1"/>
              <w:left w:val="single" w:sz="1"/>
              <w:bottom w:val="single" w:sz="1"/>
              <w:right w:val="single" w:sz="1"/>
            </w:tcBorders>
            <w:vAlign w:val="top"/>
          </w:tcPr>
          <w:p>
            <w:r>
              <w:t xml:space="preserve">~80 tok/s</w:t>
            </w:r>
          </w:p>
        </w:tc>
        <w:tc>
          <w:tcPr>
            <w:tcW w:type="dxa" w:w="1915"/>
            <w:tcBorders>
              <w:top w:val="single" w:sz="1"/>
              <w:left w:val="single" w:sz="1"/>
              <w:bottom w:val="single" w:sz="1"/>
              <w:right w:val="single" w:sz="1"/>
            </w:tcBorders>
            <w:vAlign w:val="top"/>
          </w:tcPr>
          <w:p>
            <w:r>
              <w:t xml:space="preserve">~15–25 tok/s</w:t>
            </w:r>
          </w:p>
        </w:tc>
      </w:tr>
      <w:tr>
        <w:tc>
          <w:tcPr>
            <w:tcW w:type="dxa" w:w="1915"/>
            <w:tcBorders>
              <w:top w:val="single" w:sz="1"/>
              <w:left w:val="single" w:sz="1"/>
              <w:bottom w:val="single" w:sz="1"/>
              <w:right w:val="single" w:sz="1"/>
            </w:tcBorders>
            <w:vAlign w:val="top"/>
          </w:tcPr>
          <w:p>
            <w:r>
              <w:t xml:space="preserve">Phi-3 mini (3.8B)</w:t>
            </w:r>
          </w:p>
        </w:tc>
        <w:tc>
          <w:tcPr>
            <w:tcW w:type="dxa" w:w="1915"/>
            <w:tcBorders>
              <w:top w:val="single" w:sz="1"/>
              <w:left w:val="single" w:sz="1"/>
              <w:bottom w:val="single" w:sz="1"/>
              <w:right w:val="single" w:sz="1"/>
            </w:tcBorders>
            <w:vAlign w:val="top"/>
          </w:tcPr>
          <w:p>
            <w:r>
              <w:t xml:space="preserve">4-bit</w:t>
            </w:r>
          </w:p>
        </w:tc>
        <w:tc>
          <w:tcPr>
            <w:tcW w:type="dxa" w:w="1915"/>
            <w:tcBorders>
              <w:top w:val="single" w:sz="1"/>
              <w:left w:val="single" w:sz="1"/>
              <w:bottom w:val="single" w:sz="1"/>
              <w:right w:val="single" w:sz="1"/>
            </w:tcBorders>
            <w:vAlign w:val="top"/>
          </w:tcPr>
          <w:p>
            <w:r>
              <w:t xml:space="preserve">~1.8 GB</w:t>
            </w:r>
          </w:p>
        </w:tc>
        <w:tc>
          <w:tcPr>
            <w:tcW w:type="dxa" w:w="1915"/>
            <w:tcBorders>
              <w:top w:val="single" w:sz="1"/>
              <w:left w:val="single" w:sz="1"/>
              <w:bottom w:val="single" w:sz="1"/>
              <w:right w:val="single" w:sz="1"/>
            </w:tcBorders>
            <w:vAlign w:val="top"/>
          </w:tcPr>
          <w:p>
            <w:r>
              <w:t xml:space="preserve">~60 tok/s</w:t>
            </w:r>
          </w:p>
        </w:tc>
        <w:tc>
          <w:tcPr>
            <w:tcW w:type="dxa" w:w="1915"/>
            <w:tcBorders>
              <w:top w:val="single" w:sz="1"/>
              <w:left w:val="single" w:sz="1"/>
              <w:bottom w:val="single" w:sz="1"/>
              <w:right w:val="single" w:sz="1"/>
            </w:tcBorders>
            <w:vAlign w:val="top"/>
          </w:tcPr>
          <w:p>
            <w:r>
              <w:t xml:space="preserve">~10–20 tok/s</w:t>
            </w:r>
          </w:p>
        </w:tc>
      </w:tr>
      <w:tr>
        <w:tc>
          <w:tcPr>
            <w:tcW w:type="dxa" w:w="1915"/>
            <w:tcBorders>
              <w:top w:val="single" w:sz="1"/>
              <w:left w:val="single" w:sz="1"/>
              <w:bottom w:val="single" w:sz="1"/>
              <w:right w:val="single" w:sz="1"/>
            </w:tcBorders>
            <w:vAlign w:val="top"/>
          </w:tcPr>
          <w:p>
            <w:r>
              <w:t xml:space="preserve">SmolLM2 1.7B</w:t>
            </w:r>
          </w:p>
        </w:tc>
        <w:tc>
          <w:tcPr>
            <w:tcW w:type="dxa" w:w="1915"/>
            <w:tcBorders>
              <w:top w:val="single" w:sz="1"/>
              <w:left w:val="single" w:sz="1"/>
              <w:bottom w:val="single" w:sz="1"/>
              <w:right w:val="single" w:sz="1"/>
            </w:tcBorders>
            <w:vAlign w:val="top"/>
          </w:tcPr>
          <w:p>
            <w:r>
              <w:t xml:space="preserve">4-bit</w:t>
            </w:r>
          </w:p>
        </w:tc>
        <w:tc>
          <w:tcPr>
            <w:tcW w:type="dxa" w:w="1915"/>
            <w:tcBorders>
              <w:top w:val="single" w:sz="1"/>
              <w:left w:val="single" w:sz="1"/>
              <w:bottom w:val="single" w:sz="1"/>
              <w:right w:val="single" w:sz="1"/>
            </w:tcBorders>
            <w:vAlign w:val="top"/>
          </w:tcPr>
          <w:p>
            <w:r>
              <w:t xml:space="preserve">~0.8 GB</w:t>
            </w:r>
          </w:p>
        </w:tc>
        <w:tc>
          <w:tcPr>
            <w:tcW w:type="dxa" w:w="1915"/>
            <w:tcBorders>
              <w:top w:val="single" w:sz="1"/>
              <w:left w:val="single" w:sz="1"/>
              <w:bottom w:val="single" w:sz="1"/>
              <w:right w:val="single" w:sz="1"/>
            </w:tcBorders>
            <w:vAlign w:val="top"/>
          </w:tcPr>
          <w:p>
            <w:r>
              <w:t xml:space="preserve">~120 tok/s</w:t>
            </w:r>
          </w:p>
        </w:tc>
        <w:tc>
          <w:tcPr>
            <w:tcW w:type="dxa" w:w="1915"/>
            <w:tcBorders>
              <w:top w:val="single" w:sz="1"/>
              <w:left w:val="single" w:sz="1"/>
              <w:bottom w:val="single" w:sz="1"/>
              <w:right w:val="single" w:sz="1"/>
            </w:tcBorders>
            <w:vAlign w:val="top"/>
          </w:tcPr>
          <w:p>
            <w:r>
              <w:t xml:space="preserve">~30–50 tok/s</w:t>
            </w:r>
          </w:p>
        </w:tc>
      </w:tr>
    </w:tbl>
    <w:p>
      <w:pPr>
        <w:spacing w:after="120"/>
      </w:pPr>
      <w:r>
        <w:rPr>
          <w:rFonts w:ascii="Arial" w:cs="Arial" w:eastAsia="Arial" w:hAnsi="Arial"/>
          <w:b/>
          <w:bCs/>
        </w:rPr>
        <w:t xml:space="preserve">Critical constraint:</w:t>
      </w:r>
      <w:r>
        <w:rPr>
          <w:rFonts w:ascii="Arial" w:cs="Arial" w:eastAsia="Arial" w:hAnsi="Arial"/>
        </w:rPr>
        <w:t xml:space="preserve"> Chrome caps VRAM at ~4GB per tab. The 8B model at 3.5GB is borderline and will fail on many consumer devices.</w:t>
      </w:r>
    </w:p>
    <w:p>
      <w:pPr>
        <w:spacing w:after="120"/>
      </w:pPr>
      <w:r>
        <w:rPr>
          <w:rFonts w:ascii="Arial" w:cs="Arial" w:eastAsia="Arial" w:hAnsi="Arial"/>
          <w:b/>
          <w:bCs/>
        </w:rPr>
        <w:t xml:space="preserve">Recommendation:</w:t>
      </w:r>
      <w:r>
        <w:rPr>
          <w:rFonts w:ascii="Arial" w:cs="Arial" w:eastAsia="Arial" w:hAnsi="Arial"/>
        </w:rPr>
        <w:t xml:space="preserve"> Nessie's client-side target should be 3B parameters or smaller, not 8B. Fine-tune a 3B model (Llama 3.2 3B or Phi-3 mini) for client-side use. Use the 8B model server-side only.</w:t>
      </w:r>
    </w:p>
    <w:p>
      <w:pPr>
        <w:pStyle w:val="Heading3"/>
        <w:spacing w:after="120" w:before="240"/>
        <w:outlineLvl w:val="2"/>
      </w:pPr>
      <w:r>
        <w:t xml:space="preserve">4.2 Quantization Formats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tLeast"/>
        </w:trPr>
        <w:tc>
          <w:tcPr>
            <w:tcW w:type="dxa" w:w="2394"/>
            <w:tcBorders>
              <w:top w:val="single" w:sz="1"/>
              <w:left w:val="single" w:sz="1"/>
              <w:bottom w:val="single" w:sz="1"/>
              <w:right w:val="single" w:sz="1"/>
            </w:tcBorders>
            <w:shd w:fill="D3D3D3" w:val="clear"/>
            <w:vAlign w:val="center"/>
          </w:tcPr>
          <w:p>
            <w:r>
              <w:t xml:space="preserve">Format</w:t>
            </w:r>
          </w:p>
        </w:tc>
        <w:tc>
          <w:tcPr>
            <w:tcW w:type="dxa" w:w="2394"/>
            <w:tcBorders>
              <w:top w:val="single" w:sz="1"/>
              <w:left w:val="single" w:sz="1"/>
              <w:bottom w:val="single" w:sz="1"/>
              <w:right w:val="single" w:sz="1"/>
            </w:tcBorders>
            <w:shd w:fill="D3D3D3" w:val="clear"/>
            <w:vAlign w:val="center"/>
          </w:tcPr>
          <w:p>
            <w:r>
              <w:t xml:space="preserve">Browser Support</w:t>
            </w:r>
          </w:p>
        </w:tc>
        <w:tc>
          <w:tcPr>
            <w:tcW w:type="dxa" w:w="2394"/>
            <w:tcBorders>
              <w:top w:val="single" w:sz="1"/>
              <w:left w:val="single" w:sz="1"/>
              <w:bottom w:val="single" w:sz="1"/>
              <w:right w:val="single" w:sz="1"/>
            </w:tcBorders>
            <w:shd w:fill="D3D3D3" w:val="clear"/>
            <w:vAlign w:val="center"/>
          </w:tcPr>
          <w:p>
            <w:r>
              <w:t xml:space="preserve">Quality Loss</w:t>
            </w:r>
          </w:p>
        </w:tc>
        <w:tc>
          <w:tcPr>
            <w:tcW w:type="dxa" w:w="2394"/>
            <w:tcBorders>
              <w:top w:val="single" w:sz="1"/>
              <w:left w:val="single" w:sz="1"/>
              <w:bottom w:val="single" w:sz="1"/>
              <w:right w:val="single" w:sz="1"/>
            </w:tcBorders>
            <w:shd w:fill="D3D3D3" w:val="clear"/>
            <w:vAlign w:val="center"/>
          </w:tcPr>
          <w:p>
            <w:r>
              <w:t xml:space="preserve">Speed</w:t>
            </w:r>
          </w:p>
        </w:tc>
      </w:tr>
      <w:tr>
        <w:tc>
          <w:tcPr>
            <w:tcW w:type="dxa" w:w="2394"/>
            <w:tcBorders>
              <w:top w:val="single" w:sz="1"/>
              <w:left w:val="single" w:sz="1"/>
              <w:bottom w:val="single" w:sz="1"/>
              <w:right w:val="single" w:sz="1"/>
            </w:tcBorders>
            <w:vAlign w:val="top"/>
          </w:tcPr>
          <w:p>
            <w:r>
              <w:t xml:space="preserve">**INT4 (MLC/WebLLM)**</w:t>
            </w:r>
          </w:p>
        </w:tc>
        <w:tc>
          <w:tcPr>
            <w:tcW w:type="dxa" w:w="2394"/>
            <w:tcBorders>
              <w:top w:val="single" w:sz="1"/>
              <w:left w:val="single" w:sz="1"/>
              <w:bottom w:val="single" w:sz="1"/>
              <w:right w:val="single" w:sz="1"/>
            </w:tcBorders>
            <w:vAlign w:val="top"/>
          </w:tcPr>
          <w:p>
            <w:r>
              <w:t xml:space="preserve">WebGPU required</w:t>
            </w:r>
          </w:p>
        </w:tc>
        <w:tc>
          <w:tcPr>
            <w:tcW w:type="dxa" w:w="2394"/>
            <w:tcBorders>
              <w:top w:val="single" w:sz="1"/>
              <w:left w:val="single" w:sz="1"/>
              <w:bottom w:val="single" w:sz="1"/>
              <w:right w:val="single" w:sz="1"/>
            </w:tcBorders>
            <w:vAlign w:val="top"/>
          </w:tcPr>
          <w:p>
            <w:r>
              <w:t xml:space="preserve">~2–5%</w:t>
            </w:r>
          </w:p>
        </w:tc>
        <w:tc>
          <w:tcPr>
            <w:tcW w:type="dxa" w:w="2394"/>
            <w:tcBorders>
              <w:top w:val="single" w:sz="1"/>
              <w:left w:val="single" w:sz="1"/>
              <w:bottom w:val="single" w:sz="1"/>
              <w:right w:val="single" w:sz="1"/>
            </w:tcBorders>
            <w:vAlign w:val="top"/>
          </w:tcPr>
          <w:p>
            <w:r>
              <w:t xml:space="preserve">Fast</w:t>
            </w:r>
          </w:p>
        </w:tc>
      </w:tr>
      <w:tr>
        <w:tc>
          <w:tcPr>
            <w:tcW w:type="dxa" w:w="2394"/>
            <w:tcBorders>
              <w:top w:val="single" w:sz="1"/>
              <w:left w:val="single" w:sz="1"/>
              <w:bottom w:val="single" w:sz="1"/>
              <w:right w:val="single" w:sz="1"/>
            </w:tcBorders>
            <w:vAlign w:val="top"/>
          </w:tcPr>
          <w:p>
            <w:r>
              <w:t xml:space="preserve">**GGUF (llama.cpp WASM)**</w:t>
            </w:r>
          </w:p>
        </w:tc>
        <w:tc>
          <w:tcPr>
            <w:tcW w:type="dxa" w:w="2394"/>
            <w:tcBorders>
              <w:top w:val="single" w:sz="1"/>
              <w:left w:val="single" w:sz="1"/>
              <w:bottom w:val="single" w:sz="1"/>
              <w:right w:val="single" w:sz="1"/>
            </w:tcBorders>
            <w:vAlign w:val="top"/>
          </w:tcPr>
          <w:p>
            <w:r>
              <w:t xml:space="preserve">Broad (WASM)</w:t>
            </w:r>
          </w:p>
        </w:tc>
        <w:tc>
          <w:tcPr>
            <w:tcW w:type="dxa" w:w="2394"/>
            <w:tcBorders>
              <w:top w:val="single" w:sz="1"/>
              <w:left w:val="single" w:sz="1"/>
              <w:bottom w:val="single" w:sz="1"/>
              <w:right w:val="single" w:sz="1"/>
            </w:tcBorders>
            <w:vAlign w:val="top"/>
          </w:tcPr>
          <w:p>
            <w:r>
              <w:t xml:space="preserve">Varies by quantization</w:t>
            </w:r>
          </w:p>
        </w:tc>
        <w:tc>
          <w:tcPr>
            <w:tcW w:type="dxa" w:w="2394"/>
            <w:tcBorders>
              <w:top w:val="single" w:sz="1"/>
              <w:left w:val="single" w:sz="1"/>
              <w:bottom w:val="single" w:sz="1"/>
              <w:right w:val="single" w:sz="1"/>
            </w:tcBorders>
            <w:vAlign w:val="top"/>
          </w:tcPr>
          <w:p>
            <w:r>
              <w:t xml:space="preserve">Moderate</w:t>
            </w:r>
          </w:p>
        </w:tc>
      </w:tr>
      <w:tr>
        <w:tc>
          <w:tcPr>
            <w:tcW w:type="dxa" w:w="2394"/>
            <w:tcBorders>
              <w:top w:val="single" w:sz="1"/>
              <w:left w:val="single" w:sz="1"/>
              <w:bottom w:val="single" w:sz="1"/>
              <w:right w:val="single" w:sz="1"/>
            </w:tcBorders>
            <w:vAlign w:val="top"/>
          </w:tcPr>
          <w:p>
            <w:r>
              <w:t xml:space="preserve">**AWQ**</w:t>
            </w:r>
          </w:p>
        </w:tc>
        <w:tc>
          <w:tcPr>
            <w:tcW w:type="dxa" w:w="2394"/>
            <w:tcBorders>
              <w:top w:val="single" w:sz="1"/>
              <w:left w:val="single" w:sz="1"/>
              <w:bottom w:val="single" w:sz="1"/>
              <w:right w:val="single" w:sz="1"/>
            </w:tcBorders>
            <w:vAlign w:val="top"/>
          </w:tcPr>
          <w:p>
            <w:r>
              <w:t xml:space="preserve">WebGPU</w:t>
            </w:r>
          </w:p>
        </w:tc>
        <w:tc>
          <w:tcPr>
            <w:tcW w:type="dxa" w:w="2394"/>
            <w:tcBorders>
              <w:top w:val="single" w:sz="1"/>
              <w:left w:val="single" w:sz="1"/>
              <w:bottom w:val="single" w:sz="1"/>
              <w:right w:val="single" w:sz="1"/>
            </w:tcBorders>
            <w:vAlign w:val="top"/>
          </w:tcPr>
          <w:p>
            <w:r>
              <w:t xml:space="preserve">~1–3%</w:t>
            </w:r>
          </w:p>
        </w:tc>
        <w:tc>
          <w:tcPr>
            <w:tcW w:type="dxa" w:w="2394"/>
            <w:tcBorders>
              <w:top w:val="single" w:sz="1"/>
              <w:left w:val="single" w:sz="1"/>
              <w:bottom w:val="single" w:sz="1"/>
              <w:right w:val="single" w:sz="1"/>
            </w:tcBorders>
            <w:vAlign w:val="top"/>
          </w:tcPr>
          <w:p>
            <w:r>
              <w:t xml:space="preserve">Fast</w:t>
            </w:r>
          </w:p>
        </w:tc>
      </w:tr>
      <w:tr>
        <w:tc>
          <w:tcPr>
            <w:tcW w:type="dxa" w:w="2394"/>
            <w:tcBorders>
              <w:top w:val="single" w:sz="1"/>
              <w:left w:val="single" w:sz="1"/>
              <w:bottom w:val="single" w:sz="1"/>
              <w:right w:val="single" w:sz="1"/>
            </w:tcBorders>
            <w:vAlign w:val="top"/>
          </w:tcPr>
          <w:p>
            <w:r>
              <w:t xml:space="preserve">**GPTQ**</w:t>
            </w:r>
          </w:p>
        </w:tc>
        <w:tc>
          <w:tcPr>
            <w:tcW w:type="dxa" w:w="2394"/>
            <w:tcBorders>
              <w:top w:val="single" w:sz="1"/>
              <w:left w:val="single" w:sz="1"/>
              <w:bottom w:val="single" w:sz="1"/>
              <w:right w:val="single" w:sz="1"/>
            </w:tcBorders>
            <w:vAlign w:val="top"/>
          </w:tcPr>
          <w:p>
            <w:r>
              <w:t xml:space="preserve">Limited browser support</w:t>
            </w:r>
          </w:p>
        </w:tc>
        <w:tc>
          <w:tcPr>
            <w:tcW w:type="dxa" w:w="2394"/>
            <w:tcBorders>
              <w:top w:val="single" w:sz="1"/>
              <w:left w:val="single" w:sz="1"/>
              <w:bottom w:val="single" w:sz="1"/>
              <w:right w:val="single" w:sz="1"/>
            </w:tcBorders>
            <w:vAlign w:val="top"/>
          </w:tcPr>
          <w:p>
            <w:r>
              <w:t xml:space="preserve">~2–4%</w:t>
            </w:r>
          </w:p>
        </w:tc>
        <w:tc>
          <w:tcPr>
            <w:tcW w:type="dxa" w:w="2394"/>
            <w:tcBorders>
              <w:top w:val="single" w:sz="1"/>
              <w:left w:val="single" w:sz="1"/>
              <w:bottom w:val="single" w:sz="1"/>
              <w:right w:val="single" w:sz="1"/>
            </w:tcBorders>
            <w:vAlign w:val="top"/>
          </w:tcPr>
          <w:p>
            <w:r>
              <w:t xml:space="preserve">Moderate</w:t>
            </w:r>
          </w:p>
        </w:tc>
      </w:tr>
    </w:tbl>
    <w:p>
      <w:pPr>
        <w:spacing w:after="120"/>
      </w:pPr>
      <w:r>
        <w:rPr>
          <w:rFonts w:ascii="Arial" w:cs="Arial" w:eastAsia="Arial" w:hAnsi="Arial"/>
          <w:b/>
          <w:bCs/>
        </w:rPr>
        <w:t xml:space="preserve">Recommendation:</w:t>
      </w:r>
      <w:r>
        <w:rPr>
          <w:rFonts w:ascii="Arial" w:cs="Arial" w:eastAsia="Arial" w:hAnsi="Arial"/>
        </w:rPr>
        <w:t xml:space="preserve"> Use INT4 via MLC/WebLLM for WebGPU-capable browsers. Provide WASM fallback via llama.cpp for non-WebGPU browsers (Firefox). AWQ preferred over GPTQ for quality/speed balance.</w:t>
      </w:r>
    </w:p>
    <w:p>
      <w:pPr>
        <w:pStyle w:val="Heading3"/>
        <w:spacing w:after="120" w:before="240"/>
        <w:outlineLvl w:val="2"/>
      </w:pPr>
      <w:r>
        <w:t xml:space="preserve">4.3 Client-Side RAG Feasibility</w:t>
      </w:r>
    </w:p>
    <w:p>
      <w:pPr>
        <w:spacing w:after="120"/>
      </w:pPr>
      <w:r>
        <w:rPr>
          <w:rFonts w:ascii="Arial" w:cs="Arial" w:eastAsia="Arial" w:hAnsi="Arial"/>
        </w:rPr>
        <w:t xml:space="preserve">Fully client-side RAG is possible today with these constraints:</w:t>
      </w:r>
    </w:p>
    <w:p>
      <w:pPr>
        <w:pStyle w:val="ListParagraph"/>
        <w:numPr>
          <w:ilvl w:val="0"/>
          <w:numId w:val="1"/>
        </w:numPr>
        <w:spacing w:after="100"/>
      </w:pPr>
      <w:r>
        <w:t xml:space="preserve">**Vector store:** IndexedDB-backed, practical up to ~5,000–10,000 chunks</w:t>
      </w:r>
    </w:p>
    <w:p>
      <w:pPr>
        <w:pStyle w:val="ListParagraph"/>
        <w:numPr>
          <w:ilvl w:val="0"/>
          <w:numId w:val="1"/>
        </w:numPr>
        <w:spacing w:after="100"/>
      </w:pPr>
      <w:r>
        <w:t xml:space="preserve">**Embeddings:** all-MiniLM-L6-v2 via transformers.js (~23MB)</w:t>
      </w:r>
    </w:p>
    <w:p>
      <w:pPr>
        <w:pStyle w:val="ListParagraph"/>
        <w:numPr>
          <w:ilvl w:val="0"/>
          <w:numId w:val="1"/>
        </w:numPr>
        <w:spacing w:after="100"/>
      </w:pPr>
      <w:r>
        <w:t xml:space="preserve">**LLM:** 1.7B–3B quantized model via WebLLM</w:t>
      </w:r>
    </w:p>
    <w:p>
      <w:pPr>
        <w:pStyle w:val="ListParagraph"/>
        <w:numPr>
          <w:ilvl w:val="0"/>
          <w:numId w:val="1"/>
        </w:numPr>
        <w:spacing w:after="100"/>
      </w:pPr>
      <w:r>
        <w:t xml:space="preserve">**First-load:** 1–2GB model download (cached after first load)</w:t>
      </w:r>
    </w:p>
    <w:p>
      <w:pPr>
        <w:pStyle w:val="ListParagraph"/>
        <w:numPr>
          <w:ilvl w:val="0"/>
          <w:numId w:val="1"/>
        </w:numPr>
        <w:spacing w:after="100"/>
      </w:pPr>
      <w:r>
        <w:t xml:space="preserve">**Document processing:** PDF.js + transformers.js for parsing and embedding</w:t>
      </w:r>
    </w:p>
    <w:p>
      <w:pPr>
        <w:spacing w:after="120"/>
      </w:pPr>
      <w:r>
        <w:rPr>
          <w:rFonts w:ascii="Arial" w:cs="Arial" w:eastAsia="Arial" w:hAnsi="Arial"/>
          <w:b/>
          <w:bCs/>
        </w:rPr>
        <w:t xml:space="preserve">Recommended progressive enhancement strategy:</w:t>
      </w:r>
    </w:p>
    <w:p>
      <w:pPr>
        <w:pStyle w:val="ListParagraph"/>
        <w:numPr>
          <w:ilvl w:val="0"/>
          <w:numId w:val="1"/>
        </w:numPr>
        <w:spacing w:after="100"/>
      </w:pPr>
      <w:r>
        <w:t xml:space="preserve">**Phase 1 (Now):** Client-side document parsing, PII stripping, and metadata extraction. Server-side for generation.</w:t>
      </w:r>
    </w:p>
    <w:p>
      <w:pPr>
        <w:pStyle w:val="ListParagraph"/>
        <w:numPr>
          <w:ilvl w:val="0"/>
          <w:numId w:val="1"/>
        </w:numPr>
        <w:spacing w:after="100"/>
      </w:pPr>
      <w:r>
        <w:t xml:space="preserve">**Phase 2 (Q3 2026):** Client-side embeddings and vector search for document similarity/preview. Server-side for complex generation.</w:t>
      </w:r>
    </w:p>
    <w:p>
      <w:pPr>
        <w:pStyle w:val="ListParagraph"/>
        <w:numPr>
          <w:ilvl w:val="0"/>
          <w:numId w:val="1"/>
        </w:numPr>
        <w:spacing w:after="100"/>
      </w:pPr>
      <w:r>
        <w:t xml:space="preserve">**Phase 3 (Q1 2027):** Full client-side RAG with 3B model for simple queries. Server-side for complex multi-document analysis.</w:t>
      </w:r>
    </w:p>
    <w:p>
      <w:pPr>
        <w:pStyle w:val="ListParagraph"/>
        <w:numPr>
          <w:ilvl w:val="0"/>
          <w:numId w:val="1"/>
        </w:numPr>
        <w:spacing w:after="100"/>
      </w:pPr>
      <w:r>
        <w:t xml:space="preserve">**Fallback:** Always maintain server-side path. Progressive enhancement, not replacement.</w:t>
      </w:r>
    </w:p>
    <w:p>
      <w:pPr>
        <w:pStyle w:val="Heading3"/>
        <w:spacing w:after="120" w:before="240"/>
        <w:outlineLvl w:val="2"/>
      </w:pPr>
      <w:r>
        <w:t xml:space="preserve">4.4 Browser Compatibility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400" w:hRule="atLeast"/>
        </w:trPr>
        <w:tc>
          <w:tcPr>
            <w:tcW w:type="dxa" w:w="3192"/>
            <w:tcBorders>
              <w:top w:val="single" w:sz="1"/>
              <w:left w:val="single" w:sz="1"/>
              <w:bottom w:val="single" w:sz="1"/>
              <w:right w:val="single" w:sz="1"/>
            </w:tcBorders>
            <w:shd w:fill="D3D3D3" w:val="clear"/>
            <w:vAlign w:val="center"/>
          </w:tcPr>
          <w:p>
            <w:r>
              <w:t xml:space="preserve">Browser</w:t>
            </w:r>
          </w:p>
        </w:tc>
        <w:tc>
          <w:tcPr>
            <w:tcW w:type="dxa" w:w="3192"/>
            <w:tcBorders>
              <w:top w:val="single" w:sz="1"/>
              <w:left w:val="single" w:sz="1"/>
              <w:bottom w:val="single" w:sz="1"/>
              <w:right w:val="single" w:sz="1"/>
            </w:tcBorders>
            <w:shd w:fill="D3D3D3" w:val="clear"/>
            <w:vAlign w:val="center"/>
          </w:tcPr>
          <w:p>
            <w:r>
              <w:t xml:space="preserve">WebGPU</w:t>
            </w:r>
          </w:p>
        </w:tc>
        <w:tc>
          <w:tcPr>
            <w:tcW w:type="dxa" w:w="3192"/>
            <w:tcBorders>
              <w:top w:val="single" w:sz="1"/>
              <w:left w:val="single" w:sz="1"/>
              <w:bottom w:val="single" w:sz="1"/>
              <w:right w:val="single" w:sz="1"/>
            </w:tcBorders>
            <w:shd w:fill="D3D3D3" w:val="clear"/>
            <w:vAlign w:val="center"/>
          </w:tcPr>
          <w:p>
            <w:r>
              <w:t xml:space="preserve">Status (March 2026)</w:t>
            </w:r>
          </w:p>
        </w:tc>
      </w:tr>
      <w:tr>
        <w:tc>
          <w:tcPr>
            <w:tcW w:type="dxa" w:w="3192"/>
            <w:tcBorders>
              <w:top w:val="single" w:sz="1"/>
              <w:left w:val="single" w:sz="1"/>
              <w:bottom w:val="single" w:sz="1"/>
              <w:right w:val="single" w:sz="1"/>
            </w:tcBorders>
            <w:vAlign w:val="top"/>
          </w:tcPr>
          <w:p>
            <w:r>
              <w:t xml:space="preserve">Chrome 113+</w:t>
            </w:r>
          </w:p>
        </w:tc>
        <w:tc>
          <w:tcPr>
            <w:tcW w:type="dxa" w:w="3192"/>
            <w:tcBorders>
              <w:top w:val="single" w:sz="1"/>
              <w:left w:val="single" w:sz="1"/>
              <w:bottom w:val="single" w:sz="1"/>
              <w:right w:val="single" w:sz="1"/>
            </w:tcBorders>
            <w:vAlign w:val="top"/>
          </w:tcPr>
          <w:p>
            <w:r>
              <w:t xml:space="preserve">Shipped</w:t>
            </w:r>
          </w:p>
        </w:tc>
        <w:tc>
          <w:tcPr>
            <w:tcW w:type="dxa" w:w="3192"/>
            <w:tcBorders>
              <w:top w:val="single" w:sz="1"/>
              <w:left w:val="single" w:sz="1"/>
              <w:bottom w:val="single" w:sz="1"/>
              <w:right w:val="single" w:sz="1"/>
            </w:tcBorders>
            <w:vAlign w:val="top"/>
          </w:tcPr>
          <w:p>
            <w:r>
              <w:t xml:space="preserve">Full support</w:t>
            </w:r>
          </w:p>
        </w:tc>
      </w:tr>
      <w:tr>
        <w:tc>
          <w:tcPr>
            <w:tcW w:type="dxa" w:w="3192"/>
            <w:tcBorders>
              <w:top w:val="single" w:sz="1"/>
              <w:left w:val="single" w:sz="1"/>
              <w:bottom w:val="single" w:sz="1"/>
              <w:right w:val="single" w:sz="1"/>
            </w:tcBorders>
            <w:vAlign w:val="top"/>
          </w:tcPr>
          <w:p>
            <w:r>
              <w:t xml:space="preserve">Edge 113+</w:t>
            </w:r>
          </w:p>
        </w:tc>
        <w:tc>
          <w:tcPr>
            <w:tcW w:type="dxa" w:w="3192"/>
            <w:tcBorders>
              <w:top w:val="single" w:sz="1"/>
              <w:left w:val="single" w:sz="1"/>
              <w:bottom w:val="single" w:sz="1"/>
              <w:right w:val="single" w:sz="1"/>
            </w:tcBorders>
            <w:vAlign w:val="top"/>
          </w:tcPr>
          <w:p>
            <w:r>
              <w:t xml:space="preserve">Shipped</w:t>
            </w:r>
          </w:p>
        </w:tc>
        <w:tc>
          <w:tcPr>
            <w:tcW w:type="dxa" w:w="3192"/>
            <w:tcBorders>
              <w:top w:val="single" w:sz="1"/>
              <w:left w:val="single" w:sz="1"/>
              <w:bottom w:val="single" w:sz="1"/>
              <w:right w:val="single" w:sz="1"/>
            </w:tcBorders>
            <w:vAlign w:val="top"/>
          </w:tcPr>
          <w:p>
            <w:r>
              <w:t xml:space="preserve">Full support</w:t>
            </w:r>
          </w:p>
        </w:tc>
      </w:tr>
      <w:tr>
        <w:tc>
          <w:tcPr>
            <w:tcW w:type="dxa" w:w="3192"/>
            <w:tcBorders>
              <w:top w:val="single" w:sz="1"/>
              <w:left w:val="single" w:sz="1"/>
              <w:bottom w:val="single" w:sz="1"/>
              <w:right w:val="single" w:sz="1"/>
            </w:tcBorders>
            <w:vAlign w:val="top"/>
          </w:tcPr>
          <w:p>
            <w:r>
              <w:t xml:space="preserve">Safari 18+</w:t>
            </w:r>
          </w:p>
        </w:tc>
        <w:tc>
          <w:tcPr>
            <w:tcW w:type="dxa" w:w="3192"/>
            <w:tcBorders>
              <w:top w:val="single" w:sz="1"/>
              <w:left w:val="single" w:sz="1"/>
              <w:bottom w:val="single" w:sz="1"/>
              <w:right w:val="single" w:sz="1"/>
            </w:tcBorders>
            <w:vAlign w:val="top"/>
          </w:tcPr>
          <w:p>
            <w:r>
              <w:t xml:space="preserve">Shipped</w:t>
            </w:r>
          </w:p>
        </w:tc>
        <w:tc>
          <w:tcPr>
            <w:tcW w:type="dxa" w:w="3192"/>
            <w:tcBorders>
              <w:top w:val="single" w:sz="1"/>
              <w:left w:val="single" w:sz="1"/>
              <w:bottom w:val="single" w:sz="1"/>
              <w:right w:val="single" w:sz="1"/>
            </w:tcBorders>
            <w:vAlign w:val="top"/>
          </w:tcPr>
          <w:p>
            <w:r>
              <w:t xml:space="preserve">Full support</w:t>
            </w:r>
          </w:p>
        </w:tc>
      </w:tr>
      <w:tr>
        <w:tc>
          <w:tcPr>
            <w:tcW w:type="dxa" w:w="3192"/>
            <w:tcBorders>
              <w:top w:val="single" w:sz="1"/>
              <w:left w:val="single" w:sz="1"/>
              <w:bottom w:val="single" w:sz="1"/>
              <w:right w:val="single" w:sz="1"/>
            </w:tcBorders>
            <w:vAlign w:val="top"/>
          </w:tcPr>
          <w:p>
            <w:r>
              <w:t xml:space="preserve">Firefox</w:t>
            </w:r>
          </w:p>
        </w:tc>
        <w:tc>
          <w:tcPr>
            <w:tcW w:type="dxa" w:w="3192"/>
            <w:tcBorders>
              <w:top w:val="single" w:sz="1"/>
              <w:left w:val="single" w:sz="1"/>
              <w:bottom w:val="single" w:sz="1"/>
              <w:right w:val="single" w:sz="1"/>
            </w:tcBorders>
            <w:vAlign w:val="top"/>
          </w:tcPr>
          <w:p>
            <w:r>
              <w:t xml:space="preserve">Flag required</w:t>
            </w:r>
          </w:p>
        </w:tc>
        <w:tc>
          <w:tcPr>
            <w:tcW w:type="dxa" w:w="3192"/>
            <w:tcBorders>
              <w:top w:val="single" w:sz="1"/>
              <w:left w:val="single" w:sz="1"/>
              <w:bottom w:val="single" w:sz="1"/>
              <w:right w:val="single" w:sz="1"/>
            </w:tcBorders>
            <w:vAlign w:val="top"/>
          </w:tcPr>
          <w:p>
            <w:r>
              <w:t xml:space="preserve">Not default-enabled</w:t>
            </w:r>
          </w:p>
        </w:tc>
      </w:tr>
    </w:tbl>
    <w:p>
      <w:pPr>
        <w:pStyle w:val="Heading2"/>
        <w:spacing w:after="120" w:before="240"/>
        <w:outlineLvl w:val="1"/>
      </w:pPr>
      <w:r>
        <w:t xml:space="preserve">5. Evaluation Framework Design</w:t>
      </w:r>
    </w:p>
    <w:p>
      <w:pPr>
        <w:pStyle w:val="Heading3"/>
        <w:spacing w:after="120" w:before="240"/>
        <w:outlineLvl w:val="2"/>
      </w:pPr>
      <w:r>
        <w:t xml:space="preserve">5.1 Metrics Beyond F1</w:t>
      </w:r>
    </w:p>
    <w:p>
      <w:pPr>
        <w:spacing w:after="120"/>
      </w:pPr>
      <w:r>
        <w:rPr>
          <w:rFonts w:ascii="Arial" w:cs="Arial" w:eastAsia="Arial" w:hAnsi="Arial"/>
        </w:rPr>
        <w:t xml:space="preserve">Your current F1=82.1% is a reasonable start but insufficient for compliance AI. Here's a comprehensive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tLeast"/>
        </w:trPr>
        <w:tc>
          <w:tcPr>
            <w:tcW w:type="dxa" w:w="2394"/>
            <w:tcBorders>
              <w:top w:val="single" w:sz="1"/>
              <w:left w:val="single" w:sz="1"/>
              <w:bottom w:val="single" w:sz="1"/>
              <w:right w:val="single" w:sz="1"/>
            </w:tcBorders>
            <w:shd w:fill="D3D3D3" w:val="clear"/>
            <w:vAlign w:val="center"/>
          </w:tcPr>
          <w:p>
            <w:r>
              <w:t xml:space="preserve">Metric</w:t>
            </w:r>
          </w:p>
        </w:tc>
        <w:tc>
          <w:tcPr>
            <w:tcW w:type="dxa" w:w="2394"/>
            <w:tcBorders>
              <w:top w:val="single" w:sz="1"/>
              <w:left w:val="single" w:sz="1"/>
              <w:bottom w:val="single" w:sz="1"/>
              <w:right w:val="single" w:sz="1"/>
            </w:tcBorders>
            <w:shd w:fill="D3D3D3" w:val="clear"/>
            <w:vAlign w:val="center"/>
          </w:tcPr>
          <w:p>
            <w:r>
              <w:t xml:space="preserve">Measures</w:t>
            </w:r>
          </w:p>
        </w:tc>
        <w:tc>
          <w:tcPr>
            <w:tcW w:type="dxa" w:w="2394"/>
            <w:tcBorders>
              <w:top w:val="single" w:sz="1"/>
              <w:left w:val="single" w:sz="1"/>
              <w:bottom w:val="single" w:sz="1"/>
              <w:right w:val="single" w:sz="1"/>
            </w:tcBorders>
            <w:shd w:fill="D3D3D3" w:val="clear"/>
            <w:vAlign w:val="center"/>
          </w:tcPr>
          <w:p>
            <w:r>
              <w:t xml:space="preserve">Target</w:t>
            </w:r>
          </w:p>
        </w:tc>
        <w:tc>
          <w:tcPr>
            <w:tcW w:type="dxa" w:w="2394"/>
            <w:tcBorders>
              <w:top w:val="single" w:sz="1"/>
              <w:left w:val="single" w:sz="1"/>
              <w:bottom w:val="single" w:sz="1"/>
              <w:right w:val="single" w:sz="1"/>
            </w:tcBorders>
            <w:shd w:fill="D3D3D3" w:val="clear"/>
            <w:vAlign w:val="center"/>
          </w:tcPr>
          <w:p>
            <w:r>
              <w:t xml:space="preserve">Tool</w:t>
            </w:r>
          </w:p>
        </w:tc>
      </w:tr>
      <w:tr>
        <w:tc>
          <w:tcPr>
            <w:tcW w:type="dxa" w:w="2394"/>
            <w:tcBorders>
              <w:top w:val="single" w:sz="1"/>
              <w:left w:val="single" w:sz="1"/>
              <w:bottom w:val="single" w:sz="1"/>
              <w:right w:val="single" w:sz="1"/>
            </w:tcBorders>
            <w:vAlign w:val="top"/>
          </w:tcPr>
          <w:p>
            <w:r>
              <w:t xml:space="preserve">**F1 Score**</w:t>
            </w:r>
          </w:p>
        </w:tc>
        <w:tc>
          <w:tcPr>
            <w:tcW w:type="dxa" w:w="2394"/>
            <w:tcBorders>
              <w:top w:val="single" w:sz="1"/>
              <w:left w:val="single" w:sz="1"/>
              <w:bottom w:val="single" w:sz="1"/>
              <w:right w:val="single" w:sz="1"/>
            </w:tcBorders>
            <w:vAlign w:val="top"/>
          </w:tcPr>
          <w:p>
            <w:r>
              <w:t xml:space="preserve">Extraction accuracy</w:t>
            </w:r>
          </w:p>
        </w:tc>
        <w:tc>
          <w:tcPr>
            <w:tcW w:type="dxa" w:w="2394"/>
            <w:tcBorders>
              <w:top w:val="single" w:sz="1"/>
              <w:left w:val="single" w:sz="1"/>
              <w:bottom w:val="single" w:sz="1"/>
              <w:right w:val="single" w:sz="1"/>
            </w:tcBorders>
            <w:vAlign w:val="top"/>
          </w:tcPr>
          <w:p>
            <w:r>
              <w:t xml:space="preserve">&gt;90%</w:t>
            </w:r>
          </w:p>
        </w:tc>
        <w:tc>
          <w:tcPr>
            <w:tcW w:type="dxa" w:w="2394"/>
            <w:tcBorders>
              <w:top w:val="single" w:sz="1"/>
              <w:left w:val="single" w:sz="1"/>
              <w:bottom w:val="single" w:sz="1"/>
              <w:right w:val="single" w:sz="1"/>
            </w:tcBorders>
            <w:vAlign w:val="top"/>
          </w:tcPr>
          <w:p>
            <w:r>
              <w:t xml:space="preserve">Custom eval</w:t>
            </w:r>
          </w:p>
        </w:tc>
      </w:tr>
      <w:tr>
        <w:tc>
          <w:tcPr>
            <w:tcW w:type="dxa" w:w="2394"/>
            <w:tcBorders>
              <w:top w:val="single" w:sz="1"/>
              <w:left w:val="single" w:sz="1"/>
              <w:bottom w:val="single" w:sz="1"/>
              <w:right w:val="single" w:sz="1"/>
            </w:tcBorders>
            <w:vAlign w:val="top"/>
          </w:tcPr>
          <w:p>
            <w:r>
              <w:t xml:space="preserve">**Faithfulness**</w:t>
            </w:r>
          </w:p>
        </w:tc>
        <w:tc>
          <w:tcPr>
            <w:tcW w:type="dxa" w:w="2394"/>
            <w:tcBorders>
              <w:top w:val="single" w:sz="1"/>
              <w:left w:val="single" w:sz="1"/>
              <w:bottom w:val="single" w:sz="1"/>
              <w:right w:val="single" w:sz="1"/>
            </w:tcBorders>
            <w:vAlign w:val="top"/>
          </w:tcPr>
          <w:p>
            <w:r>
              <w:t xml:space="preserve">Are claims supported by retrieved context?</w:t>
            </w:r>
          </w:p>
        </w:tc>
        <w:tc>
          <w:tcPr>
            <w:tcW w:type="dxa" w:w="2394"/>
            <w:tcBorders>
              <w:top w:val="single" w:sz="1"/>
              <w:left w:val="single" w:sz="1"/>
              <w:bottom w:val="single" w:sz="1"/>
              <w:right w:val="single" w:sz="1"/>
            </w:tcBorders>
            <w:vAlign w:val="top"/>
          </w:tcPr>
          <w:p>
            <w:r>
              <w:t xml:space="preserve">&gt;0.90</w:t>
            </w:r>
          </w:p>
        </w:tc>
        <w:tc>
          <w:tcPr>
            <w:tcW w:type="dxa" w:w="2394"/>
            <w:tcBorders>
              <w:top w:val="single" w:sz="1"/>
              <w:left w:val="single" w:sz="1"/>
              <w:bottom w:val="single" w:sz="1"/>
              <w:right w:val="single" w:sz="1"/>
            </w:tcBorders>
            <w:vAlign w:val="top"/>
          </w:tcPr>
          <w:p>
            <w:r>
              <w:t xml:space="preserve">RAGAS</w:t>
            </w:r>
          </w:p>
        </w:tc>
      </w:tr>
      <w:tr>
        <w:tc>
          <w:tcPr>
            <w:tcW w:type="dxa" w:w="2394"/>
            <w:tcBorders>
              <w:top w:val="single" w:sz="1"/>
              <w:left w:val="single" w:sz="1"/>
              <w:bottom w:val="single" w:sz="1"/>
              <w:right w:val="single" w:sz="1"/>
            </w:tcBorders>
            <w:vAlign w:val="top"/>
          </w:tcPr>
          <w:p>
            <w:r>
              <w:t xml:space="preserve">**Answer Relevance**</w:t>
            </w:r>
          </w:p>
        </w:tc>
        <w:tc>
          <w:tcPr>
            <w:tcW w:type="dxa" w:w="2394"/>
            <w:tcBorders>
              <w:top w:val="single" w:sz="1"/>
              <w:left w:val="single" w:sz="1"/>
              <w:bottom w:val="single" w:sz="1"/>
              <w:right w:val="single" w:sz="1"/>
            </w:tcBorders>
            <w:vAlign w:val="top"/>
          </w:tcPr>
          <w:p>
            <w:r>
              <w:t xml:space="preserve">Does the answer address the query?</w:t>
            </w:r>
          </w:p>
        </w:tc>
        <w:tc>
          <w:tcPr>
            <w:tcW w:type="dxa" w:w="2394"/>
            <w:tcBorders>
              <w:top w:val="single" w:sz="1"/>
              <w:left w:val="single" w:sz="1"/>
              <w:bottom w:val="single" w:sz="1"/>
              <w:right w:val="single" w:sz="1"/>
            </w:tcBorders>
            <w:vAlign w:val="top"/>
          </w:tcPr>
          <w:p>
            <w:r>
              <w:t xml:space="preserve">&gt;0.85</w:t>
            </w:r>
          </w:p>
        </w:tc>
        <w:tc>
          <w:tcPr>
            <w:tcW w:type="dxa" w:w="2394"/>
            <w:tcBorders>
              <w:top w:val="single" w:sz="1"/>
              <w:left w:val="single" w:sz="1"/>
              <w:bottom w:val="single" w:sz="1"/>
              <w:right w:val="single" w:sz="1"/>
            </w:tcBorders>
            <w:vAlign w:val="top"/>
          </w:tcPr>
          <w:p>
            <w:r>
              <w:t xml:space="preserve">RAGAS</w:t>
            </w:r>
          </w:p>
        </w:tc>
      </w:tr>
      <w:tr>
        <w:tc>
          <w:tcPr>
            <w:tcW w:type="dxa" w:w="2394"/>
            <w:tcBorders>
              <w:top w:val="single" w:sz="1"/>
              <w:left w:val="single" w:sz="1"/>
              <w:bottom w:val="single" w:sz="1"/>
              <w:right w:val="single" w:sz="1"/>
            </w:tcBorders>
            <w:vAlign w:val="top"/>
          </w:tcPr>
          <w:p>
            <w:r>
              <w:t xml:space="preserve">**Context Precision**</w:t>
            </w:r>
          </w:p>
        </w:tc>
        <w:tc>
          <w:tcPr>
            <w:tcW w:type="dxa" w:w="2394"/>
            <w:tcBorders>
              <w:top w:val="single" w:sz="1"/>
              <w:left w:val="single" w:sz="1"/>
              <w:bottom w:val="single" w:sz="1"/>
              <w:right w:val="single" w:sz="1"/>
            </w:tcBorders>
            <w:vAlign w:val="top"/>
          </w:tcPr>
          <w:p>
            <w:r>
              <w:t xml:space="preserve">Are retrieved chunks relevant?</w:t>
            </w:r>
          </w:p>
        </w:tc>
        <w:tc>
          <w:tcPr>
            <w:tcW w:type="dxa" w:w="2394"/>
            <w:tcBorders>
              <w:top w:val="single" w:sz="1"/>
              <w:left w:val="single" w:sz="1"/>
              <w:bottom w:val="single" w:sz="1"/>
              <w:right w:val="single" w:sz="1"/>
            </w:tcBorders>
            <w:vAlign w:val="top"/>
          </w:tcPr>
          <w:p>
            <w:r>
              <w:t xml:space="preserve">&gt;0.80</w:t>
            </w:r>
          </w:p>
        </w:tc>
        <w:tc>
          <w:tcPr>
            <w:tcW w:type="dxa" w:w="2394"/>
            <w:tcBorders>
              <w:top w:val="single" w:sz="1"/>
              <w:left w:val="single" w:sz="1"/>
              <w:bottom w:val="single" w:sz="1"/>
              <w:right w:val="single" w:sz="1"/>
            </w:tcBorders>
            <w:vAlign w:val="top"/>
          </w:tcPr>
          <w:p>
            <w:r>
              <w:t xml:space="preserve">RAGAS</w:t>
            </w:r>
          </w:p>
        </w:tc>
      </w:tr>
      <w:tr>
        <w:tc>
          <w:tcPr>
            <w:tcW w:type="dxa" w:w="2394"/>
            <w:tcBorders>
              <w:top w:val="single" w:sz="1"/>
              <w:left w:val="single" w:sz="1"/>
              <w:bottom w:val="single" w:sz="1"/>
              <w:right w:val="single" w:sz="1"/>
            </w:tcBorders>
            <w:vAlign w:val="top"/>
          </w:tcPr>
          <w:p>
            <w:r>
              <w:t xml:space="preserve">**Context Recall**</w:t>
            </w:r>
          </w:p>
        </w:tc>
        <w:tc>
          <w:tcPr>
            <w:tcW w:type="dxa" w:w="2394"/>
            <w:tcBorders>
              <w:top w:val="single" w:sz="1"/>
              <w:left w:val="single" w:sz="1"/>
              <w:bottom w:val="single" w:sz="1"/>
              <w:right w:val="single" w:sz="1"/>
            </w:tcBorders>
            <w:vAlign w:val="top"/>
          </w:tcPr>
          <w:p>
            <w:r>
              <w:t xml:space="preserve">Are all relevant chunks retrieved?</w:t>
            </w:r>
          </w:p>
        </w:tc>
        <w:tc>
          <w:tcPr>
            <w:tcW w:type="dxa" w:w="2394"/>
            <w:tcBorders>
              <w:top w:val="single" w:sz="1"/>
              <w:left w:val="single" w:sz="1"/>
              <w:bottom w:val="single" w:sz="1"/>
              <w:right w:val="single" w:sz="1"/>
            </w:tcBorders>
            <w:vAlign w:val="top"/>
          </w:tcPr>
          <w:p>
            <w:r>
              <w:t xml:space="preserve">&gt;0.85</w:t>
            </w:r>
          </w:p>
        </w:tc>
        <w:tc>
          <w:tcPr>
            <w:tcW w:type="dxa" w:w="2394"/>
            <w:tcBorders>
              <w:top w:val="single" w:sz="1"/>
              <w:left w:val="single" w:sz="1"/>
              <w:bottom w:val="single" w:sz="1"/>
              <w:right w:val="single" w:sz="1"/>
            </w:tcBorders>
            <w:vAlign w:val="top"/>
          </w:tcPr>
          <w:p>
            <w:r>
              <w:t xml:space="preserve">RAGAS</w:t>
            </w:r>
          </w:p>
        </w:tc>
      </w:tr>
      <w:tr>
        <w:tc>
          <w:tcPr>
            <w:tcW w:type="dxa" w:w="2394"/>
            <w:tcBorders>
              <w:top w:val="single" w:sz="1"/>
              <w:left w:val="single" w:sz="1"/>
              <w:bottom w:val="single" w:sz="1"/>
              <w:right w:val="single" w:sz="1"/>
            </w:tcBorders>
            <w:vAlign w:val="top"/>
          </w:tcPr>
          <w:p>
            <w:r>
              <w:t xml:space="preserve">**Hallucination Rate**</w:t>
            </w:r>
          </w:p>
        </w:tc>
        <w:tc>
          <w:tcPr>
            <w:tcW w:type="dxa" w:w="2394"/>
            <w:tcBorders>
              <w:top w:val="single" w:sz="1"/>
              <w:left w:val="single" w:sz="1"/>
              <w:bottom w:val="single" w:sz="1"/>
              <w:right w:val="single" w:sz="1"/>
            </w:tcBorders>
            <w:vAlign w:val="top"/>
          </w:tcPr>
          <w:p>
            <w:r>
              <w:t xml:space="preserve">Claims not supported by any source</w:t>
            </w:r>
          </w:p>
        </w:tc>
        <w:tc>
          <w:tcPr>
            <w:tcW w:type="dxa" w:w="2394"/>
            <w:tcBorders>
              <w:top w:val="single" w:sz="1"/>
              <w:left w:val="single" w:sz="1"/>
              <w:bottom w:val="single" w:sz="1"/>
              <w:right w:val="single" w:sz="1"/>
            </w:tcBorders>
            <w:vAlign w:val="top"/>
          </w:tcPr>
          <w:p>
            <w:r>
              <w:t xml:space="preserve">&lt;5%</w:t>
            </w:r>
          </w:p>
        </w:tc>
        <w:tc>
          <w:tcPr>
            <w:tcW w:type="dxa" w:w="2394"/>
            <w:tcBorders>
              <w:top w:val="single" w:sz="1"/>
              <w:left w:val="single" w:sz="1"/>
              <w:bottom w:val="single" w:sz="1"/>
              <w:right w:val="single" w:sz="1"/>
            </w:tcBorders>
            <w:vAlign w:val="top"/>
          </w:tcPr>
          <w:p>
            <w:r>
              <w:t xml:space="preserve">RAGAS Faithfulness + CleanLab TLM</w:t>
            </w:r>
          </w:p>
        </w:tc>
      </w:tr>
      <w:tr>
        <w:tc>
          <w:tcPr>
            <w:tcW w:type="dxa" w:w="2394"/>
            <w:tcBorders>
              <w:top w:val="single" w:sz="1"/>
              <w:left w:val="single" w:sz="1"/>
              <w:bottom w:val="single" w:sz="1"/>
              <w:right w:val="single" w:sz="1"/>
            </w:tcBorders>
            <w:vAlign w:val="top"/>
          </w:tcPr>
          <w:p>
            <w:r>
              <w:t xml:space="preserve">**Citation Accuracy**</w:t>
            </w:r>
          </w:p>
        </w:tc>
        <w:tc>
          <w:tcPr>
            <w:tcW w:type="dxa" w:w="2394"/>
            <w:tcBorders>
              <w:top w:val="single" w:sz="1"/>
              <w:left w:val="single" w:sz="1"/>
              <w:bottom w:val="single" w:sz="1"/>
              <w:right w:val="single" w:sz="1"/>
            </w:tcBorders>
            <w:vAlign w:val="top"/>
          </w:tcPr>
          <w:p>
            <w:r>
              <w:t xml:space="preserve">Do citations map to correct source docs?</w:t>
            </w:r>
          </w:p>
        </w:tc>
        <w:tc>
          <w:tcPr>
            <w:tcW w:type="dxa" w:w="2394"/>
            <w:tcBorders>
              <w:top w:val="single" w:sz="1"/>
              <w:left w:val="single" w:sz="1"/>
              <w:bottom w:val="single" w:sz="1"/>
              <w:right w:val="single" w:sz="1"/>
            </w:tcBorders>
            <w:vAlign w:val="top"/>
          </w:tcPr>
          <w:p>
            <w:r>
              <w:t xml:space="preserve">&gt;95%</w:t>
            </w:r>
          </w:p>
        </w:tc>
        <w:tc>
          <w:tcPr>
            <w:tcW w:type="dxa" w:w="2394"/>
            <w:tcBorders>
              <w:top w:val="single" w:sz="1"/>
              <w:left w:val="single" w:sz="1"/>
              <w:bottom w:val="single" w:sz="1"/>
              <w:right w:val="single" w:sz="1"/>
            </w:tcBorders>
            <w:vAlign w:val="top"/>
          </w:tcPr>
          <w:p>
            <w:r>
              <w:t xml:space="preserve">Custom (Bitcoin anchor verification)</w:t>
            </w:r>
          </w:p>
        </w:tc>
      </w:tr>
      <w:tr>
        <w:tc>
          <w:tcPr>
            <w:tcW w:type="dxa" w:w="2394"/>
            <w:tcBorders>
              <w:top w:val="single" w:sz="1"/>
              <w:left w:val="single" w:sz="1"/>
              <w:bottom w:val="single" w:sz="1"/>
              <w:right w:val="single" w:sz="1"/>
            </w:tcBorders>
            <w:vAlign w:val="top"/>
          </w:tcPr>
          <w:p>
            <w:r>
              <w:t xml:space="preserve">**Confidence Correlation**</w:t>
            </w:r>
          </w:p>
        </w:tc>
        <w:tc>
          <w:tcPr>
            <w:tcW w:type="dxa" w:w="2394"/>
            <w:tcBorders>
              <w:top w:val="single" w:sz="1"/>
              <w:left w:val="single" w:sz="1"/>
              <w:bottom w:val="single" w:sz="1"/>
              <w:right w:val="single" w:sz="1"/>
            </w:tcBorders>
            <w:vAlign w:val="top"/>
          </w:tcPr>
          <w:p>
            <w:r>
              <w:t xml:space="preserve">Does model confidence predict accuracy?</w:t>
            </w:r>
          </w:p>
        </w:tc>
        <w:tc>
          <w:tcPr>
            <w:tcW w:type="dxa" w:w="2394"/>
            <w:tcBorders>
              <w:top w:val="single" w:sz="1"/>
              <w:left w:val="single" w:sz="1"/>
              <w:bottom w:val="single" w:sz="1"/>
              <w:right w:val="single" w:sz="1"/>
            </w:tcBorders>
            <w:vAlign w:val="top"/>
          </w:tcPr>
          <w:p>
            <w:r>
              <w:t xml:space="preserve">r&gt;0.70</w:t>
            </w:r>
          </w:p>
        </w:tc>
        <w:tc>
          <w:tcPr>
            <w:tcW w:type="dxa" w:w="2394"/>
            <w:tcBorders>
              <w:top w:val="single" w:sz="1"/>
              <w:left w:val="single" w:sz="1"/>
              <w:bottom w:val="single" w:sz="1"/>
              <w:right w:val="single" w:sz="1"/>
            </w:tcBorders>
            <w:vAlign w:val="top"/>
          </w:tcPr>
          <w:p>
            <w:r>
              <w:t xml:space="preserve">Custom (currently r=0.426 — needs improvement)</w:t>
            </w:r>
          </w:p>
        </w:tc>
      </w:tr>
      <w:tr>
        <w:tc>
          <w:tcPr>
            <w:tcW w:type="dxa" w:w="2394"/>
            <w:tcBorders>
              <w:top w:val="single" w:sz="1"/>
              <w:left w:val="single" w:sz="1"/>
              <w:bottom w:val="single" w:sz="1"/>
              <w:right w:val="single" w:sz="1"/>
            </w:tcBorders>
            <w:vAlign w:val="top"/>
          </w:tcPr>
          <w:p>
            <w:r>
              <w:t xml:space="preserve">**Latency P95**</w:t>
            </w:r>
          </w:p>
        </w:tc>
        <w:tc>
          <w:tcPr>
            <w:tcW w:type="dxa" w:w="2394"/>
            <w:tcBorders>
              <w:top w:val="single" w:sz="1"/>
              <w:left w:val="single" w:sz="1"/>
              <w:bottom w:val="single" w:sz="1"/>
              <w:right w:val="single" w:sz="1"/>
            </w:tcBorders>
            <w:vAlign w:val="top"/>
          </w:tcPr>
          <w:p>
            <w:r>
              <w:t xml:space="preserve">Response time</w:t>
            </w:r>
          </w:p>
        </w:tc>
        <w:tc>
          <w:tcPr>
            <w:tcW w:type="dxa" w:w="2394"/>
            <w:tcBorders>
              <w:top w:val="single" w:sz="1"/>
              <w:left w:val="single" w:sz="1"/>
              <w:bottom w:val="single" w:sz="1"/>
              <w:right w:val="single" w:sz="1"/>
            </w:tcBorders>
            <w:vAlign w:val="top"/>
          </w:tcPr>
          <w:p>
            <w:r>
              <w:t xml:space="preserve">&lt;3s server, &lt;10s client</w:t>
            </w:r>
          </w:p>
        </w:tc>
        <w:tc>
          <w:tcPr>
            <w:tcW w:type="dxa" w:w="2394"/>
            <w:tcBorders>
              <w:top w:val="single" w:sz="1"/>
              <w:left w:val="single" w:sz="1"/>
              <w:bottom w:val="single" w:sz="1"/>
              <w:right w:val="single" w:sz="1"/>
            </w:tcBorders>
            <w:vAlign w:val="top"/>
          </w:tcPr>
          <w:p>
            <w:r>
              <w:t xml:space="preserve">Monitoring</w:t>
            </w:r>
          </w:p>
        </w:tc>
      </w:tr>
    </w:tbl>
    <w:p>
      <w:pPr>
        <w:pStyle w:val="Heading3"/>
        <w:spacing w:after="120" w:before="240"/>
        <w:outlineLvl w:val="2"/>
      </w:pPr>
      <w:r>
        <w:t xml:space="preserve">5.2 Golden Dataset Construction</w:t>
      </w:r>
    </w:p>
    <w:p>
      <w:pPr>
        <w:spacing w:after="120"/>
      </w:pPr>
      <w:r>
        <w:rPr>
          <w:rFonts w:ascii="Arial" w:cs="Arial" w:eastAsia="Arial" w:hAnsi="Arial"/>
        </w:rPr>
        <w:t xml:space="preserve">For compliance/legal evaluation:</w:t>
      </w:r>
    </w:p>
    <w:p>
      <w:pPr>
        <w:pStyle w:val="ListParagraph"/>
        <w:numPr>
          <w:ilvl w:val="0"/>
          <w:numId w:val="1"/>
        </w:numPr>
        <w:spacing w:after="100"/>
      </w:pPr>
      <w:r>
        <w:t xml:space="preserve">**Source real documents:** 100+ SEC 10-Ks, 50+ patent filings, 50+ regulatory documents</w:t>
      </w:r>
    </w:p>
    <w:p>
      <w:pPr>
        <w:pStyle w:val="ListParagraph"/>
        <w:numPr>
          <w:ilvl w:val="0"/>
          <w:numId w:val="1"/>
        </w:numPr>
        <w:spacing w:after="100"/>
      </w:pPr>
      <w:r>
        <w:t xml:space="preserve">**Expert annotation:** Have compliance professionals create Q&amp;A pairs with exact citation spans</w:t>
      </w:r>
    </w:p>
    <w:p>
      <w:pPr>
        <w:pStyle w:val="ListParagraph"/>
        <w:numPr>
          <w:ilvl w:val="0"/>
          <w:numId w:val="1"/>
        </w:numPr>
        <w:spacing w:after="100"/>
      </w:pPr>
      <w:r>
        <w:t xml:space="preserve">**Stratify by difficulty:** Easy (single-hop lookup), Medium (multi-section synthesis), Hard (cross-document reasoning)</w:t>
      </w:r>
    </w:p>
    <w:p>
      <w:pPr>
        <w:pStyle w:val="ListParagraph"/>
        <w:numPr>
          <w:ilvl w:val="0"/>
          <w:numId w:val="1"/>
        </w:numPr>
        <w:spacing w:after="100"/>
      </w:pPr>
      <w:r>
        <w:t xml:space="preserve">**Include adversarial examples:** Questions designed to trigger hallucination (e.g., asking about provisions that don't exist)</w:t>
      </w:r>
    </w:p>
    <w:p>
      <w:pPr>
        <w:pStyle w:val="ListParagraph"/>
        <w:numPr>
          <w:ilvl w:val="0"/>
          <w:numId w:val="1"/>
        </w:numPr>
        <w:spacing w:after="100"/>
      </w:pPr>
      <w:r>
        <w:t xml:space="preserve">**Version the dataset:** As regulations change, the golden set must evolve</w:t>
      </w:r>
    </w:p>
    <w:p>
      <w:pPr>
        <w:pStyle w:val="ListParagraph"/>
        <w:numPr>
          <w:ilvl w:val="0"/>
          <w:numId w:val="1"/>
        </w:numPr>
        <w:spacing w:after="100"/>
      </w:pPr>
      <w:r>
        <w:t xml:space="preserve">**Size target:** 500–1,000 evaluation pairs minimum; 200 per domain</w:t>
      </w:r>
    </w:p>
    <w:p>
      <w:pPr>
        <w:pStyle w:val="Heading3"/>
        <w:spacing w:after="120" w:before="240"/>
        <w:outlineLvl w:val="2"/>
      </w:pPr>
      <w:r>
        <w:t xml:space="preserve">5.3 Confidence Correlation Improvement</w:t>
      </w:r>
    </w:p>
    <w:p>
      <w:pPr>
        <w:spacing w:after="120"/>
      </w:pPr>
      <w:r>
        <w:rPr>
          <w:rFonts w:ascii="Arial" w:cs="Arial" w:eastAsia="Arial" w:hAnsi="Arial"/>
        </w:rPr>
        <w:t xml:space="preserve">Your current r=0.426 is concerning — the model's confidence doesn't reliably predict accuracy. To improve:</w:t>
      </w:r>
    </w:p>
    <w:p>
      <w:pPr>
        <w:pStyle w:val="ListParagraph"/>
        <w:numPr>
          <w:ilvl w:val="0"/>
          <w:numId w:val="1"/>
        </w:numPr>
        <w:spacing w:after="100"/>
      </w:pPr>
      <w:r>
        <w:t xml:space="preserve">**Calibration training:** Add a calibration head that learns to predict accuracy from internal representations</w:t>
      </w:r>
    </w:p>
    <w:p>
      <w:pPr>
        <w:pStyle w:val="ListParagraph"/>
        <w:numPr>
          <w:ilvl w:val="0"/>
          <w:numId w:val="1"/>
        </w:numPr>
        <w:spacing w:after="100"/>
      </w:pPr>
      <w:r>
        <w:t xml:space="preserve">**Ensemble-based confidence:** Run query through multiple LoRA adapters; agreement = higher confidence</w:t>
      </w:r>
    </w:p>
    <w:p>
      <w:pPr>
        <w:pStyle w:val="ListParagraph"/>
        <w:numPr>
          <w:ilvl w:val="0"/>
          <w:numId w:val="1"/>
        </w:numPr>
        <w:spacing w:after="100"/>
      </w:pPr>
      <w:r>
        <w:t xml:space="preserve">**Retrieval-grounded confidence:** Confidence should correlate with retrieval score — if the retrieved chunks are low-relevance, output confidence should be low</w:t>
      </w:r>
    </w:p>
    <w:p>
      <w:pPr>
        <w:pStyle w:val="ListParagraph"/>
        <w:numPr>
          <w:ilvl w:val="0"/>
          <w:numId w:val="1"/>
        </w:numPr>
        <w:spacing w:after="100"/>
      </w:pPr>
      <w:r>
        <w:t xml:space="preserve">**Target:** r&gt;0.70 for production deployment. Below that, confidence scores mislead users.</w:t>
      </w:r>
    </w:p>
    <w:p>
      <w:pPr>
        <w:pStyle w:val="Heading3"/>
        <w:spacing w:after="120" w:before="240"/>
        <w:outlineLvl w:val="2"/>
      </w:pPr>
      <w:r>
        <w:t xml:space="preserve">5.4 Continuous Production Monitoring</w:t>
      </w:r>
    </w:p>
    <w:p>
      <w:pPr>
        <w:pStyle w:val="ListParagraph"/>
        <w:numPr>
          <w:ilvl w:val="0"/>
          <w:numId w:val="1"/>
        </w:numPr>
        <w:spacing w:after="100"/>
      </w:pPr>
      <w:r>
        <w:t xml:space="preserve">**RAGAS metrics computed on sampled production queries** (5–10% sample)</w:t>
      </w:r>
    </w:p>
    <w:p>
      <w:pPr>
        <w:pStyle w:val="ListParagraph"/>
        <w:numPr>
          <w:ilvl w:val="0"/>
          <w:numId w:val="1"/>
        </w:numPr>
        <w:spacing w:after="100"/>
      </w:pPr>
      <w:r>
        <w:t xml:space="preserve">**Drift detection:** Monitor embedding distribution shift as new document types appear</w:t>
      </w:r>
    </w:p>
    <w:p>
      <w:pPr>
        <w:pStyle w:val="ListParagraph"/>
        <w:numPr>
          <w:ilvl w:val="0"/>
          <w:numId w:val="1"/>
        </w:numPr>
        <w:spacing w:after="100"/>
      </w:pPr>
      <w:r>
        <w:t xml:space="preserve">**Latency monitoring:** P50, P95, P99 for both server and client paths</w:t>
      </w:r>
    </w:p>
    <w:p>
      <w:pPr>
        <w:pStyle w:val="ListParagraph"/>
        <w:numPr>
          <w:ilvl w:val="0"/>
          <w:numId w:val="1"/>
        </w:numPr>
        <w:spacing w:after="100"/>
      </w:pPr>
      <w:r>
        <w:t xml:space="preserve">**User feedback loop:** Thumbs up/down on citations → feeds back into DPO training</w:t>
      </w:r>
    </w:p>
    <w:p>
      <w:pPr>
        <w:pStyle w:val="ListParagraph"/>
        <w:numPr>
          <w:ilvl w:val="0"/>
          <w:numId w:val="1"/>
        </w:numPr>
        <w:spacing w:after="100"/>
      </w:pPr>
      <w:r>
        <w:t xml:space="preserve">**Weekly automated eval runs** against golden dataset on latest model checkpoint</w:t>
      </w:r>
    </w:p>
    <w:p>
      <w:pPr>
        <w:pStyle w:val="Heading2"/>
        <w:spacing w:after="120" w:before="240"/>
        <w:outlineLvl w:val="1"/>
      </w:pPr>
      <w:r>
        <w:t xml:space="preserve">6. Competitive Intelligence</w:t>
      </w:r>
    </w:p>
    <w:p>
      <w:pPr>
        <w:pStyle w:val="Heading3"/>
        <w:spacing w:after="120" w:before="240"/>
        <w:outlineLvl w:val="2"/>
      </w:pPr>
      <w:r>
        <w:t xml:space="preserve">6.1 Harvey AI</w:t>
      </w:r>
    </w:p>
    <w:p>
      <w:pPr>
        <w:spacing w:after="120"/>
      </w:pPr>
      <w:r>
        <w:rPr>
          <w:rFonts w:ascii="Arial" w:cs="Arial" w:eastAsia="Arial" w:hAnsi="Arial"/>
          <w:b/>
          <w:bCs/>
        </w:rPr>
        <w:t xml:space="preserve">Architecture:</w:t>
      </w:r>
      <w:r>
        <w:rPr>
          <w:rFonts w:ascii="Arial" w:cs="Arial" w:eastAsia="Arial" w:hAnsi="Arial"/>
        </w:rPr>
        <w:t xml:space="preserve"> Multi-model orchestrator (no longer single-model). Routes legal drafting to models optimized for extended reasoning, research queries to models with superior recall, and jurisdiction-specific questions to regionally-trained models. Uses Anthropic, Google, and custom models.</w:t>
      </w:r>
    </w:p>
    <w:p>
      <w:pPr>
        <w:spacing w:after="120"/>
      </w:pPr>
      <w:r>
        <w:rPr>
          <w:rFonts w:ascii="Arial" w:cs="Arial" w:eastAsia="Arial" w:hAnsi="Arial"/>
          <w:b/>
          <w:bCs/>
        </w:rPr>
        <w:t xml:space="preserve">Key moat:</w:t>
      </w:r>
      <w:r>
        <w:rPr>
          <w:rFonts w:ascii="Arial" w:cs="Arial" w:eastAsia="Arial" w:hAnsi="Arial"/>
        </w:rPr>
        <w:t xml:space="preserve"> Partnership with Voyage AI produced </w:t>
      </w:r>
      <w:r>
        <w:rPr>
          <w:rFonts w:ascii="Courier New" w:cs="Courier New" w:eastAsia="Courier New" w:hAnsi="Courier New"/>
          <w:shd w:fill="F5F5F5" w:val="clear"/>
        </w:rPr>
        <w:t xml:space="preserve">voyage-law-2-harvey</w:t>
      </w:r>
      <w:r>
        <w:rPr>
          <w:rFonts w:ascii="Arial" w:cs="Arial" w:eastAsia="Arial" w:hAnsi="Arial"/>
        </w:rPr>
        <w:t xml:space="preserve">, a custom legal embedding model trained on 20B+ tokens of legal text. This gives Harvey significantly better retrieval quality than generic embeddings.</w:t>
      </w:r>
    </w:p>
    <w:p>
      <w:pPr>
        <w:spacing w:after="120"/>
      </w:pPr>
      <w:r>
        <w:rPr>
          <w:rFonts w:ascii="Arial" w:cs="Arial" w:eastAsia="Arial" w:hAnsi="Arial"/>
          <w:b/>
          <w:bCs/>
        </w:rPr>
        <w:t xml:space="preserve">Harvey Agents (March 2025):</w:t>
      </w:r>
      <w:r>
        <w:rPr>
          <w:rFonts w:ascii="Arial" w:cs="Arial" w:eastAsia="Arial" w:hAnsi="Arial"/>
        </w:rPr>
        <w:t xml:space="preserve"> Proactive workflow management — moved from reactive Q&amp;A to planning capabilities for complex legal tasks.</w:t>
      </w:r>
    </w:p>
    <w:p>
      <w:pPr>
        <w:spacing w:after="120"/>
      </w:pPr>
      <w:r>
        <w:rPr>
          <w:rFonts w:ascii="Arial" w:cs="Arial" w:eastAsia="Arial" w:hAnsi="Arial"/>
          <w:b/>
          <w:bCs/>
        </w:rPr>
        <w:t xml:space="preserve">Revenue/Scale:</w:t>
      </w:r>
      <w:r>
        <w:rPr>
          <w:rFonts w:ascii="Arial" w:cs="Arial" w:eastAsia="Arial" w:hAnsi="Arial"/>
        </w:rPr>
        <w:t xml:space="preserve"> Not public, but raised $300M+ at $3B+ valuation. Deep enterprise penetration at Am Law 100 firms.</w:t>
      </w:r>
    </w:p>
    <w:p>
      <w:pPr>
        <w:spacing w:after="120"/>
      </w:pPr>
      <w:r>
        <w:rPr>
          <w:rFonts w:ascii="Arial" w:cs="Arial" w:eastAsia="Arial" w:hAnsi="Arial"/>
          <w:b/>
          <w:bCs/>
        </w:rPr>
        <w:t xml:space="preserve">Implications for Arkova:</w:t>
      </w:r>
      <w:r>
        <w:rPr>
          <w:rFonts w:ascii="Arial" w:cs="Arial" w:eastAsia="Arial" w:hAnsi="Arial"/>
        </w:rPr>
        <w:t xml:space="preserve"> Harvey focuses on law firms; Arkova focuses on compliance infrastructure. Different market segments, but overlapping AI capabilities. Harvey's multi-model routing is a pattern Arkova should adopt. Their legal embeddings partnership is worth noting — a compliance-specific embedding model could be a similar differentiator for Arkova.</w:t>
      </w:r>
    </w:p>
    <w:p>
      <w:pPr>
        <w:pStyle w:val="Heading3"/>
        <w:spacing w:after="120" w:before="240"/>
        <w:outlineLvl w:val="2"/>
      </w:pPr>
      <w:r>
        <w:t xml:space="preserve">6.2 AlphaSense</w:t>
      </w:r>
    </w:p>
    <w:p>
      <w:pPr>
        <w:spacing w:after="120"/>
      </w:pPr>
      <w:r>
        <w:rPr>
          <w:rFonts w:ascii="Arial" w:cs="Arial" w:eastAsia="Arial" w:hAnsi="Arial"/>
          <w:b/>
          <w:bCs/>
        </w:rPr>
        <w:t xml:space="preserve">Architecture:</w:t>
      </w:r>
      <w:r>
        <w:rPr>
          <w:rFonts w:ascii="Arial" w:cs="Arial" w:eastAsia="Arial" w:hAnsi="Arial"/>
        </w:rPr>
        <w:t xml:space="preserve"> Multi-agent orchestrator using Anthropic Sonnet 4, Gemini 2.5, and OpenAI o3. Dynamically selects models based on task type. 500M+ document searchable database.</w:t>
      </w:r>
    </w:p>
    <w:p>
      <w:pPr>
        <w:spacing w:after="120"/>
      </w:pPr>
      <w:r>
        <w:rPr>
          <w:rFonts w:ascii="Arial" w:cs="Arial" w:eastAsia="Arial" w:hAnsi="Arial"/>
          <w:b/>
          <w:bCs/>
        </w:rPr>
        <w:t xml:space="preserve">Key products (2025):</w:t>
      </w:r>
      <w:r>
        <w:rPr>
          <w:rFonts w:ascii="Arial" w:cs="Arial" w:eastAsia="Arial" w:hAnsi="Arial"/>
        </w:rPr>
        <w:t xml:space="preserve"> Workflow agents that automate market landscapes, competitive analysis, and SWOT — compressing weeks of analysis into minutes. "Deep Research" feature uses agentic AI for in-depth analysis.</w:t>
      </w:r>
    </w:p>
    <w:p>
      <w:pPr>
        <w:spacing w:after="120"/>
      </w:pPr>
      <w:r>
        <w:rPr>
          <w:rFonts w:ascii="Arial" w:cs="Arial" w:eastAsia="Arial" w:hAnsi="Arial"/>
          <w:b/>
          <w:bCs/>
        </w:rPr>
        <w:t xml:space="preserve">Scale:</w:t>
      </w:r>
      <w:r>
        <w:rPr>
          <w:rFonts w:ascii="Arial" w:cs="Arial" w:eastAsia="Arial" w:hAnsi="Arial"/>
        </w:rPr>
        <w:t xml:space="preserve"> 6,000+ organizations, 88% of S&amp;P 100, $400M+ ARR.</w:t>
      </w:r>
    </w:p>
    <w:p>
      <w:pPr>
        <w:spacing w:after="120"/>
      </w:pPr>
      <w:r>
        <w:rPr>
          <w:rFonts w:ascii="Arial" w:cs="Arial" w:eastAsia="Arial" w:hAnsi="Arial"/>
          <w:b/>
          <w:bCs/>
        </w:rPr>
        <w:t xml:space="preserve">Implications for Arkova:</w:t>
      </w:r>
      <w:r>
        <w:rPr>
          <w:rFonts w:ascii="Arial" w:cs="Arial" w:eastAsia="Arial" w:hAnsi="Arial"/>
        </w:rPr>
        <w:t xml:space="preserve"> AlphaSense is a market intelligence platform, not a compliance infrastructure provider. However, their multi-model orchestration pattern and agent-based workflows are relevant architecture patterns. Their approach to integrating structured financial data with qualitative content is directly applicable to Arkova's metadata extraction + RAG pipeline.</w:t>
      </w:r>
    </w:p>
    <w:p>
      <w:pPr>
        <w:pStyle w:val="Heading3"/>
        <w:spacing w:after="120" w:before="240"/>
        <w:outlineLvl w:val="2"/>
      </w:pPr>
      <w:r>
        <w:t xml:space="preserve">6.3 Other Competitors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tLeast"/>
        </w:trPr>
        <w:tc>
          <w:tcPr>
            <w:tcW w:type="dxa" w:w="2394"/>
            <w:tcBorders>
              <w:top w:val="single" w:sz="1"/>
              <w:left w:val="single" w:sz="1"/>
              <w:bottom w:val="single" w:sz="1"/>
              <w:right w:val="single" w:sz="1"/>
            </w:tcBorders>
            <w:shd w:fill="D3D3D3" w:val="clear"/>
            <w:vAlign w:val="center"/>
          </w:tcPr>
          <w:p>
            <w:r>
              <w:t xml:space="preserve">Company</w:t>
            </w:r>
          </w:p>
        </w:tc>
        <w:tc>
          <w:tcPr>
            <w:tcW w:type="dxa" w:w="2394"/>
            <w:tcBorders>
              <w:top w:val="single" w:sz="1"/>
              <w:left w:val="single" w:sz="1"/>
              <w:bottom w:val="single" w:sz="1"/>
              <w:right w:val="single" w:sz="1"/>
            </w:tcBorders>
            <w:shd w:fill="D3D3D3" w:val="clear"/>
            <w:vAlign w:val="center"/>
          </w:tcPr>
          <w:p>
            <w:r>
              <w:t xml:space="preserve">Focus</w:t>
            </w:r>
          </w:p>
        </w:tc>
        <w:tc>
          <w:tcPr>
            <w:tcW w:type="dxa" w:w="2394"/>
            <w:tcBorders>
              <w:top w:val="single" w:sz="1"/>
              <w:left w:val="single" w:sz="1"/>
              <w:bottom w:val="single" w:sz="1"/>
              <w:right w:val="single" w:sz="1"/>
            </w:tcBorders>
            <w:shd w:fill="D3D3D3" w:val="clear"/>
            <w:vAlign w:val="center"/>
          </w:tcPr>
          <w:p>
            <w:r>
              <w:t xml:space="preserve">Key Differentiator</w:t>
            </w:r>
          </w:p>
        </w:tc>
        <w:tc>
          <w:tcPr>
            <w:tcW w:type="dxa" w:w="2394"/>
            <w:tcBorders>
              <w:top w:val="single" w:sz="1"/>
              <w:left w:val="single" w:sz="1"/>
              <w:bottom w:val="single" w:sz="1"/>
              <w:right w:val="single" w:sz="1"/>
            </w:tcBorders>
            <w:shd w:fill="D3D3D3" w:val="clear"/>
            <w:vAlign w:val="center"/>
          </w:tcPr>
          <w:p>
            <w:r>
              <w:t xml:space="preserve">Relevance to Arkova</w:t>
            </w:r>
          </w:p>
        </w:tc>
      </w:tr>
      <w:tr>
        <w:tc>
          <w:tcPr>
            <w:tcW w:type="dxa" w:w="2394"/>
            <w:tcBorders>
              <w:top w:val="single" w:sz="1"/>
              <w:left w:val="single" w:sz="1"/>
              <w:bottom w:val="single" w:sz="1"/>
              <w:right w:val="single" w:sz="1"/>
            </w:tcBorders>
            <w:vAlign w:val="top"/>
          </w:tcPr>
          <w:p>
            <w:r>
              <w:t xml:space="preserve">**Legora**</w:t>
            </w:r>
          </w:p>
        </w:tc>
        <w:tc>
          <w:tcPr>
            <w:tcW w:type="dxa" w:w="2394"/>
            <w:tcBorders>
              <w:top w:val="single" w:sz="1"/>
              <w:left w:val="single" w:sz="1"/>
              <w:bottom w:val="single" w:sz="1"/>
              <w:right w:val="single" w:sz="1"/>
            </w:tcBorders>
            <w:vAlign w:val="top"/>
          </w:tcPr>
          <w:p>
            <w:r>
              <w:t xml:space="preserve">Enterprise legal AI</w:t>
            </w:r>
          </w:p>
        </w:tc>
        <w:tc>
          <w:tcPr>
            <w:tcW w:type="dxa" w:w="2394"/>
            <w:tcBorders>
              <w:top w:val="single" w:sz="1"/>
              <w:left w:val="single" w:sz="1"/>
              <w:bottom w:val="single" w:sz="1"/>
              <w:right w:val="single" w:sz="1"/>
            </w:tcBorders>
            <w:vAlign w:val="top"/>
          </w:tcPr>
          <w:p>
            <w:r>
              <w:t xml:space="preserve">$1.8B valuation (Oct 2025), fast EU growth</w:t>
            </w:r>
          </w:p>
        </w:tc>
        <w:tc>
          <w:tcPr>
            <w:tcW w:type="dxa" w:w="2394"/>
            <w:tcBorders>
              <w:top w:val="single" w:sz="1"/>
              <w:left w:val="single" w:sz="1"/>
              <w:bottom w:val="single" w:sz="1"/>
              <w:right w:val="single" w:sz="1"/>
            </w:tcBorders>
            <w:vAlign w:val="top"/>
          </w:tcPr>
          <w:p>
            <w:r>
              <w:t xml:space="preserve">Emerging threat in legal compliance</w:t>
            </w:r>
          </w:p>
        </w:tc>
      </w:tr>
      <w:tr>
        <w:tc>
          <w:tcPr>
            <w:tcW w:type="dxa" w:w="2394"/>
            <w:tcBorders>
              <w:top w:val="single" w:sz="1"/>
              <w:left w:val="single" w:sz="1"/>
              <w:bottom w:val="single" w:sz="1"/>
              <w:right w:val="single" w:sz="1"/>
            </w:tcBorders>
            <w:vAlign w:val="top"/>
          </w:tcPr>
          <w:p>
            <w:r>
              <w:t xml:space="preserve">**EvenUp**</w:t>
            </w:r>
          </w:p>
        </w:tc>
        <w:tc>
          <w:tcPr>
            <w:tcW w:type="dxa" w:w="2394"/>
            <w:tcBorders>
              <w:top w:val="single" w:sz="1"/>
              <w:left w:val="single" w:sz="1"/>
              <w:bottom w:val="single" w:sz="1"/>
              <w:right w:val="single" w:sz="1"/>
            </w:tcBorders>
            <w:vAlign w:val="top"/>
          </w:tcPr>
          <w:p>
            <w:r>
              <w:t xml:space="preserve">Personal injury law</w:t>
            </w:r>
          </w:p>
        </w:tc>
        <w:tc>
          <w:tcPr>
            <w:tcW w:type="dxa" w:w="2394"/>
            <w:tcBorders>
              <w:top w:val="single" w:sz="1"/>
              <w:left w:val="single" w:sz="1"/>
              <w:bottom w:val="single" w:sz="1"/>
              <w:right w:val="single" w:sz="1"/>
            </w:tcBorders>
            <w:vAlign w:val="top"/>
          </w:tcPr>
          <w:p>
            <w:r>
              <w:t xml:space="preserve">Vertical-specific, high accuracy</w:t>
            </w:r>
          </w:p>
        </w:tc>
        <w:tc>
          <w:tcPr>
            <w:tcW w:type="dxa" w:w="2394"/>
            <w:tcBorders>
              <w:top w:val="single" w:sz="1"/>
              <w:left w:val="single" w:sz="1"/>
              <w:bottom w:val="single" w:sz="1"/>
              <w:right w:val="single" w:sz="1"/>
            </w:tcBorders>
            <w:vAlign w:val="top"/>
          </w:tcPr>
          <w:p>
            <w:r>
              <w:t xml:space="preserve">Shows value of narrow domain focus</w:t>
            </w:r>
          </w:p>
        </w:tc>
      </w:tr>
      <w:tr>
        <w:tc>
          <w:tcPr>
            <w:tcW w:type="dxa" w:w="2394"/>
            <w:tcBorders>
              <w:top w:val="single" w:sz="1"/>
              <w:left w:val="single" w:sz="1"/>
              <w:bottom w:val="single" w:sz="1"/>
              <w:right w:val="single" w:sz="1"/>
            </w:tcBorders>
            <w:vAlign w:val="top"/>
          </w:tcPr>
          <w:p>
            <w:r>
              <w:t xml:space="preserve">**Thomson Reuters / Westlaw**</w:t>
            </w:r>
          </w:p>
        </w:tc>
        <w:tc>
          <w:tcPr>
            <w:tcW w:type="dxa" w:w="2394"/>
            <w:tcBorders>
              <w:top w:val="single" w:sz="1"/>
              <w:left w:val="single" w:sz="1"/>
              <w:bottom w:val="single" w:sz="1"/>
              <w:right w:val="single" w:sz="1"/>
            </w:tcBorders>
            <w:vAlign w:val="top"/>
          </w:tcPr>
          <w:p>
            <w:r>
              <w:t xml:space="preserve">Legal research</w:t>
            </w:r>
          </w:p>
        </w:tc>
        <w:tc>
          <w:tcPr>
            <w:tcW w:type="dxa" w:w="2394"/>
            <w:tcBorders>
              <w:top w:val="single" w:sz="1"/>
              <w:left w:val="single" w:sz="1"/>
              <w:bottom w:val="single" w:sz="1"/>
              <w:right w:val="single" w:sz="1"/>
            </w:tcBorders>
            <w:vAlign w:val="top"/>
          </w:tcPr>
          <w:p>
            <w:r>
              <w:t xml:space="preserve">Massive content moat, CoCounsel AI</w:t>
            </w:r>
          </w:p>
        </w:tc>
        <w:tc>
          <w:tcPr>
            <w:tcW w:type="dxa" w:w="2394"/>
            <w:tcBorders>
              <w:top w:val="single" w:sz="1"/>
              <w:left w:val="single" w:sz="1"/>
              <w:bottom w:val="single" w:sz="1"/>
              <w:right w:val="single" w:sz="1"/>
            </w:tcBorders>
            <w:vAlign w:val="top"/>
          </w:tcPr>
          <w:p>
            <w:r>
              <w:t xml:space="preserve">Incumbent integration play</w:t>
            </w:r>
          </w:p>
        </w:tc>
      </w:tr>
      <w:tr>
        <w:tc>
          <w:tcPr>
            <w:tcW w:type="dxa" w:w="2394"/>
            <w:tcBorders>
              <w:top w:val="single" w:sz="1"/>
              <w:left w:val="single" w:sz="1"/>
              <w:bottom w:val="single" w:sz="1"/>
              <w:right w:val="single" w:sz="1"/>
            </w:tcBorders>
            <w:vAlign w:val="top"/>
          </w:tcPr>
          <w:p>
            <w:r>
              <w:t xml:space="preserve">**LexisNexis**</w:t>
            </w:r>
          </w:p>
        </w:tc>
        <w:tc>
          <w:tcPr>
            <w:tcW w:type="dxa" w:w="2394"/>
            <w:tcBorders>
              <w:top w:val="single" w:sz="1"/>
              <w:left w:val="single" w:sz="1"/>
              <w:bottom w:val="single" w:sz="1"/>
              <w:right w:val="single" w:sz="1"/>
            </w:tcBorders>
            <w:vAlign w:val="top"/>
          </w:tcPr>
          <w:p>
            <w:r>
              <w:t xml:space="preserve">Legal research</w:t>
            </w:r>
          </w:p>
        </w:tc>
        <w:tc>
          <w:tcPr>
            <w:tcW w:type="dxa" w:w="2394"/>
            <w:tcBorders>
              <w:top w:val="single" w:sz="1"/>
              <w:left w:val="single" w:sz="1"/>
              <w:bottom w:val="single" w:sz="1"/>
              <w:right w:val="single" w:sz="1"/>
            </w:tcBorders>
            <w:vAlign w:val="top"/>
          </w:tcPr>
          <w:p>
            <w:r>
              <w:t xml:space="preserve">Similar to TR, adding AI layers</w:t>
            </w:r>
          </w:p>
        </w:tc>
        <w:tc>
          <w:tcPr>
            <w:tcW w:type="dxa" w:w="2394"/>
            <w:tcBorders>
              <w:top w:val="single" w:sz="1"/>
              <w:left w:val="single" w:sz="1"/>
              <w:bottom w:val="single" w:sz="1"/>
              <w:right w:val="single" w:sz="1"/>
            </w:tcBorders>
            <w:vAlign w:val="top"/>
          </w:tcPr>
          <w:p>
            <w:r>
              <w:t xml:space="preserve">Same</w:t>
            </w:r>
          </w:p>
        </w:tc>
      </w:tr>
      <w:tr>
        <w:tc>
          <w:tcPr>
            <w:tcW w:type="dxa" w:w="2394"/>
            <w:tcBorders>
              <w:top w:val="single" w:sz="1"/>
              <w:left w:val="single" w:sz="1"/>
              <w:bottom w:val="single" w:sz="1"/>
              <w:right w:val="single" w:sz="1"/>
            </w:tcBorders>
            <w:vAlign w:val="top"/>
          </w:tcPr>
          <w:p>
            <w:r>
              <w:t xml:space="preserve">**Semantic Scholar**</w:t>
            </w:r>
          </w:p>
        </w:tc>
        <w:tc>
          <w:tcPr>
            <w:tcW w:type="dxa" w:w="2394"/>
            <w:tcBorders>
              <w:top w:val="single" w:sz="1"/>
              <w:left w:val="single" w:sz="1"/>
              <w:bottom w:val="single" w:sz="1"/>
              <w:right w:val="single" w:sz="1"/>
            </w:tcBorders>
            <w:vAlign w:val="top"/>
          </w:tcPr>
          <w:p>
            <w:r>
              <w:t xml:space="preserve">Academic papers</w:t>
            </w:r>
          </w:p>
        </w:tc>
        <w:tc>
          <w:tcPr>
            <w:tcW w:type="dxa" w:w="2394"/>
            <w:tcBorders>
              <w:top w:val="single" w:sz="1"/>
              <w:left w:val="single" w:sz="1"/>
              <w:bottom w:val="single" w:sz="1"/>
              <w:right w:val="single" w:sz="1"/>
            </w:tcBorders>
            <w:vAlign w:val="top"/>
          </w:tcPr>
          <w:p>
            <w:r>
              <w:t xml:space="preserve">Free, Allen AI-backed, excellent paper understanding</w:t>
            </w:r>
          </w:p>
        </w:tc>
        <w:tc>
          <w:tcPr>
            <w:tcW w:type="dxa" w:w="2394"/>
            <w:tcBorders>
              <w:top w:val="single" w:sz="1"/>
              <w:left w:val="single" w:sz="1"/>
              <w:bottom w:val="single" w:sz="1"/>
              <w:right w:val="single" w:sz="1"/>
            </w:tcBorders>
            <w:vAlign w:val="top"/>
          </w:tcPr>
          <w:p>
            <w:r>
              <w:t xml:space="preserve">Relevant for Arkova's academic domain adapter</w:t>
            </w:r>
          </w:p>
        </w:tc>
      </w:tr>
    </w:tbl>
    <w:p>
      <w:pPr>
        <w:pStyle w:val="Heading3"/>
        <w:spacing w:after="120" w:before="240"/>
        <w:outlineLvl w:val="2"/>
      </w:pPr>
      <w:r>
        <w:t xml:space="preserve">6.4 Open-Source Legal/Financial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tLeast"/>
        </w:trPr>
        <w:tc>
          <w:tcPr>
            <w:tcW w:type="dxa" w:w="2394"/>
            <w:tcBorders>
              <w:top w:val="single" w:sz="1"/>
              <w:left w:val="single" w:sz="1"/>
              <w:bottom w:val="single" w:sz="1"/>
              <w:right w:val="single" w:sz="1"/>
            </w:tcBorders>
            <w:shd w:fill="D3D3D3" w:val="clear"/>
            <w:vAlign w:val="center"/>
          </w:tcPr>
          <w:p>
            <w:r>
              <w:t xml:space="preserve">Model</w:t>
            </w:r>
          </w:p>
        </w:tc>
        <w:tc>
          <w:tcPr>
            <w:tcW w:type="dxa" w:w="2394"/>
            <w:tcBorders>
              <w:top w:val="single" w:sz="1"/>
              <w:left w:val="single" w:sz="1"/>
              <w:bottom w:val="single" w:sz="1"/>
              <w:right w:val="single" w:sz="1"/>
            </w:tcBorders>
            <w:shd w:fill="D3D3D3" w:val="clear"/>
            <w:vAlign w:val="center"/>
          </w:tcPr>
          <w:p>
            <w:r>
              <w:t xml:space="preserve">Type</w:t>
            </w:r>
          </w:p>
        </w:tc>
        <w:tc>
          <w:tcPr>
            <w:tcW w:type="dxa" w:w="2394"/>
            <w:tcBorders>
              <w:top w:val="single" w:sz="1"/>
              <w:left w:val="single" w:sz="1"/>
              <w:bottom w:val="single" w:sz="1"/>
              <w:right w:val="single" w:sz="1"/>
            </w:tcBorders>
            <w:shd w:fill="D3D3D3" w:val="clear"/>
            <w:vAlign w:val="center"/>
          </w:tcPr>
          <w:p>
            <w:r>
              <w:t xml:space="preserve">License</w:t>
            </w:r>
          </w:p>
        </w:tc>
        <w:tc>
          <w:tcPr>
            <w:tcW w:type="dxa" w:w="2394"/>
            <w:tcBorders>
              <w:top w:val="single" w:sz="1"/>
              <w:left w:val="single" w:sz="1"/>
              <w:bottom w:val="single" w:sz="1"/>
              <w:right w:val="single" w:sz="1"/>
            </w:tcBorders>
            <w:shd w:fill="D3D3D3" w:val="clear"/>
            <w:vAlign w:val="center"/>
          </w:tcPr>
          <w:p>
            <w:r>
              <w:t xml:space="preserve">Use Case</w:t>
            </w:r>
          </w:p>
        </w:tc>
      </w:tr>
      <w:tr>
        <w:tc>
          <w:tcPr>
            <w:tcW w:type="dxa" w:w="2394"/>
            <w:tcBorders>
              <w:top w:val="single" w:sz="1"/>
              <w:left w:val="single" w:sz="1"/>
              <w:bottom w:val="single" w:sz="1"/>
              <w:right w:val="single" w:sz="1"/>
            </w:tcBorders>
            <w:vAlign w:val="top"/>
          </w:tcPr>
          <w:p>
            <w:r>
              <w:t xml:space="preserve">**FinGPT**</w:t>
            </w:r>
          </w:p>
        </w:tc>
        <w:tc>
          <w:tcPr>
            <w:tcW w:type="dxa" w:w="2394"/>
            <w:tcBorders>
              <w:top w:val="single" w:sz="1"/>
              <w:left w:val="single" w:sz="1"/>
              <w:bottom w:val="single" w:sz="1"/>
              <w:right w:val="single" w:sz="1"/>
            </w:tcBorders>
            <w:vAlign w:val="top"/>
          </w:tcPr>
          <w:p>
            <w:r>
              <w:t xml:space="preserve">Financial LLM</w:t>
            </w:r>
          </w:p>
        </w:tc>
        <w:tc>
          <w:tcPr>
            <w:tcW w:type="dxa" w:w="2394"/>
            <w:tcBorders>
              <w:top w:val="single" w:sz="1"/>
              <w:left w:val="single" w:sz="1"/>
              <w:bottom w:val="single" w:sz="1"/>
              <w:right w:val="single" w:sz="1"/>
            </w:tcBorders>
            <w:vAlign w:val="top"/>
          </w:tcPr>
          <w:p>
            <w:r>
              <w:t xml:space="preserve">Open source</w:t>
            </w:r>
          </w:p>
        </w:tc>
        <w:tc>
          <w:tcPr>
            <w:tcW w:type="dxa" w:w="2394"/>
            <w:tcBorders>
              <w:top w:val="single" w:sz="1"/>
              <w:left w:val="single" w:sz="1"/>
              <w:bottom w:val="single" w:sz="1"/>
              <w:right w:val="single" w:sz="1"/>
            </w:tcBorders>
            <w:vAlign w:val="top"/>
          </w:tcPr>
          <w:p>
            <w:r>
              <w:t xml:space="preserve">Financial sentiment, analysis</w:t>
            </w:r>
          </w:p>
        </w:tc>
      </w:tr>
      <w:tr>
        <w:tc>
          <w:tcPr>
            <w:tcW w:type="dxa" w:w="2394"/>
            <w:tcBorders>
              <w:top w:val="single" w:sz="1"/>
              <w:left w:val="single" w:sz="1"/>
              <w:bottom w:val="single" w:sz="1"/>
              <w:right w:val="single" w:sz="1"/>
            </w:tcBorders>
            <w:vAlign w:val="top"/>
          </w:tcPr>
          <w:p>
            <w:r>
              <w:t xml:space="preserve">**SEC-BERT**</w:t>
            </w:r>
          </w:p>
        </w:tc>
        <w:tc>
          <w:tcPr>
            <w:tcW w:type="dxa" w:w="2394"/>
            <w:tcBorders>
              <w:top w:val="single" w:sz="1"/>
              <w:left w:val="single" w:sz="1"/>
              <w:bottom w:val="single" w:sz="1"/>
              <w:right w:val="single" w:sz="1"/>
            </w:tcBorders>
            <w:vAlign w:val="top"/>
          </w:tcPr>
          <w:p>
            <w:r>
              <w:t xml:space="preserve">BERT for SEC filings</w:t>
            </w:r>
          </w:p>
        </w:tc>
        <w:tc>
          <w:tcPr>
            <w:tcW w:type="dxa" w:w="2394"/>
            <w:tcBorders>
              <w:top w:val="single" w:sz="1"/>
              <w:left w:val="single" w:sz="1"/>
              <w:bottom w:val="single" w:sz="1"/>
              <w:right w:val="single" w:sz="1"/>
            </w:tcBorders>
            <w:vAlign w:val="top"/>
          </w:tcPr>
          <w:p>
            <w:r>
              <w:t xml:space="preserve">Open</w:t>
            </w:r>
          </w:p>
        </w:tc>
        <w:tc>
          <w:tcPr>
            <w:tcW w:type="dxa" w:w="2394"/>
            <w:tcBorders>
              <w:top w:val="single" w:sz="1"/>
              <w:left w:val="single" w:sz="1"/>
              <w:bottom w:val="single" w:sz="1"/>
              <w:right w:val="single" w:sz="1"/>
            </w:tcBorders>
            <w:vAlign w:val="top"/>
          </w:tcPr>
          <w:p>
            <w:r>
              <w:t xml:space="preserve">SEC entity extraction, classification</w:t>
            </w:r>
          </w:p>
        </w:tc>
      </w:tr>
      <w:tr>
        <w:tc>
          <w:tcPr>
            <w:tcW w:type="dxa" w:w="2394"/>
            <w:tcBorders>
              <w:top w:val="single" w:sz="1"/>
              <w:left w:val="single" w:sz="1"/>
              <w:bottom w:val="single" w:sz="1"/>
              <w:right w:val="single" w:sz="1"/>
            </w:tcBorders>
            <w:vAlign w:val="top"/>
          </w:tcPr>
          <w:p>
            <w:r>
              <w:t xml:space="preserve">**LegalBERT**</w:t>
            </w:r>
          </w:p>
        </w:tc>
        <w:tc>
          <w:tcPr>
            <w:tcW w:type="dxa" w:w="2394"/>
            <w:tcBorders>
              <w:top w:val="single" w:sz="1"/>
              <w:left w:val="single" w:sz="1"/>
              <w:bottom w:val="single" w:sz="1"/>
              <w:right w:val="single" w:sz="1"/>
            </w:tcBorders>
            <w:vAlign w:val="top"/>
          </w:tcPr>
          <w:p>
            <w:r>
              <w:t xml:space="preserve">BERT for legal text</w:t>
            </w:r>
          </w:p>
        </w:tc>
        <w:tc>
          <w:tcPr>
            <w:tcW w:type="dxa" w:w="2394"/>
            <w:tcBorders>
              <w:top w:val="single" w:sz="1"/>
              <w:left w:val="single" w:sz="1"/>
              <w:bottom w:val="single" w:sz="1"/>
              <w:right w:val="single" w:sz="1"/>
            </w:tcBorders>
            <w:vAlign w:val="top"/>
          </w:tcPr>
          <w:p>
            <w:r>
              <w:t xml:space="preserve">Open</w:t>
            </w:r>
          </w:p>
        </w:tc>
        <w:tc>
          <w:tcPr>
            <w:tcW w:type="dxa" w:w="2394"/>
            <w:tcBorders>
              <w:top w:val="single" w:sz="1"/>
              <w:left w:val="single" w:sz="1"/>
              <w:bottom w:val="single" w:sz="1"/>
              <w:right w:val="single" w:sz="1"/>
            </w:tcBorders>
            <w:vAlign w:val="top"/>
          </w:tcPr>
          <w:p>
            <w:r>
              <w:t xml:space="preserve">Legal NER, classification</w:t>
            </w:r>
          </w:p>
        </w:tc>
      </w:tr>
      <w:tr>
        <w:tc>
          <w:tcPr>
            <w:tcW w:type="dxa" w:w="2394"/>
            <w:tcBorders>
              <w:top w:val="single" w:sz="1"/>
              <w:left w:val="single" w:sz="1"/>
              <w:bottom w:val="single" w:sz="1"/>
              <w:right w:val="single" w:sz="1"/>
            </w:tcBorders>
            <w:vAlign w:val="top"/>
          </w:tcPr>
          <w:p>
            <w:r>
              <w:t xml:space="preserve">**InstructLab (Red Hat)**</w:t>
            </w:r>
          </w:p>
        </w:tc>
        <w:tc>
          <w:tcPr>
            <w:tcW w:type="dxa" w:w="2394"/>
            <w:tcBorders>
              <w:top w:val="single" w:sz="1"/>
              <w:left w:val="single" w:sz="1"/>
              <w:bottom w:val="single" w:sz="1"/>
              <w:right w:val="single" w:sz="1"/>
            </w:tcBorders>
            <w:vAlign w:val="top"/>
          </w:tcPr>
          <w:p>
            <w:r>
              <w:t xml:space="preserve">Community fine-tuning framework</w:t>
            </w:r>
          </w:p>
        </w:tc>
        <w:tc>
          <w:tcPr>
            <w:tcW w:type="dxa" w:w="2394"/>
            <w:tcBorders>
              <w:top w:val="single" w:sz="1"/>
              <w:left w:val="single" w:sz="1"/>
              <w:bottom w:val="single" w:sz="1"/>
              <w:right w:val="single" w:sz="1"/>
            </w:tcBorders>
            <w:vAlign w:val="top"/>
          </w:tcPr>
          <w:p>
            <w:r>
              <w:t xml:space="preserve">Apache 2.0</w:t>
            </w:r>
          </w:p>
        </w:tc>
        <w:tc>
          <w:tcPr>
            <w:tcW w:type="dxa" w:w="2394"/>
            <w:tcBorders>
              <w:top w:val="single" w:sz="1"/>
              <w:left w:val="single" w:sz="1"/>
              <w:bottom w:val="single" w:sz="1"/>
              <w:right w:val="single" w:sz="1"/>
            </w:tcBorders>
            <w:vAlign w:val="top"/>
          </w:tcPr>
          <w:p>
            <w:r>
              <w:t xml:space="preserve">Could use for community-contributed compliance knowledge</w:t>
            </w:r>
          </w:p>
        </w:tc>
      </w:tr>
      <w:tr>
        <w:tc>
          <w:tcPr>
            <w:tcW w:type="dxa" w:w="2394"/>
            <w:tcBorders>
              <w:top w:val="single" w:sz="1"/>
              <w:left w:val="single" w:sz="1"/>
              <w:bottom w:val="single" w:sz="1"/>
              <w:right w:val="single" w:sz="1"/>
            </w:tcBorders>
            <w:vAlign w:val="top"/>
          </w:tcPr>
          <w:p>
            <w:r>
              <w:t xml:space="preserve">**Granite-7B (IBM)**</w:t>
            </w:r>
          </w:p>
        </w:tc>
        <w:tc>
          <w:tcPr>
            <w:tcW w:type="dxa" w:w="2394"/>
            <w:tcBorders>
              <w:top w:val="single" w:sz="1"/>
              <w:left w:val="single" w:sz="1"/>
              <w:bottom w:val="single" w:sz="1"/>
              <w:right w:val="single" w:sz="1"/>
            </w:tcBorders>
            <w:vAlign w:val="top"/>
          </w:tcPr>
          <w:p>
            <w:r>
              <w:t xml:space="preserve">General + InstructLab trained</w:t>
            </w:r>
          </w:p>
        </w:tc>
        <w:tc>
          <w:tcPr>
            <w:tcW w:type="dxa" w:w="2394"/>
            <w:tcBorders>
              <w:top w:val="single" w:sz="1"/>
              <w:left w:val="single" w:sz="1"/>
              <w:bottom w:val="single" w:sz="1"/>
              <w:right w:val="single" w:sz="1"/>
            </w:tcBorders>
            <w:vAlign w:val="top"/>
          </w:tcPr>
          <w:p>
            <w:r>
              <w:t xml:space="preserve">Apache 2.0</w:t>
            </w:r>
          </w:p>
        </w:tc>
        <w:tc>
          <w:tcPr>
            <w:tcW w:type="dxa" w:w="2394"/>
            <w:tcBorders>
              <w:top w:val="single" w:sz="1"/>
              <w:left w:val="single" w:sz="1"/>
              <w:bottom w:val="single" w:sz="1"/>
              <w:right w:val="single" w:sz="1"/>
            </w:tcBorders>
            <w:vAlign w:val="top"/>
          </w:tcPr>
          <w:p>
            <w:r>
              <w:t xml:space="preserve">Alternative base model for Nessie</w:t>
            </w:r>
          </w:p>
        </w:tc>
      </w:tr>
    </w:tbl>
    <w:p>
      <w:pPr>
        <w:pStyle w:val="Heading3"/>
        <w:spacing w:after="120" w:before="240"/>
        <w:outlineLvl w:val="2"/>
      </w:pPr>
      <w:r>
        <w:t xml:space="preserve">6.5 InstructLab Opportunity</w:t>
      </w:r>
    </w:p>
    <w:p>
      <w:pPr>
        <w:spacing w:after="120"/>
      </w:pPr>
      <w:r>
        <w:rPr>
          <w:rFonts w:ascii="Arial" w:cs="Arial" w:eastAsia="Arial" w:hAnsi="Arial"/>
        </w:rPr>
        <w:t xml:space="preserve">InstructLab's community-driven fine-tuning model is worth watching. It uses the LAB methodology (Large-scale Alignment for chatBots) with synthetic data generation, which aligns with Arkova's approach. The pull-request-based contribution model could be adapted for compliance: domain experts submit knowledge contributions that get validated and merged into Nessie's training data.</w:t>
      </w:r>
    </w:p>
    <w:p>
      <w:pPr>
        <w:pStyle w:val="Heading2"/>
        <w:spacing w:after="120" w:before="240"/>
        <w:outlineLvl w:val="1"/>
      </w:pPr>
      <w:r>
        <w:t xml:space="preserve">7. Prioritized Recommendations</w:t>
      </w:r>
    </w:p>
    <w:p>
      <w:pPr>
        <w:pStyle w:val="Heading3"/>
        <w:spacing w:after="120" w:before="240"/>
        <w:outlineLvl w:val="2"/>
      </w:pPr>
      <w:r>
        <w:t xml:space="preserve">Tier 1: High Impact, Low-Medium Effort (Do Now)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rHeight w:val="400" w:hRule="atLeast"/>
        </w:trPr>
        <w:tc>
          <w:tcPr>
            <w:tcW w:type="dxa" w:w="1915"/>
            <w:tcBorders>
              <w:top w:val="single" w:sz="1"/>
              <w:left w:val="single" w:sz="1"/>
              <w:bottom w:val="single" w:sz="1"/>
              <w:right w:val="single" w:sz="1"/>
            </w:tcBorders>
            <w:shd w:fill="D3D3D3" w:val="clear"/>
            <w:vAlign w:val="center"/>
          </w:tcPr>
          <w:p>
            <w:r>
              <w:t xml:space="preserve">#</w:t>
            </w:r>
          </w:p>
        </w:tc>
        <w:tc>
          <w:tcPr>
            <w:tcW w:type="dxa" w:w="1915"/>
            <w:tcBorders>
              <w:top w:val="single" w:sz="1"/>
              <w:left w:val="single" w:sz="1"/>
              <w:bottom w:val="single" w:sz="1"/>
              <w:right w:val="single" w:sz="1"/>
            </w:tcBorders>
            <w:shd w:fill="D3D3D3" w:val="clear"/>
            <w:vAlign w:val="center"/>
          </w:tcPr>
          <w:p>
            <w:r>
              <w:t xml:space="preserve">Recommendation</w:t>
            </w:r>
          </w:p>
        </w:tc>
        <w:tc>
          <w:tcPr>
            <w:tcW w:type="dxa" w:w="1915"/>
            <w:tcBorders>
              <w:top w:val="single" w:sz="1"/>
              <w:left w:val="single" w:sz="1"/>
              <w:bottom w:val="single" w:sz="1"/>
              <w:right w:val="single" w:sz="1"/>
            </w:tcBorders>
            <w:shd w:fill="D3D3D3" w:val="clear"/>
            <w:vAlign w:val="center"/>
          </w:tcPr>
          <w:p>
            <w:r>
              <w:t xml:space="preserve">Impact</w:t>
            </w:r>
          </w:p>
        </w:tc>
        <w:tc>
          <w:tcPr>
            <w:tcW w:type="dxa" w:w="1915"/>
            <w:tcBorders>
              <w:top w:val="single" w:sz="1"/>
              <w:left w:val="single" w:sz="1"/>
              <w:bottom w:val="single" w:sz="1"/>
              <w:right w:val="single" w:sz="1"/>
            </w:tcBorders>
            <w:shd w:fill="D3D3D3" w:val="clear"/>
            <w:vAlign w:val="center"/>
          </w:tcPr>
          <w:p>
            <w:r>
              <w:t xml:space="preserve">Effort</w:t>
            </w:r>
          </w:p>
        </w:tc>
        <w:tc>
          <w:tcPr>
            <w:tcW w:type="dxa" w:w="1915"/>
            <w:tcBorders>
              <w:top w:val="single" w:sz="1"/>
              <w:left w:val="single" w:sz="1"/>
              <w:bottom w:val="single" w:sz="1"/>
              <w:right w:val="single" w:sz="1"/>
            </w:tcBorders>
            <w:shd w:fill="D3D3D3" w:val="clear"/>
            <w:vAlign w:val="center"/>
          </w:tcPr>
          <w:p>
            <w:r>
              <w:t xml:space="preserve">Timeline</w:t>
            </w:r>
          </w:p>
        </w:tc>
      </w:tr>
      <w:tr>
        <w:tc>
          <w:tcPr>
            <w:tcW w:type="dxa" w:w="1915"/>
            <w:tcBorders>
              <w:top w:val="single" w:sz="1"/>
              <w:left w:val="single" w:sz="1"/>
              <w:bottom w:val="single" w:sz="1"/>
              <w:right w:val="single" w:sz="1"/>
            </w:tcBorders>
            <w:vAlign w:val="top"/>
          </w:tcPr>
          <w:p>
            <w:r>
              <w:t xml:space="preserve">1</w:t>
            </w:r>
          </w:p>
        </w:tc>
        <w:tc>
          <w:tcPr>
            <w:tcW w:type="dxa" w:w="1915"/>
            <w:tcBorders>
              <w:top w:val="single" w:sz="1"/>
              <w:left w:val="single" w:sz="1"/>
              <w:bottom w:val="single" w:sz="1"/>
              <w:right w:val="single" w:sz="1"/>
            </w:tcBorders>
            <w:vAlign w:val="top"/>
          </w:tcPr>
          <w:p>
            <w:r>
              <w:t xml:space="preserve">**Add iXBRL parsing for SEC filings**</w:t>
            </w:r>
          </w:p>
        </w:tc>
        <w:tc>
          <w:tcPr>
            <w:tcW w:type="dxa" w:w="1915"/>
            <w:tcBorders>
              <w:top w:val="single" w:sz="1"/>
              <w:left w:val="single" w:sz="1"/>
              <w:bottom w:val="single" w:sz="1"/>
              <w:right w:val="single" w:sz="1"/>
            </w:tcBorders>
            <w:vAlign w:val="top"/>
          </w:tcPr>
          <w:p>
            <w:r>
              <w:t xml:space="preserve">Dramatically improves financial data extraction accuracy</w:t>
            </w:r>
          </w:p>
        </w:tc>
        <w:tc>
          <w:tcPr>
            <w:tcW w:type="dxa" w:w="1915"/>
            <w:tcBorders>
              <w:top w:val="single" w:sz="1"/>
              <w:left w:val="single" w:sz="1"/>
              <w:bottom w:val="single" w:sz="1"/>
              <w:right w:val="single" w:sz="1"/>
            </w:tcBorders>
            <w:vAlign w:val="top"/>
          </w:tcPr>
          <w:p>
            <w:r>
              <w:t xml:space="preserve">Low (library integration)</w:t>
            </w:r>
          </w:p>
        </w:tc>
        <w:tc>
          <w:tcPr>
            <w:tcW w:type="dxa" w:w="1915"/>
            <w:tcBorders>
              <w:top w:val="single" w:sz="1"/>
              <w:left w:val="single" w:sz="1"/>
              <w:bottom w:val="single" w:sz="1"/>
              <w:right w:val="single" w:sz="1"/>
            </w:tcBorders>
            <w:vAlign w:val="top"/>
          </w:tcPr>
          <w:p>
            <w:r>
              <w:t xml:space="preserve">2–4 weeks</w:t>
            </w:r>
          </w:p>
        </w:tc>
      </w:tr>
      <w:tr>
        <w:tc>
          <w:tcPr>
            <w:tcW w:type="dxa" w:w="1915"/>
            <w:tcBorders>
              <w:top w:val="single" w:sz="1"/>
              <w:left w:val="single" w:sz="1"/>
              <w:bottom w:val="single" w:sz="1"/>
              <w:right w:val="single" w:sz="1"/>
            </w:tcBorders>
            <w:vAlign w:val="top"/>
          </w:tcPr>
          <w:p>
            <w:r>
              <w:t xml:space="preserve">2</w:t>
            </w:r>
          </w:p>
        </w:tc>
        <w:tc>
          <w:tcPr>
            <w:tcW w:type="dxa" w:w="1915"/>
            <w:tcBorders>
              <w:top w:val="single" w:sz="1"/>
              <w:left w:val="single" w:sz="1"/>
              <w:bottom w:val="single" w:sz="1"/>
              <w:right w:val="single" w:sz="1"/>
            </w:tcBorders>
            <w:vAlign w:val="top"/>
          </w:tcPr>
          <w:p>
            <w:r>
              <w:t xml:space="preserve">**Upgrade to Voyage-3-large embeddings**</w:t>
            </w:r>
          </w:p>
        </w:tc>
        <w:tc>
          <w:tcPr>
            <w:tcW w:type="dxa" w:w="1915"/>
            <w:tcBorders>
              <w:top w:val="single" w:sz="1"/>
              <w:left w:val="single" w:sz="1"/>
              <w:bottom w:val="single" w:sz="1"/>
              <w:right w:val="single" w:sz="1"/>
            </w:tcBorders>
            <w:vAlign w:val="top"/>
          </w:tcPr>
          <w:p>
            <w:r>
              <w:t xml:space="preserve">+9.7% retrieval quality over current embeddings</w:t>
            </w:r>
          </w:p>
        </w:tc>
        <w:tc>
          <w:tcPr>
            <w:tcW w:type="dxa" w:w="1915"/>
            <w:tcBorders>
              <w:top w:val="single" w:sz="1"/>
              <w:left w:val="single" w:sz="1"/>
              <w:bottom w:val="single" w:sz="1"/>
              <w:right w:val="single" w:sz="1"/>
            </w:tcBorders>
            <w:vAlign w:val="top"/>
          </w:tcPr>
          <w:p>
            <w:r>
              <w:t xml:space="preserve">Low (API swap)</w:t>
            </w:r>
          </w:p>
        </w:tc>
        <w:tc>
          <w:tcPr>
            <w:tcW w:type="dxa" w:w="1915"/>
            <w:tcBorders>
              <w:top w:val="single" w:sz="1"/>
              <w:left w:val="single" w:sz="1"/>
              <w:bottom w:val="single" w:sz="1"/>
              <w:right w:val="single" w:sz="1"/>
            </w:tcBorders>
            <w:vAlign w:val="top"/>
          </w:tcPr>
          <w:p>
            <w:r>
              <w:t xml:space="preserve">1–2 weeks</w:t>
            </w:r>
          </w:p>
        </w:tc>
      </w:tr>
      <w:tr>
        <w:tc>
          <w:tcPr>
            <w:tcW w:type="dxa" w:w="1915"/>
            <w:tcBorders>
              <w:top w:val="single" w:sz="1"/>
              <w:left w:val="single" w:sz="1"/>
              <w:bottom w:val="single" w:sz="1"/>
              <w:right w:val="single" w:sz="1"/>
            </w:tcBorders>
            <w:vAlign w:val="top"/>
          </w:tcPr>
          <w:p>
            <w:r>
              <w:t xml:space="preserve">3</w:t>
            </w:r>
          </w:p>
        </w:tc>
        <w:tc>
          <w:tcPr>
            <w:tcW w:type="dxa" w:w="1915"/>
            <w:tcBorders>
              <w:top w:val="single" w:sz="1"/>
              <w:left w:val="single" w:sz="1"/>
              <w:bottom w:val="single" w:sz="1"/>
              <w:right w:val="single" w:sz="1"/>
            </w:tcBorders>
            <w:vAlign w:val="top"/>
          </w:tcPr>
          <w:p>
            <w:r>
              <w:t xml:space="preserve">**Implement hybrid search (BM25 + dense)**</w:t>
            </w:r>
          </w:p>
        </w:tc>
        <w:tc>
          <w:tcPr>
            <w:tcW w:type="dxa" w:w="1915"/>
            <w:tcBorders>
              <w:top w:val="single" w:sz="1"/>
              <w:left w:val="single" w:sz="1"/>
              <w:bottom w:val="single" w:sz="1"/>
              <w:right w:val="single" w:sz="1"/>
            </w:tcBorders>
            <w:vAlign w:val="top"/>
          </w:tcPr>
          <w:p>
            <w:r>
              <w:t xml:space="preserve">+26–31% NDCG improvement</w:t>
            </w:r>
          </w:p>
        </w:tc>
        <w:tc>
          <w:tcPr>
            <w:tcW w:type="dxa" w:w="1915"/>
            <w:tcBorders>
              <w:top w:val="single" w:sz="1"/>
              <w:left w:val="single" w:sz="1"/>
              <w:bottom w:val="single" w:sz="1"/>
              <w:right w:val="single" w:sz="1"/>
            </w:tcBorders>
            <w:vAlign w:val="top"/>
          </w:tcPr>
          <w:p>
            <w:r>
              <w:t xml:space="preserve">Medium</w:t>
            </w:r>
          </w:p>
        </w:tc>
        <w:tc>
          <w:tcPr>
            <w:tcW w:type="dxa" w:w="1915"/>
            <w:tcBorders>
              <w:top w:val="single" w:sz="1"/>
              <w:left w:val="single" w:sz="1"/>
              <w:bottom w:val="single" w:sz="1"/>
              <w:right w:val="single" w:sz="1"/>
            </w:tcBorders>
            <w:vAlign w:val="top"/>
          </w:tcPr>
          <w:p>
            <w:r>
              <w:t xml:space="preserve">4–6 weeks</w:t>
            </w:r>
          </w:p>
        </w:tc>
      </w:tr>
      <w:tr>
        <w:tc>
          <w:tcPr>
            <w:tcW w:type="dxa" w:w="1915"/>
            <w:tcBorders>
              <w:top w:val="single" w:sz="1"/>
              <w:left w:val="single" w:sz="1"/>
              <w:bottom w:val="single" w:sz="1"/>
              <w:right w:val="single" w:sz="1"/>
            </w:tcBorders>
            <w:vAlign w:val="top"/>
          </w:tcPr>
          <w:p>
            <w:r>
              <w:t xml:space="preserve">4</w:t>
            </w:r>
          </w:p>
        </w:tc>
        <w:tc>
          <w:tcPr>
            <w:tcW w:type="dxa" w:w="1915"/>
            <w:tcBorders>
              <w:top w:val="single" w:sz="1"/>
              <w:left w:val="single" w:sz="1"/>
              <w:bottom w:val="single" w:sz="1"/>
              <w:right w:val="single" w:sz="1"/>
            </w:tcBorders>
            <w:vAlign w:val="top"/>
          </w:tcPr>
          <w:p>
            <w:r>
              <w:t xml:space="preserve">**Adopt RAGAS evaluation framework**</w:t>
            </w:r>
          </w:p>
        </w:tc>
        <w:tc>
          <w:tcPr>
            <w:tcW w:type="dxa" w:w="1915"/>
            <w:tcBorders>
              <w:top w:val="single" w:sz="1"/>
              <w:left w:val="single" w:sz="1"/>
              <w:bottom w:val="single" w:sz="1"/>
              <w:right w:val="single" w:sz="1"/>
            </w:tcBorders>
            <w:vAlign w:val="top"/>
          </w:tcPr>
          <w:p>
            <w:r>
              <w:t xml:space="preserve">Systematic quality measurement beyond F1</w:t>
            </w:r>
          </w:p>
        </w:tc>
        <w:tc>
          <w:tcPr>
            <w:tcW w:type="dxa" w:w="1915"/>
            <w:tcBorders>
              <w:top w:val="single" w:sz="1"/>
              <w:left w:val="single" w:sz="1"/>
              <w:bottom w:val="single" w:sz="1"/>
              <w:right w:val="single" w:sz="1"/>
            </w:tcBorders>
            <w:vAlign w:val="top"/>
          </w:tcPr>
          <w:p>
            <w:r>
              <w:t xml:space="preserve">Medium</w:t>
            </w:r>
          </w:p>
        </w:tc>
        <w:tc>
          <w:tcPr>
            <w:tcW w:type="dxa" w:w="1915"/>
            <w:tcBorders>
              <w:top w:val="single" w:sz="1"/>
              <w:left w:val="single" w:sz="1"/>
              <w:bottom w:val="single" w:sz="1"/>
              <w:right w:val="single" w:sz="1"/>
            </w:tcBorders>
            <w:vAlign w:val="top"/>
          </w:tcPr>
          <w:p>
            <w:r>
              <w:t xml:space="preserve">3–4 weeks</w:t>
            </w:r>
          </w:p>
        </w:tc>
      </w:tr>
      <w:tr>
        <w:tc>
          <w:tcPr>
            <w:tcW w:type="dxa" w:w="1915"/>
            <w:tcBorders>
              <w:top w:val="single" w:sz="1"/>
              <w:left w:val="single" w:sz="1"/>
              <w:bottom w:val="single" w:sz="1"/>
              <w:right w:val="single" w:sz="1"/>
            </w:tcBorders>
            <w:vAlign w:val="top"/>
          </w:tcPr>
          <w:p>
            <w:r>
              <w:t xml:space="preserve">5</w:t>
            </w:r>
          </w:p>
        </w:tc>
        <w:tc>
          <w:tcPr>
            <w:tcW w:type="dxa" w:w="1915"/>
            <w:tcBorders>
              <w:top w:val="single" w:sz="1"/>
              <w:left w:val="single" w:sz="1"/>
              <w:bottom w:val="single" w:sz="1"/>
              <w:right w:val="single" w:sz="1"/>
            </w:tcBorders>
            <w:vAlign w:val="top"/>
          </w:tcPr>
          <w:p>
            <w:r>
              <w:t xml:space="preserve">**Switch client-side target to 3B model**</w:t>
            </w:r>
          </w:p>
        </w:tc>
        <w:tc>
          <w:tcPr>
            <w:tcW w:type="dxa" w:w="1915"/>
            <w:tcBorders>
              <w:top w:val="single" w:sz="1"/>
              <w:left w:val="single" w:sz="1"/>
              <w:bottom w:val="single" w:sz="1"/>
              <w:right w:val="single" w:sz="1"/>
            </w:tcBorders>
            <w:vAlign w:val="top"/>
          </w:tcPr>
          <w:p>
            <w:r>
              <w:t xml:space="preserve">Reliable browser inference on consumer hardware</w:t>
            </w:r>
          </w:p>
        </w:tc>
        <w:tc>
          <w:tcPr>
            <w:tcW w:type="dxa" w:w="1915"/>
            <w:tcBorders>
              <w:top w:val="single" w:sz="1"/>
              <w:left w:val="single" w:sz="1"/>
              <w:bottom w:val="single" w:sz="1"/>
              <w:right w:val="single" w:sz="1"/>
            </w:tcBorders>
            <w:vAlign w:val="top"/>
          </w:tcPr>
          <w:p>
            <w:r>
              <w:t xml:space="preserve">Low (model swap)</w:t>
            </w:r>
          </w:p>
        </w:tc>
        <w:tc>
          <w:tcPr>
            <w:tcW w:type="dxa" w:w="1915"/>
            <w:tcBorders>
              <w:top w:val="single" w:sz="1"/>
              <w:left w:val="single" w:sz="1"/>
              <w:bottom w:val="single" w:sz="1"/>
              <w:right w:val="single" w:sz="1"/>
            </w:tcBorders>
            <w:vAlign w:val="top"/>
          </w:tcPr>
          <w:p>
            <w:r>
              <w:t xml:space="preserve">2–3 weeks</w:t>
            </w:r>
          </w:p>
        </w:tc>
      </w:tr>
    </w:tbl>
    <w:p>
      <w:pPr>
        <w:pStyle w:val="Heading3"/>
        <w:spacing w:after="120" w:before="240"/>
        <w:outlineLvl w:val="2"/>
      </w:pPr>
      <w:r>
        <w:t xml:space="preserve">Tier 2: High Impact, Medium-High Effort (Next Quarter)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rHeight w:val="400" w:hRule="atLeast"/>
        </w:trPr>
        <w:tc>
          <w:tcPr>
            <w:tcW w:type="dxa" w:w="1915"/>
            <w:tcBorders>
              <w:top w:val="single" w:sz="1"/>
              <w:left w:val="single" w:sz="1"/>
              <w:bottom w:val="single" w:sz="1"/>
              <w:right w:val="single" w:sz="1"/>
            </w:tcBorders>
            <w:shd w:fill="D3D3D3" w:val="clear"/>
            <w:vAlign w:val="center"/>
          </w:tcPr>
          <w:p>
            <w:r>
              <w:t xml:space="preserve">#</w:t>
            </w:r>
          </w:p>
        </w:tc>
        <w:tc>
          <w:tcPr>
            <w:tcW w:type="dxa" w:w="1915"/>
            <w:tcBorders>
              <w:top w:val="single" w:sz="1"/>
              <w:left w:val="single" w:sz="1"/>
              <w:bottom w:val="single" w:sz="1"/>
              <w:right w:val="single" w:sz="1"/>
            </w:tcBorders>
            <w:shd w:fill="D3D3D3" w:val="clear"/>
            <w:vAlign w:val="center"/>
          </w:tcPr>
          <w:p>
            <w:r>
              <w:t xml:space="preserve">Recommendation</w:t>
            </w:r>
          </w:p>
        </w:tc>
        <w:tc>
          <w:tcPr>
            <w:tcW w:type="dxa" w:w="1915"/>
            <w:tcBorders>
              <w:top w:val="single" w:sz="1"/>
              <w:left w:val="single" w:sz="1"/>
              <w:bottom w:val="single" w:sz="1"/>
              <w:right w:val="single" w:sz="1"/>
            </w:tcBorders>
            <w:shd w:fill="D3D3D3" w:val="clear"/>
            <w:vAlign w:val="center"/>
          </w:tcPr>
          <w:p>
            <w:r>
              <w:t xml:space="preserve">Impact</w:t>
            </w:r>
          </w:p>
        </w:tc>
        <w:tc>
          <w:tcPr>
            <w:tcW w:type="dxa" w:w="1915"/>
            <w:tcBorders>
              <w:top w:val="single" w:sz="1"/>
              <w:left w:val="single" w:sz="1"/>
              <w:bottom w:val="single" w:sz="1"/>
              <w:right w:val="single" w:sz="1"/>
            </w:tcBorders>
            <w:shd w:fill="D3D3D3" w:val="clear"/>
            <w:vAlign w:val="center"/>
          </w:tcPr>
          <w:p>
            <w:r>
              <w:t xml:space="preserve">Effort</w:t>
            </w:r>
          </w:p>
        </w:tc>
        <w:tc>
          <w:tcPr>
            <w:tcW w:type="dxa" w:w="1915"/>
            <w:tcBorders>
              <w:top w:val="single" w:sz="1"/>
              <w:left w:val="single" w:sz="1"/>
              <w:bottom w:val="single" w:sz="1"/>
              <w:right w:val="single" w:sz="1"/>
            </w:tcBorders>
            <w:shd w:fill="D3D3D3" w:val="clear"/>
            <w:vAlign w:val="center"/>
          </w:tcPr>
          <w:p>
            <w:r>
              <w:t xml:space="preserve">Timeline</w:t>
            </w:r>
          </w:p>
        </w:tc>
      </w:tr>
      <w:tr>
        <w:tc>
          <w:tcPr>
            <w:tcW w:type="dxa" w:w="1915"/>
            <w:tcBorders>
              <w:top w:val="single" w:sz="1"/>
              <w:left w:val="single" w:sz="1"/>
              <w:bottom w:val="single" w:sz="1"/>
              <w:right w:val="single" w:sz="1"/>
            </w:tcBorders>
            <w:vAlign w:val="top"/>
          </w:tcPr>
          <w:p>
            <w:r>
              <w:t xml:space="preserve">6</w:t>
            </w:r>
          </w:p>
        </w:tc>
        <w:tc>
          <w:tcPr>
            <w:tcW w:type="dxa" w:w="1915"/>
            <w:tcBorders>
              <w:top w:val="single" w:sz="1"/>
              <w:left w:val="single" w:sz="1"/>
              <w:bottom w:val="single" w:sz="1"/>
              <w:right w:val="single" w:sz="1"/>
            </w:tcBorders>
            <w:vAlign w:val="top"/>
          </w:tcPr>
          <w:p>
            <w:r>
              <w:t xml:space="preserve">**Build golden evaluation dataset** (500+ expert-annotated pairs)</w:t>
            </w:r>
          </w:p>
        </w:tc>
        <w:tc>
          <w:tcPr>
            <w:tcW w:type="dxa" w:w="1915"/>
            <w:tcBorders>
              <w:top w:val="single" w:sz="1"/>
              <w:left w:val="single" w:sz="1"/>
              <w:bottom w:val="single" w:sz="1"/>
              <w:right w:val="single" w:sz="1"/>
            </w:tcBorders>
            <w:vAlign w:val="top"/>
          </w:tcPr>
          <w:p>
            <w:r>
              <w:t xml:space="preserve">Foundation for all quality improvement</w:t>
            </w:r>
          </w:p>
        </w:tc>
        <w:tc>
          <w:tcPr>
            <w:tcW w:type="dxa" w:w="1915"/>
            <w:tcBorders>
              <w:top w:val="single" w:sz="1"/>
              <w:left w:val="single" w:sz="1"/>
              <w:bottom w:val="single" w:sz="1"/>
              <w:right w:val="single" w:sz="1"/>
            </w:tcBorders>
            <w:vAlign w:val="top"/>
          </w:tcPr>
          <w:p>
            <w:r>
              <w:t xml:space="preserve">High (expert annotation)</w:t>
            </w:r>
          </w:p>
        </w:tc>
        <w:tc>
          <w:tcPr>
            <w:tcW w:type="dxa" w:w="1915"/>
            <w:tcBorders>
              <w:top w:val="single" w:sz="1"/>
              <w:left w:val="single" w:sz="1"/>
              <w:bottom w:val="single" w:sz="1"/>
              <w:right w:val="single" w:sz="1"/>
            </w:tcBorders>
            <w:vAlign w:val="top"/>
          </w:tcPr>
          <w:p>
            <w:r>
              <w:t xml:space="preserve">6–8 weeks</w:t>
            </w:r>
          </w:p>
        </w:tc>
      </w:tr>
      <w:tr>
        <w:tc>
          <w:tcPr>
            <w:tcW w:type="dxa" w:w="1915"/>
            <w:tcBorders>
              <w:top w:val="single" w:sz="1"/>
              <w:left w:val="single" w:sz="1"/>
              <w:bottom w:val="single" w:sz="1"/>
              <w:right w:val="single" w:sz="1"/>
            </w:tcBorders>
            <w:vAlign w:val="top"/>
          </w:tcPr>
          <w:p>
            <w:r>
              <w:t xml:space="preserve">7</w:t>
            </w:r>
          </w:p>
        </w:tc>
        <w:tc>
          <w:tcPr>
            <w:tcW w:type="dxa" w:w="1915"/>
            <w:tcBorders>
              <w:top w:val="single" w:sz="1"/>
              <w:left w:val="single" w:sz="1"/>
              <w:bottom w:val="single" w:sz="1"/>
              <w:right w:val="single" w:sz="1"/>
            </w:tcBorders>
            <w:vAlign w:val="top"/>
          </w:tcPr>
          <w:p>
            <w:r>
              <w:t xml:space="preserve">**Implement DPO for citation accuracy**</w:t>
            </w:r>
          </w:p>
        </w:tc>
        <w:tc>
          <w:tcPr>
            <w:tcW w:type="dxa" w:w="1915"/>
            <w:tcBorders>
              <w:top w:val="single" w:sz="1"/>
              <w:left w:val="single" w:sz="1"/>
              <w:bottom w:val="single" w:sz="1"/>
              <w:right w:val="single" w:sz="1"/>
            </w:tcBorders>
            <w:vAlign w:val="top"/>
          </w:tcPr>
          <w:p>
            <w:r>
              <w:t xml:space="preserve">Better citation behavior, less hallucination</w:t>
            </w:r>
          </w:p>
        </w:tc>
        <w:tc>
          <w:tcPr>
            <w:tcW w:type="dxa" w:w="1915"/>
            <w:tcBorders>
              <w:top w:val="single" w:sz="1"/>
              <w:left w:val="single" w:sz="1"/>
              <w:bottom w:val="single" w:sz="1"/>
              <w:right w:val="single" w:sz="1"/>
            </w:tcBorders>
            <w:vAlign w:val="top"/>
          </w:tcPr>
          <w:p>
            <w:r>
              <w:t xml:space="preserve">Medium</w:t>
            </w:r>
          </w:p>
        </w:tc>
        <w:tc>
          <w:tcPr>
            <w:tcW w:type="dxa" w:w="1915"/>
            <w:tcBorders>
              <w:top w:val="single" w:sz="1"/>
              <w:left w:val="single" w:sz="1"/>
              <w:bottom w:val="single" w:sz="1"/>
              <w:right w:val="single" w:sz="1"/>
            </w:tcBorders>
            <w:vAlign w:val="top"/>
          </w:tcPr>
          <w:p>
            <w:r>
              <w:t xml:space="preserve">4–6 weeks</w:t>
            </w:r>
          </w:p>
        </w:tc>
      </w:tr>
      <w:tr>
        <w:tc>
          <w:tcPr>
            <w:tcW w:type="dxa" w:w="1915"/>
            <w:tcBorders>
              <w:top w:val="single" w:sz="1"/>
              <w:left w:val="single" w:sz="1"/>
              <w:bottom w:val="single" w:sz="1"/>
              <w:right w:val="single" w:sz="1"/>
            </w:tcBorders>
            <w:vAlign w:val="top"/>
          </w:tcPr>
          <w:p>
            <w:r>
              <w:t xml:space="preserve">8</w:t>
            </w:r>
          </w:p>
        </w:tc>
        <w:tc>
          <w:tcPr>
            <w:tcW w:type="dxa" w:w="1915"/>
            <w:tcBorders>
              <w:top w:val="single" w:sz="1"/>
              <w:left w:val="single" w:sz="1"/>
              <w:bottom w:val="single" w:sz="1"/>
              <w:right w:val="single" w:sz="1"/>
            </w:tcBorders>
            <w:vAlign w:val="top"/>
          </w:tcPr>
          <w:p>
            <w:r>
              <w:t xml:space="preserve">**Add metadata-enriched chunking**</w:t>
            </w:r>
          </w:p>
        </w:tc>
        <w:tc>
          <w:tcPr>
            <w:tcW w:type="dxa" w:w="1915"/>
            <w:tcBorders>
              <w:top w:val="single" w:sz="1"/>
              <w:left w:val="single" w:sz="1"/>
              <w:bottom w:val="single" w:sz="1"/>
              <w:right w:val="single" w:sz="1"/>
            </w:tcBorders>
            <w:vAlign w:val="top"/>
          </w:tcPr>
          <w:p>
            <w:r>
              <w:t xml:space="preserve">+15–20% QA accuracy on financial docs</w:t>
            </w:r>
          </w:p>
        </w:tc>
        <w:tc>
          <w:tcPr>
            <w:tcW w:type="dxa" w:w="1915"/>
            <w:tcBorders>
              <w:top w:val="single" w:sz="1"/>
              <w:left w:val="single" w:sz="1"/>
              <w:bottom w:val="single" w:sz="1"/>
              <w:right w:val="single" w:sz="1"/>
            </w:tcBorders>
            <w:vAlign w:val="top"/>
          </w:tcPr>
          <w:p>
            <w:r>
              <w:t xml:space="preserve">Medium</w:t>
            </w:r>
          </w:p>
        </w:tc>
        <w:tc>
          <w:tcPr>
            <w:tcW w:type="dxa" w:w="1915"/>
            <w:tcBorders>
              <w:top w:val="single" w:sz="1"/>
              <w:left w:val="single" w:sz="1"/>
              <w:bottom w:val="single" w:sz="1"/>
              <w:right w:val="single" w:sz="1"/>
            </w:tcBorders>
            <w:vAlign w:val="top"/>
          </w:tcPr>
          <w:p>
            <w:r>
              <w:t xml:space="preserve">3–4 weeks</w:t>
            </w:r>
          </w:p>
        </w:tc>
      </w:tr>
      <w:tr>
        <w:tc>
          <w:tcPr>
            <w:tcW w:type="dxa" w:w="1915"/>
            <w:tcBorders>
              <w:top w:val="single" w:sz="1"/>
              <w:left w:val="single" w:sz="1"/>
              <w:bottom w:val="single" w:sz="1"/>
              <w:right w:val="single" w:sz="1"/>
            </w:tcBorders>
            <w:vAlign w:val="top"/>
          </w:tcPr>
          <w:p>
            <w:r>
              <w:t xml:space="preserve">9</w:t>
            </w:r>
          </w:p>
        </w:tc>
        <w:tc>
          <w:tcPr>
            <w:tcW w:type="dxa" w:w="1915"/>
            <w:tcBorders>
              <w:top w:val="single" w:sz="1"/>
              <w:left w:val="single" w:sz="1"/>
              <w:bottom w:val="single" w:sz="1"/>
              <w:right w:val="single" w:sz="1"/>
            </w:tcBorders>
            <w:vAlign w:val="top"/>
          </w:tcPr>
          <w:p>
            <w:r>
              <w:t xml:space="preserve">**Deploy multi-LoRA serving** (vLLM + classifier routing)</w:t>
            </w:r>
          </w:p>
        </w:tc>
        <w:tc>
          <w:tcPr>
            <w:tcW w:type="dxa" w:w="1915"/>
            <w:tcBorders>
              <w:top w:val="single" w:sz="1"/>
              <w:left w:val="single" w:sz="1"/>
              <w:bottom w:val="single" w:sz="1"/>
              <w:right w:val="single" w:sz="1"/>
            </w:tcBorders>
            <w:vAlign w:val="top"/>
          </w:tcPr>
          <w:p>
            <w:r>
              <w:t xml:space="preserve">Efficient multi-domain serving</w:t>
            </w:r>
          </w:p>
        </w:tc>
        <w:tc>
          <w:tcPr>
            <w:tcW w:type="dxa" w:w="1915"/>
            <w:tcBorders>
              <w:top w:val="single" w:sz="1"/>
              <w:left w:val="single" w:sz="1"/>
              <w:bottom w:val="single" w:sz="1"/>
              <w:right w:val="single" w:sz="1"/>
            </w:tcBorders>
            <w:vAlign w:val="top"/>
          </w:tcPr>
          <w:p>
            <w:r>
              <w:t xml:space="preserve">Medium</w:t>
            </w:r>
          </w:p>
        </w:tc>
        <w:tc>
          <w:tcPr>
            <w:tcW w:type="dxa" w:w="1915"/>
            <w:tcBorders>
              <w:top w:val="single" w:sz="1"/>
              <w:left w:val="single" w:sz="1"/>
              <w:bottom w:val="single" w:sz="1"/>
              <w:right w:val="single" w:sz="1"/>
            </w:tcBorders>
            <w:vAlign w:val="top"/>
          </w:tcPr>
          <w:p>
            <w:r>
              <w:t xml:space="preserve">4–6 weeks</w:t>
            </w:r>
          </w:p>
        </w:tc>
      </w:tr>
      <w:tr>
        <w:tc>
          <w:tcPr>
            <w:tcW w:type="dxa" w:w="1915"/>
            <w:tcBorders>
              <w:top w:val="single" w:sz="1"/>
              <w:left w:val="single" w:sz="1"/>
              <w:bottom w:val="single" w:sz="1"/>
              <w:right w:val="single" w:sz="1"/>
            </w:tcBorders>
            <w:vAlign w:val="top"/>
          </w:tcPr>
          <w:p>
            <w:r>
              <w:t xml:space="preserve">10</w:t>
            </w:r>
          </w:p>
        </w:tc>
        <w:tc>
          <w:tcPr>
            <w:tcW w:type="dxa" w:w="1915"/>
            <w:tcBorders>
              <w:top w:val="single" w:sz="1"/>
              <w:left w:val="single" w:sz="1"/>
              <w:bottom w:val="single" w:sz="1"/>
              <w:right w:val="single" w:sz="1"/>
            </w:tcBorders>
            <w:vAlign w:val="top"/>
          </w:tcPr>
          <w:p>
            <w:r>
              <w:t xml:space="preserve">**Upgrade to transformers.js v4** for client-side</w:t>
            </w:r>
          </w:p>
        </w:tc>
        <w:tc>
          <w:tcPr>
            <w:tcW w:type="dxa" w:w="1915"/>
            <w:tcBorders>
              <w:top w:val="single" w:sz="1"/>
              <w:left w:val="single" w:sz="1"/>
              <w:bottom w:val="single" w:sz="1"/>
              <w:right w:val="single" w:sz="1"/>
            </w:tcBorders>
            <w:vAlign w:val="top"/>
          </w:tcPr>
          <w:p>
            <w:r>
              <w:t xml:space="preserve">3–10x speed improvement, 8B+ parameter support</w:t>
            </w:r>
          </w:p>
        </w:tc>
        <w:tc>
          <w:tcPr>
            <w:tcW w:type="dxa" w:w="1915"/>
            <w:tcBorders>
              <w:top w:val="single" w:sz="1"/>
              <w:left w:val="single" w:sz="1"/>
              <w:bottom w:val="single" w:sz="1"/>
              <w:right w:val="single" w:sz="1"/>
            </w:tcBorders>
            <w:vAlign w:val="top"/>
          </w:tcPr>
          <w:p>
            <w:r>
              <w:t xml:space="preserve">Medium</w:t>
            </w:r>
          </w:p>
        </w:tc>
        <w:tc>
          <w:tcPr>
            <w:tcW w:type="dxa" w:w="1915"/>
            <w:tcBorders>
              <w:top w:val="single" w:sz="1"/>
              <w:left w:val="single" w:sz="1"/>
              <w:bottom w:val="single" w:sz="1"/>
              <w:right w:val="single" w:sz="1"/>
            </w:tcBorders>
            <w:vAlign w:val="top"/>
          </w:tcPr>
          <w:p>
            <w:r>
              <w:t xml:space="preserve">3–4 weeks</w:t>
            </w:r>
          </w:p>
        </w:tc>
      </w:tr>
      <w:tr>
        <w:tc>
          <w:tcPr>
            <w:tcW w:type="dxa" w:w="1915"/>
            <w:tcBorders>
              <w:top w:val="single" w:sz="1"/>
              <w:left w:val="single" w:sz="1"/>
              <w:bottom w:val="single" w:sz="1"/>
              <w:right w:val="single" w:sz="1"/>
            </w:tcBorders>
            <w:vAlign w:val="top"/>
          </w:tcPr>
          <w:p>
            <w:r>
              <w:t xml:space="preserve">11</w:t>
            </w:r>
          </w:p>
        </w:tc>
        <w:tc>
          <w:tcPr>
            <w:tcW w:type="dxa" w:w="1915"/>
            <w:tcBorders>
              <w:top w:val="single" w:sz="1"/>
              <w:left w:val="single" w:sz="1"/>
              <w:bottom w:val="single" w:sz="1"/>
              <w:right w:val="single" w:sz="1"/>
            </w:tcBorders>
            <w:vAlign w:val="top"/>
          </w:tcPr>
          <w:p>
            <w:r>
              <w:t xml:space="preserve">**Improve confidence calibration** to r&gt;0.70</w:t>
            </w:r>
          </w:p>
        </w:tc>
        <w:tc>
          <w:tcPr>
            <w:tcW w:type="dxa" w:w="1915"/>
            <w:tcBorders>
              <w:top w:val="single" w:sz="1"/>
              <w:left w:val="single" w:sz="1"/>
              <w:bottom w:val="single" w:sz="1"/>
              <w:right w:val="single" w:sz="1"/>
            </w:tcBorders>
            <w:vAlign w:val="top"/>
          </w:tcPr>
          <w:p>
            <w:r>
              <w:t xml:space="preserve">Current r=0.426 is misleading for compliance users — critical trust issue</w:t>
            </w:r>
          </w:p>
        </w:tc>
        <w:tc>
          <w:tcPr>
            <w:tcW w:type="dxa" w:w="1915"/>
            <w:tcBorders>
              <w:top w:val="single" w:sz="1"/>
              <w:left w:val="single" w:sz="1"/>
              <w:bottom w:val="single" w:sz="1"/>
              <w:right w:val="single" w:sz="1"/>
            </w:tcBorders>
            <w:vAlign w:val="top"/>
          </w:tcPr>
          <w:p>
            <w:r>
              <w:t xml:space="preserve">High</w:t>
            </w:r>
          </w:p>
        </w:tc>
        <w:tc>
          <w:tcPr>
            <w:tcW w:type="dxa" w:w="1915"/>
            <w:tcBorders>
              <w:top w:val="single" w:sz="1"/>
              <w:left w:val="single" w:sz="1"/>
              <w:bottom w:val="single" w:sz="1"/>
              <w:right w:val="single" w:sz="1"/>
            </w:tcBorders>
            <w:vAlign w:val="top"/>
          </w:tcPr>
          <w:p>
            <w:r>
              <w:t xml:space="preserve">6–8 weeks</w:t>
            </w:r>
          </w:p>
        </w:tc>
      </w:tr>
    </w:tbl>
    <w:p>
      <w:pPr>
        <w:pStyle w:val="Heading3"/>
        <w:spacing w:after="120" w:before="240"/>
        <w:outlineLvl w:val="2"/>
      </w:pPr>
      <w:r>
        <w:t xml:space="preserve">Tier 3: Strategic, High Effort (6+ Months)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rHeight w:val="400" w:hRule="atLeast"/>
        </w:trPr>
        <w:tc>
          <w:tcPr>
            <w:tcW w:type="dxa" w:w="1915"/>
            <w:tcBorders>
              <w:top w:val="single" w:sz="1"/>
              <w:left w:val="single" w:sz="1"/>
              <w:bottom w:val="single" w:sz="1"/>
              <w:right w:val="single" w:sz="1"/>
            </w:tcBorders>
            <w:shd w:fill="D3D3D3" w:val="clear"/>
            <w:vAlign w:val="center"/>
          </w:tcPr>
          <w:p>
            <w:r>
              <w:t xml:space="preserve">#</w:t>
            </w:r>
          </w:p>
        </w:tc>
        <w:tc>
          <w:tcPr>
            <w:tcW w:type="dxa" w:w="1915"/>
            <w:tcBorders>
              <w:top w:val="single" w:sz="1"/>
              <w:left w:val="single" w:sz="1"/>
              <w:bottom w:val="single" w:sz="1"/>
              <w:right w:val="single" w:sz="1"/>
            </w:tcBorders>
            <w:shd w:fill="D3D3D3" w:val="clear"/>
            <w:vAlign w:val="center"/>
          </w:tcPr>
          <w:p>
            <w:r>
              <w:t xml:space="preserve">Recommendation</w:t>
            </w:r>
          </w:p>
        </w:tc>
        <w:tc>
          <w:tcPr>
            <w:tcW w:type="dxa" w:w="1915"/>
            <w:tcBorders>
              <w:top w:val="single" w:sz="1"/>
              <w:left w:val="single" w:sz="1"/>
              <w:bottom w:val="single" w:sz="1"/>
              <w:right w:val="single" w:sz="1"/>
            </w:tcBorders>
            <w:shd w:fill="D3D3D3" w:val="clear"/>
            <w:vAlign w:val="center"/>
          </w:tcPr>
          <w:p>
            <w:r>
              <w:t xml:space="preserve">Impact</w:t>
            </w:r>
          </w:p>
        </w:tc>
        <w:tc>
          <w:tcPr>
            <w:tcW w:type="dxa" w:w="1915"/>
            <w:tcBorders>
              <w:top w:val="single" w:sz="1"/>
              <w:left w:val="single" w:sz="1"/>
              <w:bottom w:val="single" w:sz="1"/>
              <w:right w:val="single" w:sz="1"/>
            </w:tcBorders>
            <w:shd w:fill="D3D3D3" w:val="clear"/>
            <w:vAlign w:val="center"/>
          </w:tcPr>
          <w:p>
            <w:r>
              <w:t xml:space="preserve">Effort</w:t>
            </w:r>
          </w:p>
        </w:tc>
        <w:tc>
          <w:tcPr>
            <w:tcW w:type="dxa" w:w="1915"/>
            <w:tcBorders>
              <w:top w:val="single" w:sz="1"/>
              <w:left w:val="single" w:sz="1"/>
              <w:bottom w:val="single" w:sz="1"/>
              <w:right w:val="single" w:sz="1"/>
            </w:tcBorders>
            <w:shd w:fill="D3D3D3" w:val="clear"/>
            <w:vAlign w:val="center"/>
          </w:tcPr>
          <w:p>
            <w:r>
              <w:t xml:space="preserve">Timeline</w:t>
            </w:r>
          </w:p>
        </w:tc>
      </w:tr>
      <w:tr>
        <w:tc>
          <w:tcPr>
            <w:tcW w:type="dxa" w:w="1915"/>
            <w:tcBorders>
              <w:top w:val="single" w:sz="1"/>
              <w:left w:val="single" w:sz="1"/>
              <w:bottom w:val="single" w:sz="1"/>
              <w:right w:val="single" w:sz="1"/>
            </w:tcBorders>
            <w:vAlign w:val="top"/>
          </w:tcPr>
          <w:p>
            <w:r>
              <w:t xml:space="preserve">12</w:t>
            </w:r>
          </w:p>
        </w:tc>
        <w:tc>
          <w:tcPr>
            <w:tcW w:type="dxa" w:w="1915"/>
            <w:tcBorders>
              <w:top w:val="single" w:sz="1"/>
              <w:left w:val="single" w:sz="1"/>
              <w:bottom w:val="single" w:sz="1"/>
              <w:right w:val="single" w:sz="1"/>
            </w:tcBorders>
            <w:vAlign w:val="top"/>
          </w:tcPr>
          <w:p>
            <w:r>
              <w:t xml:space="preserve">**Train custom compliance embeddings** (like Harvey's voyage-law-2)</w:t>
            </w:r>
          </w:p>
        </w:tc>
        <w:tc>
          <w:tcPr>
            <w:tcW w:type="dxa" w:w="1915"/>
            <w:tcBorders>
              <w:top w:val="single" w:sz="1"/>
              <w:left w:val="single" w:sz="1"/>
              <w:bottom w:val="single" w:sz="1"/>
              <w:right w:val="single" w:sz="1"/>
            </w:tcBorders>
            <w:vAlign w:val="top"/>
          </w:tcPr>
          <w:p>
            <w:r>
              <w:t xml:space="preserve">Major retrieval quality moat</w:t>
            </w:r>
          </w:p>
        </w:tc>
        <w:tc>
          <w:tcPr>
            <w:tcW w:type="dxa" w:w="1915"/>
            <w:tcBorders>
              <w:top w:val="single" w:sz="1"/>
              <w:left w:val="single" w:sz="1"/>
              <w:bottom w:val="single" w:sz="1"/>
              <w:right w:val="single" w:sz="1"/>
            </w:tcBorders>
            <w:vAlign w:val="top"/>
          </w:tcPr>
          <w:p>
            <w:r>
              <w:t xml:space="preserve">Very High</w:t>
            </w:r>
          </w:p>
        </w:tc>
        <w:tc>
          <w:tcPr>
            <w:tcW w:type="dxa" w:w="1915"/>
            <w:tcBorders>
              <w:top w:val="single" w:sz="1"/>
              <w:left w:val="single" w:sz="1"/>
              <w:bottom w:val="single" w:sz="1"/>
              <w:right w:val="single" w:sz="1"/>
            </w:tcBorders>
            <w:vAlign w:val="top"/>
          </w:tcPr>
          <w:p>
            <w:r>
              <w:t xml:space="preserve">3–6 months</w:t>
            </w:r>
          </w:p>
        </w:tc>
      </w:tr>
      <w:tr>
        <w:tc>
          <w:tcPr>
            <w:tcW w:type="dxa" w:w="1915"/>
            <w:tcBorders>
              <w:top w:val="single" w:sz="1"/>
              <w:left w:val="single" w:sz="1"/>
              <w:bottom w:val="single" w:sz="1"/>
              <w:right w:val="single" w:sz="1"/>
            </w:tcBorders>
            <w:vAlign w:val="top"/>
          </w:tcPr>
          <w:p>
            <w:r>
              <w:t xml:space="preserve">13</w:t>
            </w:r>
          </w:p>
        </w:tc>
        <w:tc>
          <w:tcPr>
            <w:tcW w:type="dxa" w:w="1915"/>
            <w:tcBorders>
              <w:top w:val="single" w:sz="1"/>
              <w:left w:val="single" w:sz="1"/>
              <w:bottom w:val="single" w:sz="1"/>
              <w:right w:val="single" w:sz="1"/>
            </w:tcBorders>
            <w:vAlign w:val="top"/>
          </w:tcPr>
          <w:p>
            <w:r>
              <w:t xml:space="preserve">**Implement multi-model orchestration** (like Harvey/AlphaSense)</w:t>
            </w:r>
          </w:p>
        </w:tc>
        <w:tc>
          <w:tcPr>
            <w:tcW w:type="dxa" w:w="1915"/>
            <w:tcBorders>
              <w:top w:val="single" w:sz="1"/>
              <w:left w:val="single" w:sz="1"/>
              <w:bottom w:val="single" w:sz="1"/>
              <w:right w:val="single" w:sz="1"/>
            </w:tcBorders>
            <w:vAlign w:val="top"/>
          </w:tcPr>
          <w:p>
            <w:r>
              <w:t xml:space="preserve">Best-model-per-task routing</w:t>
            </w:r>
          </w:p>
        </w:tc>
        <w:tc>
          <w:tcPr>
            <w:tcW w:type="dxa" w:w="1915"/>
            <w:tcBorders>
              <w:top w:val="single" w:sz="1"/>
              <w:left w:val="single" w:sz="1"/>
              <w:bottom w:val="single" w:sz="1"/>
              <w:right w:val="single" w:sz="1"/>
            </w:tcBorders>
            <w:vAlign w:val="top"/>
          </w:tcPr>
          <w:p>
            <w:r>
              <w:t xml:space="preserve">High</w:t>
            </w:r>
          </w:p>
        </w:tc>
        <w:tc>
          <w:tcPr>
            <w:tcW w:type="dxa" w:w="1915"/>
            <w:tcBorders>
              <w:top w:val="single" w:sz="1"/>
              <w:left w:val="single" w:sz="1"/>
              <w:bottom w:val="single" w:sz="1"/>
              <w:right w:val="single" w:sz="1"/>
            </w:tcBorders>
            <w:vAlign w:val="top"/>
          </w:tcPr>
          <w:p>
            <w:r>
              <w:t xml:space="preserve">3–4 months</w:t>
            </w:r>
          </w:p>
        </w:tc>
      </w:tr>
      <w:tr>
        <w:tc>
          <w:tcPr>
            <w:tcW w:type="dxa" w:w="1915"/>
            <w:tcBorders>
              <w:top w:val="single" w:sz="1"/>
              <w:left w:val="single" w:sz="1"/>
              <w:bottom w:val="single" w:sz="1"/>
              <w:right w:val="single" w:sz="1"/>
            </w:tcBorders>
            <w:vAlign w:val="top"/>
          </w:tcPr>
          <w:p>
            <w:r>
              <w:t xml:space="preserve">14</w:t>
            </w:r>
          </w:p>
        </w:tc>
        <w:tc>
          <w:tcPr>
            <w:tcW w:type="dxa" w:w="1915"/>
            <w:tcBorders>
              <w:top w:val="single" w:sz="1"/>
              <w:left w:val="single" w:sz="1"/>
              <w:bottom w:val="single" w:sz="1"/>
              <w:right w:val="single" w:sz="1"/>
            </w:tcBorders>
            <w:vAlign w:val="top"/>
          </w:tcPr>
          <w:p>
            <w:r>
              <w:t xml:space="preserve">**Build fully client-side RAG** (Phase 3)</w:t>
            </w:r>
          </w:p>
        </w:tc>
        <w:tc>
          <w:tcPr>
            <w:tcW w:type="dxa" w:w="1915"/>
            <w:tcBorders>
              <w:top w:val="single" w:sz="1"/>
              <w:left w:val="single" w:sz="1"/>
              <w:bottom w:val="single" w:sz="1"/>
              <w:right w:val="single" w:sz="1"/>
            </w:tcBorders>
            <w:vAlign w:val="top"/>
          </w:tcPr>
          <w:p>
            <w:r>
              <w:t xml:space="preserve">Complete privacy preservation</w:t>
            </w:r>
          </w:p>
        </w:tc>
        <w:tc>
          <w:tcPr>
            <w:tcW w:type="dxa" w:w="1915"/>
            <w:tcBorders>
              <w:top w:val="single" w:sz="1"/>
              <w:left w:val="single" w:sz="1"/>
              <w:bottom w:val="single" w:sz="1"/>
              <w:right w:val="single" w:sz="1"/>
            </w:tcBorders>
            <w:vAlign w:val="top"/>
          </w:tcPr>
          <w:p>
            <w:r>
              <w:t xml:space="preserve">Very High</w:t>
            </w:r>
          </w:p>
        </w:tc>
        <w:tc>
          <w:tcPr>
            <w:tcW w:type="dxa" w:w="1915"/>
            <w:tcBorders>
              <w:top w:val="single" w:sz="1"/>
              <w:left w:val="single" w:sz="1"/>
              <w:bottom w:val="single" w:sz="1"/>
              <w:right w:val="single" w:sz="1"/>
            </w:tcBorders>
            <w:vAlign w:val="top"/>
          </w:tcPr>
          <w:p>
            <w:r>
              <w:t xml:space="preserve">6–12 months</w:t>
            </w:r>
          </w:p>
        </w:tc>
      </w:tr>
      <w:tr>
        <w:tc>
          <w:tcPr>
            <w:tcW w:type="dxa" w:w="1915"/>
            <w:tcBorders>
              <w:top w:val="single" w:sz="1"/>
              <w:left w:val="single" w:sz="1"/>
              <w:bottom w:val="single" w:sz="1"/>
              <w:right w:val="single" w:sz="1"/>
            </w:tcBorders>
            <w:vAlign w:val="top"/>
          </w:tcPr>
          <w:p>
            <w:r>
              <w:t xml:space="preserve">15</w:t>
            </w:r>
          </w:p>
        </w:tc>
        <w:tc>
          <w:tcPr>
            <w:tcW w:type="dxa" w:w="1915"/>
            <w:tcBorders>
              <w:top w:val="single" w:sz="1"/>
              <w:left w:val="single" w:sz="1"/>
              <w:bottom w:val="single" w:sz="1"/>
              <w:right w:val="single" w:sz="1"/>
            </w:tcBorders>
            <w:vAlign w:val="top"/>
          </w:tcPr>
          <w:p>
            <w:r>
              <w:t xml:space="preserve">**Per-token LoRA routing (MoLoRA)**</w:t>
            </w:r>
          </w:p>
        </w:tc>
        <w:tc>
          <w:tcPr>
            <w:tcW w:type="dxa" w:w="1915"/>
            <w:tcBorders>
              <w:top w:val="single" w:sz="1"/>
              <w:left w:val="single" w:sz="1"/>
              <w:bottom w:val="single" w:sz="1"/>
              <w:right w:val="single" w:sz="1"/>
            </w:tcBorders>
            <w:vAlign w:val="top"/>
          </w:tcPr>
          <w:p>
            <w:r>
              <w:t xml:space="preserve">Mixed-domain query handling</w:t>
            </w:r>
          </w:p>
        </w:tc>
        <w:tc>
          <w:tcPr>
            <w:tcW w:type="dxa" w:w="1915"/>
            <w:tcBorders>
              <w:top w:val="single" w:sz="1"/>
              <w:left w:val="single" w:sz="1"/>
              <w:bottom w:val="single" w:sz="1"/>
              <w:right w:val="single" w:sz="1"/>
            </w:tcBorders>
            <w:vAlign w:val="top"/>
          </w:tcPr>
          <w:p>
            <w:r>
              <w:t xml:space="preserve">High</w:t>
            </w:r>
          </w:p>
        </w:tc>
        <w:tc>
          <w:tcPr>
            <w:tcW w:type="dxa" w:w="1915"/>
            <w:tcBorders>
              <w:top w:val="single" w:sz="1"/>
              <w:left w:val="single" w:sz="1"/>
              <w:bottom w:val="single" w:sz="1"/>
              <w:right w:val="single" w:sz="1"/>
            </w:tcBorders>
            <w:vAlign w:val="top"/>
          </w:tcPr>
          <w:p>
            <w:r>
              <w:t xml:space="preserve">4–6 months</w:t>
            </w:r>
          </w:p>
        </w:tc>
      </w:tr>
    </w:tbl>
    <w:p>
      <w:pPr>
        <w:pStyle w:val="Heading2"/>
        <w:spacing w:after="120" w:before="240"/>
        <w:outlineLvl w:val="1"/>
      </w:pPr>
      <w:r>
        <w:t xml:space="preserve">8. Sources</w:t>
      </w:r>
    </w:p>
    <w:p>
      <w:pPr>
        <w:pStyle w:val="Heading3"/>
        <w:spacing w:after="120" w:before="240"/>
        <w:outlineLvl w:val="2"/>
      </w:pPr>
      <w:r>
        <w:t xml:space="preserve">Fine-Tuning &amp; LoRA</w:t>
      </w:r>
    </w:p>
    <w:p>
      <w:pPr>
        <w:pStyle w:val="ListParagraph"/>
        <w:numPr>
          <w:ilvl w:val="0"/>
          <w:numId w:val="1"/>
        </w:numPr>
        <w:spacing w:after="100"/>
      </w:pPr>
      <w:r>
        <w:t xml:space="preserve">[Unsloth LoRA Hyperparameters Guide](https://unsloth.ai/docs/get-started/fine-tuning-llms-guide/lora-hyperparameters-guide)</w:t>
      </w:r>
    </w:p>
    <w:p>
      <w:pPr>
        <w:pStyle w:val="ListParagraph"/>
        <w:numPr>
          <w:ilvl w:val="0"/>
          <w:numId w:val="1"/>
        </w:numPr>
        <w:spacing w:after="100"/>
      </w:pPr>
      <w:r>
        <w:t xml:space="preserve">[Fine-tune Llama 3.1 with Unsloth (Hugging Face)](https://huggingface.co/blog/mlabonne/sft-llama3)</w:t>
      </w:r>
    </w:p>
    <w:p>
      <w:pPr>
        <w:pStyle w:val="ListParagraph"/>
        <w:numPr>
          <w:ilvl w:val="0"/>
          <w:numId w:val="1"/>
        </w:numPr>
        <w:spacing w:after="100"/>
      </w:pPr>
      <w:r>
        <w:t xml:space="preserve">[Fine-Tuning LLMs: Hyperparameter Best Practices (Latitude)](https://latitude.so/blog/fine-tuning-llms-hyperparameter-best-practices)</w:t>
      </w:r>
    </w:p>
    <w:p>
      <w:pPr>
        <w:pStyle w:val="ListParagraph"/>
        <w:numPr>
          <w:ilvl w:val="0"/>
          <w:numId w:val="1"/>
        </w:numPr>
        <w:spacing w:after="100"/>
      </w:pPr>
      <w:r>
        <w:t xml:space="preserve">[How to Fine-Tune Open LLMs in 2025 (Phil Schmid)](https://www.philschmid.de/fine-tune-llms-in-2025)</w:t>
      </w:r>
    </w:p>
    <w:p>
      <w:pPr>
        <w:pStyle w:val="ListParagraph"/>
        <w:numPr>
          <w:ilvl w:val="0"/>
          <w:numId w:val="1"/>
        </w:numPr>
        <w:spacing w:after="100"/>
      </w:pPr>
      <w:r>
        <w:t xml:space="preserve">[LoRA vs QLoRA vs Full Fine-Tuning for Legal AI (Hugging Face)](https://huggingface.co/blog/Cyfutureai/lora-vs-qlora-vs-full-fine-tuning)</w:t>
      </w:r>
    </w:p>
    <w:p>
      <w:pPr>
        <w:pStyle w:val="ListParagraph"/>
        <w:numPr>
          <w:ilvl w:val="0"/>
          <w:numId w:val="1"/>
        </w:numPr>
        <w:spacing w:after="100"/>
      </w:pPr>
      <w:r>
        <w:t xml:space="preserve">[LoRA vs QLoRA (Modal)](https://modal.com/blog/lora-qlora)</w:t>
      </w:r>
    </w:p>
    <w:p>
      <w:pPr>
        <w:pStyle w:val="ListParagraph"/>
        <w:numPr>
          <w:ilvl w:val="0"/>
          <w:numId w:val="1"/>
        </w:numPr>
        <w:spacing w:after="100"/>
      </w:pPr>
      <w:r>
        <w:t xml:space="preserve">[Efficient Fine-Tuning with LoRA (Databricks)](https://www.databricks.com/blog/efficient-fine-tuning-lora-guide-llms)</w:t>
      </w:r>
    </w:p>
    <w:p>
      <w:pPr>
        <w:pStyle w:val="ListParagraph"/>
        <w:numPr>
          <w:ilvl w:val="0"/>
          <w:numId w:val="1"/>
        </w:numPr>
        <w:spacing w:after="100"/>
      </w:pPr>
      <w:r>
        <w:t xml:space="preserve">[Llama Fine-Tuning How-To Guide (Meta)](https://www.llama.com/docs/how-to-guides/fine-tuning/)</w:t>
      </w:r>
    </w:p>
    <w:p>
      <w:pPr>
        <w:pStyle w:val="Heading3"/>
        <w:spacing w:after="120" w:before="240"/>
        <w:outlineLvl w:val="2"/>
      </w:pPr>
      <w:r>
        <w:t xml:space="preserve">Multi-LoRA Serving</w:t>
      </w:r>
    </w:p>
    <w:p>
      <w:pPr>
        <w:pStyle w:val="ListParagraph"/>
        <w:numPr>
          <w:ilvl w:val="0"/>
          <w:numId w:val="1"/>
        </w:numPr>
        <w:spacing w:after="100"/>
      </w:pPr>
      <w:r>
        <w:t xml:space="preserve">[LoRAServe: Heterogeneous LoRA Adapter Serving (arXiv)](https://arxiv.org/abs/2511.22880)</w:t>
      </w:r>
    </w:p>
    <w:p>
      <w:pPr>
        <w:pStyle w:val="ListParagraph"/>
        <w:numPr>
          <w:ilvl w:val="0"/>
          <w:numId w:val="1"/>
        </w:numPr>
        <w:spacing w:after="100"/>
      </w:pPr>
      <w:r>
        <w:t xml:space="preserve">[MoLoRA: Per-Token Adapter Routing (arXiv)](https://arxiv.org/html/2603.15965)</w:t>
      </w:r>
    </w:p>
    <w:p>
      <w:pPr>
        <w:pStyle w:val="ListParagraph"/>
        <w:numPr>
          <w:ilvl w:val="0"/>
          <w:numId w:val="1"/>
        </w:numPr>
        <w:spacing w:after="100"/>
      </w:pPr>
      <w:r>
        <w:t xml:space="preserve">[Multi-LoRA Deployment (Ray Serve)](https://docs.ray.io/en/latest/serve/llm/user-guides/multi-lora.html)</w:t>
      </w:r>
    </w:p>
    <w:p>
      <w:pPr>
        <w:pStyle w:val="ListParagraph"/>
        <w:numPr>
          <w:ilvl w:val="0"/>
          <w:numId w:val="1"/>
        </w:numPr>
        <w:spacing w:after="100"/>
      </w:pPr>
      <w:r>
        <w:t xml:space="preserve">[LoRAuter: Task-Based Adapter Routing (arXiv)](https://arxiv.org/html/2601.21795v1)</w:t>
      </w:r>
    </w:p>
    <w:p>
      <w:pPr>
        <w:pStyle w:val="ListParagraph"/>
        <w:numPr>
          <w:ilvl w:val="0"/>
          <w:numId w:val="1"/>
        </w:numPr>
        <w:spacing w:after="100"/>
      </w:pPr>
      <w:r>
        <w:t xml:space="preserve">[Deploy Multi-LoRA Adapters (Anyscale)](https://docs.anyscale.com/llm/serving/multi-lora)</w:t>
      </w:r>
    </w:p>
    <w:p>
      <w:pPr>
        <w:pStyle w:val="Heading3"/>
        <w:spacing w:after="120" w:before="240"/>
        <w:outlineLvl w:val="2"/>
      </w:pPr>
      <w:r>
        <w:t xml:space="preserve">Synthetic Data &amp; Distillation</w:t>
      </w:r>
    </w:p>
    <w:p>
      <w:pPr>
        <w:pStyle w:val="ListParagraph"/>
        <w:numPr>
          <w:ilvl w:val="0"/>
          <w:numId w:val="1"/>
        </w:numPr>
        <w:spacing w:after="100"/>
      </w:pPr>
      <w:r>
        <w:t xml:space="preserve">[Synthetic Data Generation Using LLMs (arXiv 2503.14023)](https://arxiv.org/abs/2503.14023)</w:t>
      </w:r>
    </w:p>
    <w:p>
      <w:pPr>
        <w:pStyle w:val="ListParagraph"/>
        <w:numPr>
          <w:ilvl w:val="0"/>
          <w:numId w:val="1"/>
        </w:numPr>
        <w:spacing w:after="100"/>
      </w:pPr>
      <w:r>
        <w:t xml:space="preserve">[Synthetic Data for LLM Training (Neptune.ai)](https://neptune.ai/blog/synthetic-data-for-llm-training)</w:t>
      </w:r>
    </w:p>
    <w:p>
      <w:pPr>
        <w:pStyle w:val="ListParagraph"/>
        <w:numPr>
          <w:ilvl w:val="0"/>
          <w:numId w:val="1"/>
        </w:numPr>
        <w:spacing w:after="100"/>
      </w:pPr>
      <w:r>
        <w:t xml:space="preserve">[The LLM Data Auditor (arXiv)](https://arxiv.org/html/2601.17717v1)</w:t>
      </w:r>
    </w:p>
    <w:p>
      <w:pPr>
        <w:pStyle w:val="ListParagraph"/>
        <w:numPr>
          <w:ilvl w:val="0"/>
          <w:numId w:val="1"/>
        </w:numPr>
        <w:spacing w:after="100"/>
      </w:pPr>
      <w:r>
        <w:t xml:space="preserve">[LLM Distillation Playbook (Predibase GitHub)](https://github.com/predibase/llm_distillation_playbook)</w:t>
      </w:r>
    </w:p>
    <w:p>
      <w:pPr>
        <w:pStyle w:val="ListParagraph"/>
        <w:numPr>
          <w:ilvl w:val="0"/>
          <w:numId w:val="1"/>
        </w:numPr>
        <w:spacing w:after="100"/>
      </w:pPr>
      <w:r>
        <w:t xml:space="preserve">[Distilling Step-by-Step (Google Research)](https://research.google/blog/distilling-step-by-step-outperforming-larger-language-models-with-less-training-data-and-smaller-model-sizes/)</w:t>
      </w:r>
    </w:p>
    <w:p>
      <w:pPr>
        <w:pStyle w:val="ListParagraph"/>
        <w:numPr>
          <w:ilvl w:val="0"/>
          <w:numId w:val="1"/>
        </w:numPr>
        <w:spacing w:after="100"/>
      </w:pPr>
      <w:r>
        <w:t xml:space="preserve">[Distillation (Microsoft Azure AI)](https://techcommunity.microsoft.com/blog/azure-ai-foundry-blog/distillation-turning-smaller-models-into-high-performance-cost-effective-solutio/4355029)</w:t>
      </w:r>
    </w:p>
    <w:p>
      <w:pPr>
        <w:pStyle w:val="Heading3"/>
        <w:spacing w:after="120" w:before="240"/>
        <w:outlineLvl w:val="2"/>
      </w:pPr>
      <w:r>
        <w:t xml:space="preserve">DPO/RLHF</w:t>
      </w:r>
    </w:p>
    <w:p>
      <w:pPr>
        <w:pStyle w:val="ListParagraph"/>
        <w:numPr>
          <w:ilvl w:val="0"/>
          <w:numId w:val="1"/>
        </w:numPr>
        <w:spacing w:after="100"/>
      </w:pPr>
      <w:r>
        <w:t xml:space="preserve">[DPO: Your Language Model is Secretly a Reward Model (arXiv)](https://arxiv.org/abs/2305.18290)</w:t>
      </w:r>
    </w:p>
    <w:p>
      <w:pPr>
        <w:pStyle w:val="ListParagraph"/>
        <w:numPr>
          <w:ilvl w:val="0"/>
          <w:numId w:val="1"/>
        </w:numPr>
        <w:spacing w:after="100"/>
      </w:pPr>
      <w:r>
        <w:t xml:space="preserve">[Fine-Tuning with DPO Guide (OpenAI Cookbook)](https://developers.openai.com/cookbook/examples/fine_tuning_direct_preference_optimization_guide)</w:t>
      </w:r>
    </w:p>
    <w:p>
      <w:pPr>
        <w:pStyle w:val="ListParagraph"/>
        <w:numPr>
          <w:ilvl w:val="0"/>
          <w:numId w:val="1"/>
        </w:numPr>
        <w:spacing w:after="100"/>
      </w:pPr>
      <w:r>
        <w:t xml:space="preserve">[Fine-Tuning with DPO (Cerebras)](https://www.cerebras.ai/blog/fine-tuning-language-models-using-direct-preference-optimization)</w:t>
      </w:r>
    </w:p>
    <w:p>
      <w:pPr>
        <w:pStyle w:val="Heading3"/>
        <w:spacing w:after="120" w:before="240"/>
        <w:outlineLvl w:val="2"/>
      </w:pPr>
      <w:r>
        <w:t xml:space="preserve">RAG &amp; Retrieval</w:t>
      </w:r>
    </w:p>
    <w:p>
      <w:pPr>
        <w:pStyle w:val="ListParagraph"/>
        <w:numPr>
          <w:ilvl w:val="0"/>
          <w:numId w:val="1"/>
        </w:numPr>
        <w:spacing w:after="100"/>
      </w:pPr>
      <w:r>
        <w:t xml:space="preserve">[Best Chunking Strategies for RAG (Firecrawl)](https://www.firecrawl.dev/blog/best-chunking-strategies-rag)</w:t>
      </w:r>
    </w:p>
    <w:p>
      <w:pPr>
        <w:pStyle w:val="ListParagraph"/>
        <w:numPr>
          <w:ilvl w:val="0"/>
          <w:numId w:val="1"/>
        </w:numPr>
        <w:spacing w:after="100"/>
      </w:pPr>
      <w:r>
        <w:t xml:space="preserve">[Best Embedding Models for Financial RAG (Deep Right AI)](https://deeprightai.substack.com/p/best-embedding-models-for-financial)</w:t>
      </w:r>
    </w:p>
    <w:p>
      <w:pPr>
        <w:pStyle w:val="ListParagraph"/>
        <w:numPr>
          <w:ilvl w:val="0"/>
          <w:numId w:val="1"/>
        </w:numPr>
        <w:spacing w:after="100"/>
      </w:pPr>
      <w:r>
        <w:t xml:space="preserve">[Long-Context vs Retrieval &amp; Chunking in Finance RAG (Snowflake)](https://www.snowflake.com/en/engineering-blog/impact-retrieval-chunking-finance-rag/)</w:t>
      </w:r>
    </w:p>
    <w:p>
      <w:pPr>
        <w:pStyle w:val="ListParagraph"/>
        <w:numPr>
          <w:ilvl w:val="0"/>
          <w:numId w:val="1"/>
        </w:numPr>
        <w:spacing w:after="100"/>
      </w:pPr>
      <w:r>
        <w:t xml:space="preserve">[Hybrid Retrieval: Dense + Sparse Methods](https://mbrenndoerfer.com/writing/hybrid-retrieval-combining-sparse-dense-methods-effective-information-retrieval)</w:t>
      </w:r>
    </w:p>
    <w:p>
      <w:pPr>
        <w:pStyle w:val="ListParagraph"/>
        <w:numPr>
          <w:ilvl w:val="0"/>
          <w:numId w:val="1"/>
        </w:numPr>
        <w:spacing w:after="100"/>
      </w:pPr>
      <w:r>
        <w:t xml:space="preserve">[Privacy-Preserving Reranker for Enterprise Search (Springer)](https://link.springer.com/article/10.1007/s10791-026-09993-z)</w:t>
      </w:r>
    </w:p>
    <w:p>
      <w:pPr>
        <w:pStyle w:val="ListParagraph"/>
        <w:numPr>
          <w:ilvl w:val="0"/>
          <w:numId w:val="1"/>
        </w:numPr>
        <w:spacing w:after="100"/>
      </w:pPr>
      <w:r>
        <w:t xml:space="preserve">[Legal RAG with Summary Augmented Chunks (ACL 2025)](https://aclanthology.org/2025.nllp-1.3.pdf)</w:t>
      </w:r>
    </w:p>
    <w:p>
      <w:pPr>
        <w:pStyle w:val="Heading3"/>
        <w:spacing w:after="120" w:before="240"/>
        <w:outlineLvl w:val="2"/>
      </w:pPr>
      <w:r>
        <w:t xml:space="preserve">Document AI &amp; Metadata Extraction</w:t>
      </w:r>
    </w:p>
    <w:p>
      <w:pPr>
        <w:pStyle w:val="ListParagraph"/>
        <w:numPr>
          <w:ilvl w:val="0"/>
          <w:numId w:val="1"/>
        </w:numPr>
        <w:spacing w:after="100"/>
      </w:pPr>
      <w:r>
        <w:t xml:space="preserve">[Mining Financial Data from SEC Filings (LlamaIndex)](https://www.llamaindex.ai/blog/mining-financial-data-from-sec-filings-with-llamaextract)</w:t>
      </w:r>
    </w:p>
    <w:p>
      <w:pPr>
        <w:pStyle w:val="ListParagraph"/>
        <w:numPr>
          <w:ilvl w:val="0"/>
          <w:numId w:val="1"/>
        </w:numPr>
        <w:spacing w:after="100"/>
      </w:pPr>
      <w:r>
        <w:t xml:space="preserve">[AI Document Processing Guide 2025 (Unstract)](https://unstract.com/blog/ai-document-processing-with-unstract/)</w:t>
      </w:r>
    </w:p>
    <w:p>
      <w:pPr>
        <w:pStyle w:val="ListParagraph"/>
        <w:numPr>
          <w:ilvl w:val="0"/>
          <w:numId w:val="1"/>
        </w:numPr>
        <w:spacing w:after="100"/>
      </w:pPr>
      <w:r>
        <w:t xml:space="preserve">[LLMs for Financial Document Analysis (IntuitionLabs)](https://intuitionlabs.ai/articles/llm-financial-document-analysis)</w:t>
      </w:r>
    </w:p>
    <w:p>
      <w:pPr>
        <w:pStyle w:val="Heading3"/>
        <w:spacing w:after="120" w:before="240"/>
        <w:outlineLvl w:val="2"/>
      </w:pPr>
      <w:r>
        <w:t xml:space="preserve">Client-Side AI</w:t>
      </w:r>
    </w:p>
    <w:p>
      <w:pPr>
        <w:pStyle w:val="ListParagraph"/>
        <w:numPr>
          <w:ilvl w:val="0"/>
          <w:numId w:val="1"/>
        </w:numPr>
        <w:spacing w:after="100"/>
      </w:pPr>
      <w:r>
        <w:t xml:space="preserve">[WebLLM: High-Performance In-Browser LLM Inference (arXiv)](https://arxiv.org/abs/2412.15803)</w:t>
      </w:r>
    </w:p>
    <w:p>
      <w:pPr>
        <w:pStyle w:val="ListParagraph"/>
        <w:numPr>
          <w:ilvl w:val="0"/>
          <w:numId w:val="1"/>
        </w:numPr>
        <w:spacing w:after="100"/>
      </w:pPr>
      <w:r>
        <w:t xml:space="preserve">[WebGPU Browser AI Inference 2026](https://www.buildmvpfast.com/blog/webgpu-browser-ai-inference-cost-savings-2026)</w:t>
      </w:r>
    </w:p>
    <w:p>
      <w:pPr>
        <w:pStyle w:val="ListParagraph"/>
        <w:numPr>
          <w:ilvl w:val="0"/>
          <w:numId w:val="1"/>
        </w:numPr>
        <w:spacing w:after="100"/>
      </w:pPr>
      <w:r>
        <w:t xml:space="preserve">[3W for In-Browser AI: WebLLM + WASM + WebWorkers (Mozilla)](https://blog.mozilla.ai/3w-for-in-browser-ai-webllm-wasm-webworkers/)</w:t>
      </w:r>
    </w:p>
    <w:p>
      <w:pPr>
        <w:pStyle w:val="ListParagraph"/>
        <w:numPr>
          <w:ilvl w:val="0"/>
          <w:numId w:val="1"/>
        </w:numPr>
        <w:spacing w:after="100"/>
      </w:pPr>
      <w:r>
        <w:t xml:space="preserve">[Transformers.js v3: WebGPU Support (Hugging Face)](https://huggingface.co/blog/transformersjs-v3)</w:t>
      </w:r>
    </w:p>
    <w:p>
      <w:pPr>
        <w:pStyle w:val="ListParagraph"/>
        <w:numPr>
          <w:ilvl w:val="0"/>
          <w:numId w:val="1"/>
        </w:numPr>
        <w:spacing w:after="100"/>
      </w:pPr>
      <w:r>
        <w:t xml:space="preserve">[Transformers.js v4 + WebGPU (SwiftWand)](https://swiftwand.com/en/transformers-js-v4-webgpu-browser-ai-zero-server-cost/)</w:t>
      </w:r>
    </w:p>
    <w:p>
      <w:pPr>
        <w:pStyle w:val="ListParagraph"/>
        <w:numPr>
          <w:ilvl w:val="0"/>
          <w:numId w:val="1"/>
        </w:numPr>
        <w:spacing w:after="100"/>
      </w:pPr>
      <w:r>
        <w:t xml:space="preserve">[Building Browser-Based RAG with WebGPU (DEV)](https://dev.to/emanuelestrazzullo/building-a-browser-based-rag-system-with-webgpu-h2n)</w:t>
      </w:r>
    </w:p>
    <w:p>
      <w:pPr>
        <w:pStyle w:val="ListParagraph"/>
        <w:numPr>
          <w:ilvl w:val="0"/>
          <w:numId w:val="1"/>
        </w:numPr>
        <w:spacing w:after="100"/>
      </w:pPr>
      <w:r>
        <w:t xml:space="preserve">[Client-Side RAG: Knowledge Graphs in Browser (SitePoint)](https://www.sitepoint.com/client-side-rag-building-knowledge-graphs-in-the-browser-with-gitnexus/)</w:t>
      </w:r>
    </w:p>
    <w:p>
      <w:pPr>
        <w:pStyle w:val="Heading3"/>
        <w:spacing w:after="120" w:before="240"/>
        <w:outlineLvl w:val="2"/>
      </w:pPr>
      <w:r>
        <w:t xml:space="preserve">Evaluation</w:t>
      </w:r>
    </w:p>
    <w:p>
      <w:pPr>
        <w:pStyle w:val="ListParagraph"/>
        <w:numPr>
          <w:ilvl w:val="0"/>
          <w:numId w:val="1"/>
        </w:numPr>
        <w:spacing w:after="100"/>
      </w:pPr>
      <w:r>
        <w:t xml:space="preserve">[RAGAS: Automated Evaluation of RAG (arXiv)](https://arxiv.org/abs/2309.15217)</w:t>
      </w:r>
    </w:p>
    <w:p>
      <w:pPr>
        <w:pStyle w:val="ListParagraph"/>
        <w:numPr>
          <w:ilvl w:val="0"/>
          <w:numId w:val="1"/>
        </w:numPr>
        <w:spacing w:after="100"/>
      </w:pPr>
      <w:r>
        <w:t xml:space="preserve">[RAGAS Available Metrics](https://docs.ragas.io/en/stable/concepts/metrics/available_metrics/)</w:t>
      </w:r>
    </w:p>
    <w:p>
      <w:pPr>
        <w:pStyle w:val="ListParagraph"/>
        <w:numPr>
          <w:ilvl w:val="0"/>
          <w:numId w:val="1"/>
        </w:numPr>
        <w:spacing w:after="100"/>
      </w:pPr>
      <w:r>
        <w:t xml:space="preserve">[Evaluating RAG Systems in 2025 (Cohorte)](https://www.cohorte.co/blog/evaluating-rag-systems-in-2025-ragas-deep-dive-giskard-showdown-and-the-future-of-context)</w:t>
      </w:r>
    </w:p>
    <w:p>
      <w:pPr>
        <w:pStyle w:val="ListParagraph"/>
        <w:numPr>
          <w:ilvl w:val="0"/>
          <w:numId w:val="1"/>
        </w:numPr>
        <w:spacing w:after="100"/>
      </w:pPr>
      <w:r>
        <w:t xml:space="preserve">[Benchmarking Hallucination Detection in RAG (CleanLab)](https://cleanlab.ai/blog/rag-tlm-hallucination-benchmarking/)</w:t>
      </w:r>
    </w:p>
    <w:p>
      <w:pPr>
        <w:pStyle w:val="ListParagraph"/>
        <w:numPr>
          <w:ilvl w:val="0"/>
          <w:numId w:val="1"/>
        </w:numPr>
        <w:spacing w:after="100"/>
      </w:pPr>
      <w:r>
        <w:t xml:space="preserve">[Real-Time Evaluation Models for RAG (arXiv)](https://arxiv.org/abs/2503.21157)</w:t>
      </w:r>
    </w:p>
    <w:p>
      <w:pPr>
        <w:pStyle w:val="Heading3"/>
        <w:spacing w:after="120" w:before="240"/>
        <w:outlineLvl w:val="2"/>
      </w:pPr>
      <w:r>
        <w:t xml:space="preserve">Competitive Intelligence</w:t>
      </w:r>
    </w:p>
    <w:p>
      <w:pPr>
        <w:pStyle w:val="ListParagraph"/>
        <w:numPr>
          <w:ilvl w:val="0"/>
          <w:numId w:val="1"/>
        </w:numPr>
        <w:spacing w:after="100"/>
      </w:pPr>
      <w:r>
        <w:t xml:space="preserve">[Harvey AI Review 2025 (Purple Law)](https://purple.law/blog/harvey-ai-review-2025/)</w:t>
      </w:r>
    </w:p>
    <w:p>
      <w:pPr>
        <w:pStyle w:val="ListParagraph"/>
        <w:numPr>
          <w:ilvl w:val="0"/>
          <w:numId w:val="1"/>
        </w:numPr>
        <w:spacing w:after="100"/>
      </w:pPr>
      <w:r>
        <w:t xml:space="preserve">[Harvey: Scaling Domain-Specific AI (ComplexDiscovery)](https://complexdiscovery.com/lessons-from-slush-2025-how-harvey-is-scaling-domain-specific-ai-for-legal-and-beyond/)</w:t>
      </w:r>
    </w:p>
    <w:p>
      <w:pPr>
        <w:pStyle w:val="ListParagraph"/>
        <w:numPr>
          <w:ilvl w:val="0"/>
          <w:numId w:val="1"/>
        </w:numPr>
        <w:spacing w:after="100"/>
      </w:pPr>
      <w:r>
        <w:t xml:space="preserve">[Expanding Harvey's Model Offerings](https://www.harvey.ai/blog/expanding-harveys-model-offerings)</w:t>
      </w:r>
    </w:p>
    <w:p>
      <w:pPr>
        <w:pStyle w:val="ListParagraph"/>
        <w:numPr>
          <w:ilvl w:val="0"/>
          <w:numId w:val="1"/>
        </w:numPr>
        <w:spacing w:after="100"/>
      </w:pPr>
      <w:r>
        <w:t xml:space="preserve">[AlphaSense Platform Review (IntuitionLabs)](https://intuitionlabs.ai/articles/alphasense-platform-review)</w:t>
      </w:r>
    </w:p>
    <w:p>
      <w:pPr>
        <w:pStyle w:val="ListParagraph"/>
        <w:numPr>
          <w:ilvl w:val="0"/>
          <w:numId w:val="1"/>
        </w:numPr>
        <w:spacing w:after="100"/>
      </w:pPr>
      <w:r>
        <w:t xml:space="preserve">[AlphaSense Product Releases 2025](https://www.alpha-sense.com/resources/product-articles/product-releases-2025/)</w:t>
      </w:r>
    </w:p>
    <w:p>
      <w:pPr>
        <w:pStyle w:val="ListParagraph"/>
        <w:numPr>
          <w:ilvl w:val="0"/>
          <w:numId w:val="1"/>
        </w:numPr>
        <w:spacing w:after="100"/>
      </w:pPr>
      <w:r>
        <w:t xml:space="preserve">[InstructLab: Open Source Generative AI (Red Hat)](https://developers.redhat.com/articles/2024/05/07/instructlab-open-source-generative-ai)</w:t>
      </w:r>
    </w:p>
    <w:p>
      <w:pPr>
        <w:pStyle w:val="ListParagraph"/>
        <w:numPr>
          <w:ilvl w:val="0"/>
          <w:numId w:val="1"/>
        </w:numPr>
        <w:spacing w:after="100"/>
      </w:pPr>
      <w:r>
        <w:t xml:space="preserve">[InstructLab Synthetic Data for LLM Fine-Tuning (InfoQ)](https://www.infoq.com/news/2025/03/llm-finetuning-synthetic-data/)</w:t>
      </w:r>
    </w:p>
    <w:p>
      <w:pPr>
        <w:pageBreakBefore/>
      </w:pPr>
    </w:p>
    <w:p>
      <w:pPr>
        <w:pStyle w:val="Heading1"/>
        <w:spacing w:after="120" w:before="240"/>
        <w:outlineLvl w:val="0"/>
      </w:pPr>
      <w:r>
        <w:t xml:space="preserve">Part 3: Product, Security &amp; Codebase Improvements</w:t>
      </w:r>
    </w:p>
    <w:p>
      <w:pPr>
        <w:pStyle w:val="Heading1"/>
        <w:spacing w:after="120" w:before="240"/>
        <w:outlineLvl w:val="0"/>
      </w:pPr>
      <w:r>
        <w:t xml:space="preserve">Arkova Security &amp; Infrastructure Improvement Strategy</w:t>
      </w:r>
    </w:p>
    <w:p>
      <w:pPr>
        <w:spacing w:after="120"/>
      </w:pPr>
      <w:r>
        <w:rPr>
          <w:rFonts w:ascii="Arial" w:cs="Arial" w:eastAsia="Arial" w:hAnsi="Arial"/>
          <w:b/>
          <w:bCs/>
        </w:rPr>
        <w:t xml:space="preserve">Date:</w:t>
      </w:r>
      <w:r>
        <w:rPr>
          <w:rFonts w:ascii="Arial" w:cs="Arial" w:eastAsia="Arial" w:hAnsi="Arial"/>
        </w:rPr>
        <w:t xml:space="preserve"> March 24, 2026</w:t>
      </w:r>
    </w:p>
    <w:p>
      <w:pPr>
        <w:spacing w:after="120"/>
      </w:pPr>
      <w:r>
        <w:rPr>
          <w:rFonts w:ascii="Arial" w:cs="Arial" w:eastAsia="Arial" w:hAnsi="Arial"/>
          <w:b/>
          <w:bCs/>
        </w:rPr>
        <w:t xml:space="preserve">Scope:</w:t>
      </w:r>
      <w:r>
        <w:rPr>
          <w:rFonts w:ascii="Arial" w:cs="Arial" w:eastAsia="Arial" w:hAnsi="Arial"/>
        </w:rPr>
        <w:t xml:space="preserve"> Developer forums, GitHub repos, and technical community research across 10 domains</w:t>
      </w:r>
    </w:p>
    <w:p>
      <w:pPr>
        <w:spacing w:after="120"/>
      </w:pPr>
      <w:r>
        <w:rPr>
          <w:rFonts w:ascii="Arial" w:cs="Arial" w:eastAsia="Arial" w:hAnsi="Arial"/>
          <w:b/>
          <w:bCs/>
        </w:rPr>
        <w:t xml:space="preserve">Stack:</w:t>
      </w:r>
      <w:r>
        <w:rPr>
          <w:rFonts w:ascii="Arial" w:cs="Arial" w:eastAsia="Arial" w:hAnsi="Arial"/>
        </w:rPr>
        <w:t xml:space="preserve"> React 18 + TypeScript + Vite + Tailwind + shadcn/ui | Supabase (Postgres + Auth + RLS) | Node.js Express | Stripe + x402 (USDC/Base) | bitcoinjs-lib + AWS KMS | Cloudflare Tunnel + Workers | Sentry | Vitest + Playwright</w:t>
      </w:r>
    </w:p>
    <w:p>
      <w:pPr>
        <w:pStyle w:val="Heading2"/>
        <w:spacing w:after="120" w:before="240"/>
        <w:outlineLvl w:val="1"/>
      </w:pPr>
      <w:r>
        <w:t xml:space="preserve">Executive Summary</w:t>
      </w:r>
    </w:p>
    <w:p>
      <w:pPr>
        <w:spacing w:after="120"/>
      </w:pPr>
      <w:r>
        <w:rPr>
          <w:rFonts w:ascii="Arial" w:cs="Arial" w:eastAsia="Arial" w:hAnsi="Arial"/>
        </w:rPr>
        <w:t xml:space="preserve">This document consolidates actionable findings from across the security and developer community targeting Arkova's specific stack and architecture. Findings are organized by priority and effort, with direct applicability to Arkova's non-custodial compliance infrastructure.</w:t>
      </w:r>
    </w:p>
    <w:p>
      <w:pPr>
        <w:spacing w:after="120"/>
      </w:pPr>
      <w:r>
        <w:rPr>
          <w:rFonts w:ascii="Arial" w:cs="Arial" w:eastAsia="Arial" w:hAnsi="Arial"/>
          <w:b/>
          <w:bCs/>
        </w:rPr>
        <w:t xml:space="preserve">Critical findings requiring immediate action:</w:t>
      </w:r>
    </w:p>
    <w:p>
      <w:pPr>
        <w:pStyle w:val="ListParagraph"/>
        <w:numPr>
          <w:ilvl w:val="0"/>
          <w:numId w:val="1"/>
        </w:numPr>
        <w:spacing w:after="100"/>
      </w:pPr>
      <w:r>
        <w:t xml:space="preserve">CVE-2025-8713: PostgreSQL RLS bypass via optimizer statistics</w:t>
      </w:r>
    </w:p>
    <w:p>
      <w:pPr>
        <w:pStyle w:val="ListParagraph"/>
        <w:numPr>
          <w:ilvl w:val="0"/>
          <w:numId w:val="1"/>
        </w:numPr>
        <w:spacing w:after="100"/>
      </w:pPr>
      <w:r>
        <w:t xml:space="preserve">Vite dev server file disclosure (CVE-2025-31125, CVE-2025-30208, CVE-2025-32395)</w:t>
      </w:r>
    </w:p>
    <w:p>
      <w:pPr>
        <w:pStyle w:val="ListParagraph"/>
        <w:numPr>
          <w:ilvl w:val="0"/>
          <w:numId w:val="1"/>
        </w:numPr>
        <w:spacing w:after="100"/>
      </w:pPr>
      <w:r>
        <w:t xml:space="preserve">GitHub Actions supply chain attacks (tj-actions, trivy-action compromises)</w:t>
      </w:r>
    </w:p>
    <w:p>
      <w:pPr>
        <w:pStyle w:val="ListParagraph"/>
        <w:numPr>
          <w:ilvl w:val="0"/>
          <w:numId w:val="1"/>
        </w:numPr>
        <w:spacing w:after="100"/>
      </w:pPr>
      <w:r>
        <w:t xml:space="preserve">Service role key exposure risk (170+ Supabase apps breached in 2025)</w:t>
      </w:r>
    </w:p>
    <w:p>
      <w:pPr>
        <w:pStyle w:val="ListParagraph"/>
        <w:numPr>
          <w:ilvl w:val="0"/>
          <w:numId w:val="1"/>
        </w:numPr>
        <w:spacing w:after="100"/>
      </w:pPr>
      <w:r>
        <w:t xml:space="preserve">USDC finality windows on Base affecting payment reconciliation</w:t>
      </w:r>
    </w:p>
    <w:p>
      <w:pPr>
        <w:pStyle w:val="Heading2"/>
        <w:spacing w:after="120" w:before="240"/>
        <w:outlineLvl w:val="1"/>
      </w:pPr>
      <w:r>
        <w:t xml:space="preserve">1. Supabase / Postgres Security</w:t>
      </w:r>
    </w:p>
    <w:p>
      <w:pPr>
        <w:pStyle w:val="Heading3"/>
        <w:spacing w:after="120" w:before="240"/>
        <w:outlineLvl w:val="2"/>
      </w:pPr>
      <w:r>
        <w:t xml:space="preserve">1.1 CVE-2025-8713: PostgreSQL Optimizer Statistics RLS Bypass</w:t>
      </w:r>
    </w:p>
    <w:p>
      <w:pPr>
        <w:spacing w:after="120"/>
      </w:pPr>
      <w:r>
        <w:rPr>
          <w:rFonts w:ascii="Arial" w:cs="Arial" w:eastAsia="Arial" w:hAnsi="Arial"/>
          <w:b/>
          <w:bCs/>
        </w:rPr>
        <w:t xml:space="preserve">Priority:</w:t>
      </w:r>
      <w:r>
        <w:rPr>
          <w:rFonts w:ascii="Arial" w:cs="Arial" w:eastAsia="Arial" w:hAnsi="Arial"/>
        </w:rPr>
        <w:t xml:space="preserve"> CRITICAL | </w:t>
      </w:r>
      <w:r>
        <w:rPr>
          <w:rFonts w:ascii="Arial" w:cs="Arial" w:eastAsia="Arial" w:hAnsi="Arial"/>
          <w:b/>
          <w:bCs/>
        </w:rPr>
        <w:t xml:space="preserve">Effort:</w:t>
      </w:r>
      <w:r>
        <w:rPr>
          <w:rFonts w:ascii="Arial" w:cs="Arial" w:eastAsia="Arial" w:hAnsi="Arial"/>
        </w:rPr>
        <w:t xml:space="preserve"> S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PostgreSQL Security Advisory</w:t>
      </w:r>
    </w:p>
    <w:p>
      <w:pPr>
        <w:spacing w:after="120"/>
      </w:pPr>
      <w:r>
        <w:rPr>
          <w:rFonts w:ascii="Arial" w:cs="Arial" w:eastAsia="Arial" w:hAnsi="Arial"/>
        </w:rPr>
        <w:t xml:space="preserve">PostgreSQL versions before 17.6, 16.10, 15.14, 14.19, and 13.22 allow attackers to extract sampled data from RLS-protected tables via crafted leaky operators against optimizer statistics. With FORCE ROW LEVEL SECURITY on all 107 migrations, Arkova has a large RLS attack surface.</w:t>
      </w:r>
    </w:p>
    <w:p>
      <w:pPr>
        <w:spacing w:after="120"/>
      </w:pPr>
      <w:r>
        <w:rPr>
          <w:rFonts w:ascii="Arial" w:cs="Arial" w:eastAsia="Arial" w:hAnsi="Arial"/>
          <w:b/>
          <w:bCs/>
        </w:rPr>
        <w:t xml:space="preserve">Action:</w:t>
      </w:r>
      <w:r>
        <w:rPr>
          <w:rFonts w:ascii="Arial" w:cs="Arial" w:eastAsia="Arial" w:hAnsi="Arial"/>
        </w:rPr>
        <w:t xml:space="preserve"> Verify Postgres version immediately. Upgrade to patched version.</w:t>
      </w:r>
    </w:p>
    <w:p>
      <w:pPr>
        <w:shd w:fill="F5F5F5" w:val="clear"/>
        <w:spacing w:after="120" w:before="120"/>
      </w:pPr>
      <w:r>
        <w:t xml:space="preserve">SELECT version();
-- Must be &gt;= 17.6, 16.10, 15.14, 14.19, or 13.22</w:t>
      </w:r>
    </w:p>
    <w:p>
      <w:pPr>
        <w:pStyle w:val="Heading3"/>
        <w:spacing w:after="120" w:before="240"/>
        <w:outlineLvl w:val="2"/>
      </w:pPr>
      <w:r>
        <w:t xml:space="preserve">1.2 Service Role Key Exposure (170+ Apps Compromised)</w:t>
      </w:r>
    </w:p>
    <w:p>
      <w:pPr>
        <w:spacing w:after="120"/>
      </w:pPr>
      <w:r>
        <w:rPr>
          <w:rFonts w:ascii="Arial" w:cs="Arial" w:eastAsia="Arial" w:hAnsi="Arial"/>
          <w:b/>
          <w:bCs/>
        </w:rPr>
        <w:t xml:space="preserve">Priority:</w:t>
      </w:r>
      <w:r>
        <w:rPr>
          <w:rFonts w:ascii="Arial" w:cs="Arial" w:eastAsia="Arial" w:hAnsi="Arial"/>
        </w:rPr>
        <w:t xml:space="preserve"> CRITICAL | </w:t>
      </w:r>
      <w:r>
        <w:rPr>
          <w:rFonts w:ascii="Arial" w:cs="Arial" w:eastAsia="Arial" w:hAnsi="Arial"/>
          <w:b/>
          <w:bCs/>
        </w:rPr>
        <w:t xml:space="preserve">Effort:</w:t>
      </w:r>
      <w:r>
        <w:rPr>
          <w:rFonts w:ascii="Arial" w:cs="Arial" w:eastAsia="Arial" w:hAnsi="Arial"/>
        </w:rPr>
        <w:t xml:space="preserve"> M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Supabase Security 2025 Retro</w:t>
      </w:r>
    </w:p>
    <w:p>
      <w:pPr>
        <w:spacing w:after="120"/>
      </w:pPr>
      <w:r>
        <w:rPr>
          <w:rFonts w:ascii="Arial" w:cs="Arial" w:eastAsia="Arial" w:hAnsi="Arial"/>
        </w:rPr>
        <w:t xml:space="preserve">Service role keys provide complete RLS bypass. 170+ applications were compromised via exposed keys in 2025 (CVE-2025-48757). AI coding assistants with service role access can leak entire databases through prompt injection.</w:t>
      </w:r>
    </w:p>
    <w:p>
      <w:pPr>
        <w:spacing w:after="120"/>
      </w:pPr>
      <w:r>
        <w:rPr>
          <w:rFonts w:ascii="Arial" w:cs="Arial" w:eastAsia="Arial" w:hAnsi="Arial"/>
          <w:b/>
          <w:bCs/>
        </w:rPr>
        <w:t xml:space="preserve">Action:</w:t>
      </w:r>
    </w:p>
    <w:p>
      <w:pPr>
        <w:shd w:fill="F5F5F5" w:val="clear"/>
        <w:spacing w:after="120" w:before="120"/>
      </w:pPr>
      <w:r>
        <w:t xml:space="preserve"># Audit for exposed keys in git history
git log --all --source --remotes -S "eyJhbGciOiJIUzI1NiIsInR5cCI6IkpXVCJ9" --oneline
# Check environment variable exposure
grep -r "SUPABASE_SERVICE_ROLE_KEY" . --include="*.js" --include="*.ts" --include="*.tsx"</w:t>
      </w:r>
    </w:p>
    <w:p>
      <w:pPr>
        <w:spacing w:after="120"/>
      </w:pPr>
      <w:r>
        <w:rPr>
          <w:rFonts w:ascii="Arial" w:cs="Arial" w:eastAsia="Arial" w:hAnsi="Arial"/>
        </w:rPr>
        <w:t xml:space="preserve">Rotate keys via Supabase Dashboard &gt; Project Settings &gt; API. Store in AWS Secrets Manager.</w:t>
      </w:r>
    </w:p>
    <w:p>
      <w:pPr>
        <w:pStyle w:val="Heading3"/>
        <w:spacing w:after="120" w:before="240"/>
        <w:outlineLvl w:val="2"/>
      </w:pPr>
      <w:r>
        <w:t xml:space="preserve">1.3 RLS Policy USING vs WITH CHECK Mismatches</w:t>
      </w:r>
    </w:p>
    <w:p>
      <w:pPr>
        <w:spacing w:after="120"/>
      </w:pPr>
      <w:r>
        <w:rPr>
          <w:rFonts w:ascii="Arial" w:cs="Arial" w:eastAsia="Arial" w:hAnsi="Arial"/>
          <w:b/>
          <w:bCs/>
        </w:rPr>
        <w:t xml:space="preserve">Priority:</w:t>
      </w:r>
      <w:r>
        <w:rPr>
          <w:rFonts w:ascii="Arial" w:cs="Arial" w:eastAsia="Arial" w:hAnsi="Arial"/>
        </w:rPr>
        <w:t xml:space="preserve"> HIGH | </w:t>
      </w:r>
      <w:r>
        <w:rPr>
          <w:rFonts w:ascii="Arial" w:cs="Arial" w:eastAsia="Arial" w:hAnsi="Arial"/>
          <w:b/>
          <w:bCs/>
        </w:rPr>
        <w:t xml:space="preserve">Effort:</w:t>
      </w:r>
      <w:r>
        <w:rPr>
          <w:rFonts w:ascii="Arial" w:cs="Arial" w:eastAsia="Arial" w:hAnsi="Arial"/>
        </w:rPr>
        <w:t xml:space="preserve"> M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ByteBase RLS Footguns</w:t>
      </w:r>
    </w:p>
    <w:p>
      <w:pPr>
        <w:spacing w:after="120"/>
      </w:pPr>
      <w:r>
        <w:rPr>
          <w:rFonts w:ascii="Arial" w:cs="Arial" w:eastAsia="Arial" w:hAnsi="Arial"/>
        </w:rPr>
        <w:t xml:space="preserve">Policies with only WITH CHECK (missing USING) allow users to INSERT data they cannot SELECT, creating data leaks.</w:t>
      </w:r>
    </w:p>
    <w:p>
      <w:pPr>
        <w:spacing w:after="120"/>
      </w:pPr>
      <w:r>
        <w:rPr>
          <w:rFonts w:ascii="Arial" w:cs="Arial" w:eastAsia="Arial" w:hAnsi="Arial"/>
          <w:b/>
          <w:bCs/>
        </w:rPr>
        <w:t xml:space="preserve">Action:</w:t>
      </w:r>
    </w:p>
    <w:p>
      <w:pPr>
        <w:shd w:fill="F5F5F5" w:val="clear"/>
        <w:spacing w:after="120" w:before="120"/>
      </w:pPr>
      <w:r>
        <w:t xml:space="preserve">-- Find policies with asymmetric clauses
SELECT schemaname, tablename, policyname,
  qual IS NOT NULL as has_using,
  with_check IS NOT NULL as has_with_check
FROM pg_policies
WHERE schemaname = 'public'
  AND (qual IS NULL OR with_check IS NULL);</w:t>
      </w:r>
    </w:p>
    <w:p>
      <w:pPr>
        <w:pStyle w:val="Heading3"/>
        <w:spacing w:after="120" w:before="240"/>
        <w:outlineLvl w:val="2"/>
      </w:pPr>
      <w:r>
        <w:t xml:space="preserve">1.4 View SECURITY DEFINER Bypass</w:t>
      </w:r>
    </w:p>
    <w:p>
      <w:pPr>
        <w:spacing w:after="120"/>
      </w:pPr>
      <w:r>
        <w:rPr>
          <w:rFonts w:ascii="Arial" w:cs="Arial" w:eastAsia="Arial" w:hAnsi="Arial"/>
          <w:b/>
          <w:bCs/>
        </w:rPr>
        <w:t xml:space="preserve">Priority:</w:t>
      </w:r>
      <w:r>
        <w:rPr>
          <w:rFonts w:ascii="Arial" w:cs="Arial" w:eastAsia="Arial" w:hAnsi="Arial"/>
        </w:rPr>
        <w:t xml:space="preserve"> HIGH | </w:t>
      </w:r>
      <w:r>
        <w:rPr>
          <w:rFonts w:ascii="Arial" w:cs="Arial" w:eastAsia="Arial" w:hAnsi="Arial"/>
          <w:b/>
          <w:bCs/>
        </w:rPr>
        <w:t xml:space="preserve">Effort:</w:t>
      </w:r>
      <w:r>
        <w:rPr>
          <w:rFonts w:ascii="Arial" w:cs="Arial" w:eastAsia="Arial" w:hAnsi="Arial"/>
        </w:rPr>
        <w:t xml:space="preserve"> M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Cybertec PostgreSQL RLS Views</w:t>
      </w:r>
    </w:p>
    <w:p>
      <w:pPr>
        <w:spacing w:after="120"/>
      </w:pPr>
      <w:r>
        <w:rPr>
          <w:rFonts w:ascii="Arial" w:cs="Arial" w:eastAsia="Arial" w:hAnsi="Arial"/>
        </w:rPr>
        <w:t xml:space="preserve">Views created with SECURITY DEFINER (the default) bypass RLS on underlying tables. Postgres 15+ provides SECURITY INVOKER.</w:t>
      </w:r>
    </w:p>
    <w:p>
      <w:pPr>
        <w:spacing w:after="120"/>
      </w:pPr>
      <w:r>
        <w:rPr>
          <w:rFonts w:ascii="Arial" w:cs="Arial" w:eastAsia="Arial" w:hAnsi="Arial"/>
          <w:b/>
          <w:bCs/>
        </w:rPr>
        <w:t xml:space="preserve">Action:</w:t>
      </w:r>
      <w:r>
        <w:rPr>
          <w:rFonts w:ascii="Arial" w:cs="Arial" w:eastAsia="Arial" w:hAnsi="Arial"/>
        </w:rPr>
        <w:t xml:space="preserve"> Audit all views and recreate with </w:t>
      </w:r>
      <w:r>
        <w:rPr>
          <w:rFonts w:ascii="Courier New" w:cs="Courier New" w:eastAsia="Courier New" w:hAnsi="Courier New"/>
          <w:shd w:fill="F5F5F5" w:val="clear"/>
        </w:rPr>
        <w:t xml:space="preserve">WITH (security_invoker)</w:t>
      </w:r>
      <w:r>
        <w:rPr>
          <w:rFonts w:ascii="Arial" w:cs="Arial" w:eastAsia="Arial" w:hAnsi="Arial"/>
        </w:rPr>
        <w:t xml:space="preserve">.</w:t>
      </w:r>
    </w:p>
    <w:p>
      <w:pPr>
        <w:pStyle w:val="Heading3"/>
        <w:spacing w:after="120" w:before="240"/>
        <w:outlineLvl w:val="2"/>
      </w:pPr>
      <w:r>
        <w:t xml:space="preserve">1.5 Connection Pooling Session Variable Leaks</w:t>
      </w:r>
    </w:p>
    <w:p>
      <w:pPr>
        <w:spacing w:after="120"/>
      </w:pPr>
      <w:r>
        <w:rPr>
          <w:rFonts w:ascii="Arial" w:cs="Arial" w:eastAsia="Arial" w:hAnsi="Arial"/>
          <w:b/>
          <w:bCs/>
        </w:rPr>
        <w:t xml:space="preserve">Priority:</w:t>
      </w:r>
      <w:r>
        <w:rPr>
          <w:rFonts w:ascii="Arial" w:cs="Arial" w:eastAsia="Arial" w:hAnsi="Arial"/>
        </w:rPr>
        <w:t xml:space="preserve"> CRITICAL (if using transaction pooling) | </w:t>
      </w:r>
      <w:r>
        <w:rPr>
          <w:rFonts w:ascii="Arial" w:cs="Arial" w:eastAsia="Arial" w:hAnsi="Arial"/>
          <w:b/>
          <w:bCs/>
        </w:rPr>
        <w:t xml:space="preserve">Effort:</w:t>
      </w:r>
      <w:r>
        <w:rPr>
          <w:rFonts w:ascii="Arial" w:cs="Arial" w:eastAsia="Arial" w:hAnsi="Arial"/>
        </w:rPr>
        <w:t xml:space="preserve"> M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CitusData pgBouncer Session Vars</w:t>
      </w:r>
    </w:p>
    <w:p>
      <w:pPr>
        <w:spacing w:after="120"/>
      </w:pPr>
      <w:r>
        <w:rPr>
          <w:rFonts w:ascii="Arial" w:cs="Arial" w:eastAsia="Arial" w:hAnsi="Arial"/>
        </w:rPr>
        <w:t xml:space="preserve">pgBouncer in transaction pooling mode can leak RLS session variables between connections. Use </w:t>
      </w:r>
      <w:r>
        <w:rPr>
          <w:rFonts w:ascii="Courier New" w:cs="Courier New" w:eastAsia="Courier New" w:hAnsi="Courier New"/>
          <w:shd w:fill="F5F5F5" w:val="clear"/>
        </w:rPr>
        <w:t xml:space="preserve">SET LOCAL</w:t>
      </w:r>
      <w:r>
        <w:rPr>
          <w:rFonts w:ascii="Arial" w:cs="Arial" w:eastAsia="Arial" w:hAnsi="Arial"/>
        </w:rPr>
        <w:t xml:space="preserve"> (not </w:t>
      </w:r>
      <w:r>
        <w:rPr>
          <w:rFonts w:ascii="Courier New" w:cs="Courier New" w:eastAsia="Courier New" w:hAnsi="Courier New"/>
          <w:shd w:fill="F5F5F5" w:val="clear"/>
        </w:rPr>
        <w:t xml:space="preserve">SET</w:t>
      </w:r>
      <w:r>
        <w:rPr>
          <w:rFonts w:ascii="Arial" w:cs="Arial" w:eastAsia="Arial" w:hAnsi="Arial"/>
        </w:rPr>
        <w:t xml:space="preserve">) to scope variables to transactions.</w:t>
      </w:r>
    </w:p>
    <w:p>
      <w:pPr>
        <w:pStyle w:val="Heading3"/>
        <w:spacing w:after="120" w:before="240"/>
        <w:outlineLvl w:val="2"/>
      </w:pPr>
      <w:r>
        <w:t xml:space="preserve">1.6 Untrusted JWT Claims in RLS Policies</w:t>
      </w:r>
    </w:p>
    <w:p>
      <w:pPr>
        <w:spacing w:after="120"/>
      </w:pPr>
      <w:r>
        <w:rPr>
          <w:rFonts w:ascii="Arial" w:cs="Arial" w:eastAsia="Arial" w:hAnsi="Arial"/>
          <w:b/>
          <w:bCs/>
        </w:rPr>
        <w:t xml:space="preserve">Priority:</w:t>
      </w:r>
      <w:r>
        <w:rPr>
          <w:rFonts w:ascii="Arial" w:cs="Arial" w:eastAsia="Arial" w:hAnsi="Arial"/>
        </w:rPr>
        <w:t xml:space="preserve"> HIGH | </w:t>
      </w:r>
      <w:r>
        <w:rPr>
          <w:rFonts w:ascii="Arial" w:cs="Arial" w:eastAsia="Arial" w:hAnsi="Arial"/>
          <w:b/>
          <w:bCs/>
        </w:rPr>
        <w:t xml:space="preserve">Effort:</w:t>
      </w:r>
      <w:r>
        <w:rPr>
          <w:rFonts w:ascii="Arial" w:cs="Arial" w:eastAsia="Arial" w:hAnsi="Arial"/>
        </w:rPr>
        <w:t xml:space="preserve"> M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Supabase Security Discussion</w:t>
      </w:r>
    </w:p>
    <w:p>
      <w:pPr>
        <w:spacing w:after="120"/>
      </w:pPr>
      <w:r>
        <w:rPr>
          <w:rFonts w:ascii="Courier New" w:cs="Courier New" w:eastAsia="Courier New" w:hAnsi="Courier New"/>
          <w:shd w:fill="F5F5F5" w:val="clear"/>
        </w:rPr>
        <w:t xml:space="preserve">user_metadata</w:t>
      </w:r>
      <w:r>
        <w:rPr>
          <w:rFonts w:ascii="Arial" w:cs="Arial" w:eastAsia="Arial" w:hAnsi="Arial"/>
        </w:rPr>
        <w:t xml:space="preserve"> in JWT can be modified by authenticated end users. Only trust </w:t>
      </w:r>
      <w:r>
        <w:rPr>
          <w:rFonts w:ascii="Courier New" w:cs="Courier New" w:eastAsia="Courier New" w:hAnsi="Courier New"/>
          <w:shd w:fill="F5F5F5" w:val="clear"/>
        </w:rPr>
        <w:t xml:space="preserve">sub</w:t>
      </w:r>
      <w:r>
        <w:rPr>
          <w:rFonts w:ascii="Arial" w:cs="Arial" w:eastAsia="Arial" w:hAnsi="Arial"/>
        </w:rPr>
        <w:t xml:space="preserve">, </w:t>
      </w:r>
      <w:r>
        <w:rPr>
          <w:rFonts w:ascii="Courier New" w:cs="Courier New" w:eastAsia="Courier New" w:hAnsi="Courier New"/>
          <w:shd w:fill="F5F5F5" w:val="clear"/>
        </w:rPr>
        <w:t xml:space="preserve">role</w:t>
      </w:r>
      <w:r>
        <w:rPr>
          <w:rFonts w:ascii="Arial" w:cs="Arial" w:eastAsia="Arial" w:hAnsi="Arial"/>
        </w:rPr>
        <w:t xml:space="preserve">, and use </w:t>
      </w:r>
      <w:r>
        <w:rPr>
          <w:rFonts w:ascii="Courier New" w:cs="Courier New" w:eastAsia="Courier New" w:hAnsi="Courier New"/>
          <w:shd w:fill="F5F5F5" w:val="clear"/>
        </w:rPr>
        <w:t xml:space="preserve">auth.uid()</w:t>
      </w:r>
      <w:r>
        <w:rPr>
          <w:rFonts w:ascii="Arial" w:cs="Arial" w:eastAsia="Arial" w:hAnsi="Arial"/>
        </w:rPr>
        <w:t xml:space="preserve"> in policies.</w:t>
      </w:r>
    </w:p>
    <w:p>
      <w:pPr>
        <w:pStyle w:val="Heading3"/>
        <w:spacing w:after="120" w:before="240"/>
        <w:outlineLvl w:val="2"/>
      </w:pPr>
      <w:r>
        <w:t xml:space="preserve">1.7 SSRF via HTTP Extension</w:t>
      </w:r>
    </w:p>
    <w:p>
      <w:pPr>
        <w:spacing w:after="120"/>
      </w:pPr>
      <w:r>
        <w:rPr>
          <w:rFonts w:ascii="Arial" w:cs="Arial" w:eastAsia="Arial" w:hAnsi="Arial"/>
          <w:b/>
          <w:bCs/>
        </w:rPr>
        <w:t xml:space="preserve">Priority:</w:t>
      </w:r>
      <w:r>
        <w:rPr>
          <w:rFonts w:ascii="Arial" w:cs="Arial" w:eastAsia="Arial" w:hAnsi="Arial"/>
        </w:rPr>
        <w:t xml:space="preserve"> CRITICAL | </w:t>
      </w:r>
      <w:r>
        <w:rPr>
          <w:rFonts w:ascii="Arial" w:cs="Arial" w:eastAsia="Arial" w:hAnsi="Arial"/>
          <w:b/>
          <w:bCs/>
        </w:rPr>
        <w:t xml:space="preserve">Effort:</w:t>
      </w:r>
      <w:r>
        <w:rPr>
          <w:rFonts w:ascii="Arial" w:cs="Arial" w:eastAsia="Arial" w:hAnsi="Arial"/>
        </w:rPr>
        <w:t xml:space="preserve"> S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Supabase 2025 Security Guide</w:t>
      </w:r>
    </w:p>
    <w:p>
      <w:pPr>
        <w:spacing w:after="120"/>
      </w:pPr>
      <w:r>
        <w:rPr>
          <w:rFonts w:ascii="Arial" w:cs="Arial" w:eastAsia="Arial" w:hAnsi="Arial"/>
        </w:rPr>
        <w:t xml:space="preserve">The </w:t>
      </w:r>
      <w:r>
        <w:rPr>
          <w:rFonts w:ascii="Courier New" w:cs="Courier New" w:eastAsia="Courier New" w:hAnsi="Courier New"/>
          <w:shd w:fill="F5F5F5" w:val="clear"/>
        </w:rPr>
        <w:t xml:space="preserve">http</w:t>
      </w:r>
      <w:r>
        <w:rPr>
          <w:rFonts w:ascii="Arial" w:cs="Arial" w:eastAsia="Arial" w:hAnsi="Arial"/>
        </w:rPr>
        <w:t xml:space="preserve"> extension exposes SSRF if </w:t>
      </w:r>
      <w:r>
        <w:rPr>
          <w:rFonts w:ascii="Courier New" w:cs="Courier New" w:eastAsia="Courier New" w:hAnsi="Courier New"/>
          <w:shd w:fill="F5F5F5" w:val="clear"/>
        </w:rPr>
        <w:t xml:space="preserve">http_get</w:t>
      </w:r>
      <w:r>
        <w:rPr>
          <w:rFonts w:ascii="Arial" w:cs="Arial" w:eastAsia="Arial" w:hAnsi="Arial"/>
        </w:rPr>
        <w:t xml:space="preserve">/</w:t>
      </w:r>
      <w:r>
        <w:rPr>
          <w:rFonts w:ascii="Courier New" w:cs="Courier New" w:eastAsia="Courier New" w:hAnsi="Courier New"/>
          <w:shd w:fill="F5F5F5" w:val="clear"/>
        </w:rPr>
        <w:t xml:space="preserve">http_post</w:t>
      </w:r>
      <w:r>
        <w:rPr>
          <w:rFonts w:ascii="Arial" w:cs="Arial" w:eastAsia="Arial" w:hAnsi="Arial"/>
        </w:rPr>
        <w:t xml:space="preserve"> are accessible to anon/authenticated roles.</w:t>
      </w:r>
    </w:p>
    <w:p>
      <w:pPr>
        <w:spacing w:after="120"/>
      </w:pPr>
      <w:r>
        <w:rPr>
          <w:rFonts w:ascii="Arial" w:cs="Arial" w:eastAsia="Arial" w:hAnsi="Arial"/>
          <w:b/>
          <w:bCs/>
        </w:rPr>
        <w:t xml:space="preserve">Action:</w:t>
      </w:r>
    </w:p>
    <w:p>
      <w:pPr>
        <w:shd w:fill="F5F5F5" w:val="clear"/>
        <w:spacing w:after="120" w:before="120"/>
      </w:pPr>
      <w:r>
        <w:t xml:space="preserve">REVOKE ALL ON FUNCTION http_get(text) FROM anon, authenticated;
REVOKE ALL ON FUNCTION http_post(text, text) FROM anon, authenticated;</w:t>
      </w:r>
    </w:p>
    <w:p>
      <w:pPr>
        <w:pStyle w:val="Heading3"/>
        <w:spacing w:after="120" w:before="240"/>
        <w:outlineLvl w:val="2"/>
      </w:pPr>
      <w:r>
        <w:t xml:space="preserve">1.8 pgAudit Configuration</w:t>
      </w:r>
    </w:p>
    <w:p>
      <w:pPr>
        <w:spacing w:after="120"/>
      </w:pPr>
      <w:r>
        <w:rPr>
          <w:rFonts w:ascii="Arial" w:cs="Arial" w:eastAsia="Arial" w:hAnsi="Arial"/>
          <w:b/>
          <w:bCs/>
        </w:rPr>
        <w:t xml:space="preserve">Priority:</w:t>
      </w:r>
      <w:r>
        <w:rPr>
          <w:rFonts w:ascii="Arial" w:cs="Arial" w:eastAsia="Arial" w:hAnsi="Arial"/>
        </w:rPr>
        <w:t xml:space="preserve"> HIGH | </w:t>
      </w:r>
      <w:r>
        <w:rPr>
          <w:rFonts w:ascii="Arial" w:cs="Arial" w:eastAsia="Arial" w:hAnsi="Arial"/>
          <w:b/>
          <w:bCs/>
        </w:rPr>
        <w:t xml:space="preserve">Effort:</w:t>
      </w:r>
      <w:r>
        <w:rPr>
          <w:rFonts w:ascii="Arial" w:cs="Arial" w:eastAsia="Arial" w:hAnsi="Arial"/>
        </w:rPr>
        <w:t xml:space="preserve"> M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Supabase pgAudit Docs</w:t>
      </w:r>
    </w:p>
    <w:p>
      <w:pPr>
        <w:spacing w:after="120"/>
      </w:pPr>
      <w:r>
        <w:rPr>
          <w:rFonts w:ascii="Arial" w:cs="Arial" w:eastAsia="Arial" w:hAnsi="Arial"/>
        </w:rPr>
        <w:t xml:space="preserve">Enable pgAudit with </w:t>
      </w:r>
      <w:r>
        <w:rPr>
          <w:rFonts w:ascii="Courier New" w:cs="Courier New" w:eastAsia="Courier New" w:hAnsi="Courier New"/>
          <w:shd w:fill="F5F5F5" w:val="clear"/>
        </w:rPr>
        <w:t xml:space="preserve">log_parameter = off</w:t>
      </w:r>
      <w:r>
        <w:rPr>
          <w:rFonts w:ascii="Arial" w:cs="Arial" w:eastAsia="Arial" w:hAnsi="Arial"/>
        </w:rPr>
        <w:t xml:space="preserve"> to prevent secret exposure in audit logs. Configure external log storage to prevent disk overflow.</w:t>
      </w:r>
    </w:p>
    <w:p>
      <w:pPr>
        <w:pStyle w:val="Heading2"/>
        <w:spacing w:after="120" w:before="240"/>
        <w:outlineLvl w:val="1"/>
      </w:pPr>
      <w:r>
        <w:t xml:space="preserve">2. React / Vite / Frontend Security</w:t>
      </w:r>
    </w:p>
    <w:p>
      <w:pPr>
        <w:pStyle w:val="Heading3"/>
        <w:spacing w:after="120" w:before="240"/>
        <w:outlineLvl w:val="2"/>
      </w:pPr>
      <w:r>
        <w:t xml:space="preserve">2.1 Vite Dev Server File Disclosure (3 CVEs)</w:t>
      </w:r>
    </w:p>
    <w:p>
      <w:pPr>
        <w:spacing w:after="120"/>
      </w:pPr>
      <w:r>
        <w:rPr>
          <w:rFonts w:ascii="Arial" w:cs="Arial" w:eastAsia="Arial" w:hAnsi="Arial"/>
          <w:b/>
          <w:bCs/>
        </w:rPr>
        <w:t xml:space="preserve">Priority:</w:t>
      </w:r>
      <w:r>
        <w:rPr>
          <w:rFonts w:ascii="Arial" w:cs="Arial" w:eastAsia="Arial" w:hAnsi="Arial"/>
        </w:rPr>
        <w:t xml:space="preserve"> CRITICAL | </w:t>
      </w:r>
      <w:r>
        <w:rPr>
          <w:rFonts w:ascii="Arial" w:cs="Arial" w:eastAsia="Arial" w:hAnsi="Arial"/>
          <w:b/>
          <w:bCs/>
        </w:rPr>
        <w:t xml:space="preserve">Effort:</w:t>
      </w:r>
      <w:r>
        <w:rPr>
          <w:rFonts w:ascii="Arial" w:cs="Arial" w:eastAsia="Arial" w:hAnsi="Arial"/>
        </w:rPr>
        <w:t xml:space="preserve"> S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CVE-2025-31125</w:t>
      </w:r>
      <w:r>
        <w:rPr>
          <w:rFonts w:ascii="Arial" w:cs="Arial" w:eastAsia="Arial" w:hAnsi="Arial"/>
        </w:rPr>
        <w:t xml:space="preserve"> | </w:t>
      </w:r>
      <w:r>
        <w:rPr>
          <w:rFonts w:ascii="Arial" w:cs="Arial" w:eastAsia="Arial" w:hAnsi="Arial"/>
          <w:color w:val="0563C1"/>
          <w:u w:val="single"/>
        </w:rPr>
        <w:t xml:space="preserve">CVE-2025-30208</w:t>
      </w:r>
      <w:r>
        <w:rPr>
          <w:rFonts w:ascii="Arial" w:cs="Arial" w:eastAsia="Arial" w:hAnsi="Arial"/>
        </w:rPr>
        <w:t xml:space="preserve"> | </w:t>
      </w:r>
      <w:r>
        <w:rPr>
          <w:rFonts w:ascii="Arial" w:cs="Arial" w:eastAsia="Arial" w:hAnsi="Arial"/>
          <w:color w:val="0563C1"/>
          <w:u w:val="single"/>
        </w:rPr>
        <w:t xml:space="preserve">CVE-2025-32395</w:t>
      </w:r>
    </w:p>
    <w:p>
      <w:pPr>
        <w:spacing w:after="120"/>
      </w:pPr>
      <w:r>
        <w:rPr>
          <w:rFonts w:ascii="Arial" w:cs="Arial" w:eastAsia="Arial" w:hAnsi="Arial"/>
        </w:rPr>
        <w:t xml:space="preserve">Three CVEs allow arbitrary file reads from Vite dev servers exposed to the network. CVE-2025-31125 added to CISA KEV catalog January 2026.</w:t>
      </w:r>
    </w:p>
    <w:p>
      <w:pPr>
        <w:spacing w:after="120"/>
      </w:pPr>
      <w:r>
        <w:rPr>
          <w:rFonts w:ascii="Arial" w:cs="Arial" w:eastAsia="Arial" w:hAnsi="Arial"/>
          <w:b/>
          <w:bCs/>
        </w:rPr>
        <w:t xml:space="preserve">Action:</w:t>
      </w:r>
      <w:r>
        <w:rPr>
          <w:rFonts w:ascii="Arial" w:cs="Arial" w:eastAsia="Arial" w:hAnsi="Arial"/>
        </w:rPr>
        <w:t xml:space="preserve"> Upgrade Vite to &gt;= 6.2.6. Never expose dev server via </w:t>
      </w:r>
      <w:r>
        <w:rPr>
          <w:rFonts w:ascii="Courier New" w:cs="Courier New" w:eastAsia="Courier New" w:hAnsi="Courier New"/>
          <w:shd w:fill="F5F5F5" w:val="clear"/>
        </w:rPr>
        <w:t xml:space="preserve">--host</w:t>
      </w:r>
      <w:r>
        <w:rPr>
          <w:rFonts w:ascii="Arial" w:cs="Arial" w:eastAsia="Arial" w:hAnsi="Arial"/>
        </w:rPr>
        <w:t xml:space="preserve"> or </w:t>
      </w:r>
      <w:r>
        <w:rPr>
          <w:rFonts w:ascii="Courier New" w:cs="Courier New" w:eastAsia="Courier New" w:hAnsi="Courier New"/>
          <w:shd w:fill="F5F5F5" w:val="clear"/>
        </w:rPr>
        <w:t xml:space="preserve">server.host: '0.0.0.0'</w:t>
      </w:r>
      <w:r>
        <w:rPr>
          <w:rFonts w:ascii="Arial" w:cs="Arial" w:eastAsia="Arial" w:hAnsi="Arial"/>
        </w:rPr>
        <w:t xml:space="preserve">.</w:t>
      </w:r>
    </w:p>
    <w:p>
      <w:pPr>
        <w:shd w:fill="F5F5F5" w:val="clear"/>
        <w:spacing w:after="120" w:before="120"/>
      </w:pPr>
      <w:r>
        <w:t xml:space="preserve">{ "devDependencies": { "vite": "^6.2.6" } }</w:t>
      </w:r>
    </w:p>
    <w:p>
      <w:pPr>
        <w:pStyle w:val="Heading3"/>
        <w:spacing w:after="120" w:before="240"/>
        <w:outlineLvl w:val="2"/>
      </w:pPr>
      <w:r>
        <w:t xml:space="preserve">2.2 React XSS via URL href Attributes</w:t>
      </w:r>
    </w:p>
    <w:p>
      <w:pPr>
        <w:spacing w:after="120"/>
      </w:pPr>
      <w:r>
        <w:rPr>
          <w:rFonts w:ascii="Arial" w:cs="Arial" w:eastAsia="Arial" w:hAnsi="Arial"/>
          <w:b/>
          <w:bCs/>
        </w:rPr>
        <w:t xml:space="preserve">Priority:</w:t>
      </w:r>
      <w:r>
        <w:rPr>
          <w:rFonts w:ascii="Arial" w:cs="Arial" w:eastAsia="Arial" w:hAnsi="Arial"/>
        </w:rPr>
        <w:t xml:space="preserve"> CRITICAL | </w:t>
      </w:r>
      <w:r>
        <w:rPr>
          <w:rFonts w:ascii="Arial" w:cs="Arial" w:eastAsia="Arial" w:hAnsi="Arial"/>
          <w:b/>
          <w:bCs/>
        </w:rPr>
        <w:t xml:space="preserve">Effort:</w:t>
      </w:r>
      <w:r>
        <w:rPr>
          <w:rFonts w:ascii="Arial" w:cs="Arial" w:eastAsia="Arial" w:hAnsi="Arial"/>
        </w:rPr>
        <w:t xml:space="preserve"> M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StackHawk React XSS Guide</w:t>
      </w:r>
    </w:p>
    <w:p>
      <w:pPr>
        <w:spacing w:after="120"/>
      </w:pPr>
      <w:r>
        <w:rPr>
          <w:rFonts w:ascii="Arial" w:cs="Arial" w:eastAsia="Arial" w:hAnsi="Arial"/>
        </w:rPr>
        <w:t xml:space="preserve">React escapes JSX expressions but does NOT validate </w:t>
      </w:r>
      <w:r>
        <w:rPr>
          <w:rFonts w:ascii="Courier New" w:cs="Courier New" w:eastAsia="Courier New" w:hAnsi="Courier New"/>
          <w:shd w:fill="F5F5F5" w:val="clear"/>
        </w:rPr>
        <w:t xml:space="preserve">href</w:t>
      </w:r>
      <w:r>
        <w:rPr>
          <w:rFonts w:ascii="Arial" w:cs="Arial" w:eastAsia="Arial" w:hAnsi="Arial"/>
        </w:rPr>
        <w:t xml:space="preserve"> attributes. </w:t>
      </w:r>
      <w:r>
        <w:rPr>
          <w:rFonts w:ascii="Courier New" w:cs="Courier New" w:eastAsia="Courier New" w:hAnsi="Courier New"/>
          <w:shd w:fill="F5F5F5" w:val="clear"/>
        </w:rPr>
        <w:t xml:space="preserve">javascript:</w:t>
      </w:r>
      <w:r>
        <w:rPr>
          <w:rFonts w:ascii="Arial" w:cs="Arial" w:eastAsia="Arial" w:hAnsi="Arial"/>
        </w:rPr>
        <w:t xml:space="preserve">, </w:t>
      </w:r>
      <w:r>
        <w:rPr>
          <w:rFonts w:ascii="Courier New" w:cs="Courier New" w:eastAsia="Courier New" w:hAnsi="Courier New"/>
          <w:shd w:fill="F5F5F5" w:val="clear"/>
        </w:rPr>
        <w:t xml:space="preserve">data:</w:t>
      </w:r>
      <w:r>
        <w:rPr>
          <w:rFonts w:ascii="Arial" w:cs="Arial" w:eastAsia="Arial" w:hAnsi="Arial"/>
        </w:rPr>
        <w:t xml:space="preserve">, and </w:t>
      </w:r>
      <w:r>
        <w:rPr>
          <w:rFonts w:ascii="Courier New" w:cs="Courier New" w:eastAsia="Courier New" w:hAnsi="Courier New"/>
          <w:shd w:fill="F5F5F5" w:val="clear"/>
        </w:rPr>
        <w:t xml:space="preserve">vbscript:</w:t>
      </w:r>
      <w:r>
        <w:rPr>
          <w:rFonts w:ascii="Arial" w:cs="Arial" w:eastAsia="Arial" w:hAnsi="Arial"/>
        </w:rPr>
        <w:t xml:space="preserve"> URLs execute code.</w:t>
      </w:r>
    </w:p>
    <w:p>
      <w:pPr>
        <w:spacing w:after="120"/>
      </w:pPr>
      <w:r>
        <w:rPr>
          <w:rFonts w:ascii="Arial" w:cs="Arial" w:eastAsia="Arial" w:hAnsi="Arial"/>
          <w:b/>
          <w:bCs/>
        </w:rPr>
        <w:t xml:space="preserve">Action:</w:t>
      </w:r>
      <w:r>
        <w:rPr>
          <w:rFonts w:ascii="Arial" w:cs="Arial" w:eastAsia="Arial" w:hAnsi="Arial"/>
        </w:rPr>
        <w:t xml:space="preserve"> Validate all dynamic URLs:</w:t>
      </w:r>
    </w:p>
    <w:p>
      <w:pPr>
        <w:shd w:fill="F5F5F5" w:val="clear"/>
        <w:spacing w:after="120" w:before="120"/>
      </w:pPr>
      <w:r>
        <w:t xml:space="preserve">function safeURL(url: string): string | null {
  try {
    const parsed = new URL(url);
    return ['http:', 'https:'].includes(parsed.protocol) ? url : null;
  } catch { return null; }
}</w:t>
      </w:r>
    </w:p>
    <w:p>
      <w:pPr>
        <w:pStyle w:val="Heading3"/>
        <w:spacing w:after="120" w:before="240"/>
        <w:outlineLvl w:val="2"/>
      </w:pPr>
      <w:r>
        <w:t xml:space="preserve">2.3 Content Security Policy for SPA</w:t>
      </w:r>
    </w:p>
    <w:p>
      <w:pPr>
        <w:spacing w:after="120"/>
      </w:pPr>
      <w:r>
        <w:rPr>
          <w:rFonts w:ascii="Arial" w:cs="Arial" w:eastAsia="Arial" w:hAnsi="Arial"/>
          <w:b/>
          <w:bCs/>
        </w:rPr>
        <w:t xml:space="preserve">Priority:</w:t>
      </w:r>
      <w:r>
        <w:rPr>
          <w:rFonts w:ascii="Arial" w:cs="Arial" w:eastAsia="Arial" w:hAnsi="Arial"/>
        </w:rPr>
        <w:t xml:space="preserve"> HIGH | </w:t>
      </w:r>
      <w:r>
        <w:rPr>
          <w:rFonts w:ascii="Arial" w:cs="Arial" w:eastAsia="Arial" w:hAnsi="Arial"/>
          <w:b/>
          <w:bCs/>
        </w:rPr>
        <w:t xml:space="preserve">Effort:</w:t>
      </w:r>
      <w:r>
        <w:rPr>
          <w:rFonts w:ascii="Arial" w:cs="Arial" w:eastAsia="Arial" w:hAnsi="Arial"/>
        </w:rPr>
        <w:t xml:space="preserve"> M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Auth0 CSP for SPAs</w:t>
      </w:r>
      <w:r>
        <w:rPr>
          <w:rFonts w:ascii="Arial" w:cs="Arial" w:eastAsia="Arial" w:hAnsi="Arial"/>
        </w:rPr>
        <w:t xml:space="preserve"> | </w:t>
      </w:r>
      <w:r>
        <w:rPr>
          <w:rFonts w:ascii="Arial" w:cs="Arial" w:eastAsia="Arial" w:hAnsi="Arial"/>
          <w:color w:val="0563C1"/>
          <w:u w:val="single"/>
        </w:rPr>
        <w:t xml:space="preserve">MDN CSP Guide</w:t>
      </w:r>
    </w:p>
    <w:p>
      <w:pPr>
        <w:spacing w:after="120"/>
      </w:pPr>
      <w:r>
        <w:rPr>
          <w:rFonts w:ascii="Arial" w:cs="Arial" w:eastAsia="Arial" w:hAnsi="Arial"/>
        </w:rPr>
        <w:t xml:space="preserve">Implement strict CSP:</w:t>
      </w:r>
    </w:p>
    <w:p>
      <w:pPr>
        <w:shd w:fill="F5F5F5" w:val="clear"/>
        <w:spacing w:after="120" w:before="120"/>
      </w:pPr>
      <w:r>
        <w:t xml:space="preserve">Content-Security-Policy:
  default-src 'self';
  script-src 'self';
  style-src 'self' 'nonce-{random}';
  img-src 'self' data: blob:;
  object-src 'none';
  frame-ancestors 'none';
  base-uri 'self'</w:t>
      </w:r>
    </w:p>
    <w:p>
      <w:pPr>
        <w:pStyle w:val="Heading3"/>
        <w:spacing w:after="120" w:before="240"/>
        <w:outlineLvl w:val="2"/>
      </w:pPr>
      <w:r>
        <w:t xml:space="preserve">2.4 Web Crypto API: AES-256-GCM with PBKDF2</w:t>
      </w:r>
    </w:p>
    <w:p>
      <w:pPr>
        <w:spacing w:after="120"/>
      </w:pPr>
      <w:r>
        <w:rPr>
          <w:rFonts w:ascii="Arial" w:cs="Arial" w:eastAsia="Arial" w:hAnsi="Arial"/>
          <w:b/>
          <w:bCs/>
        </w:rPr>
        <w:t xml:space="preserve">Priority:</w:t>
      </w:r>
      <w:r>
        <w:rPr>
          <w:rFonts w:ascii="Arial" w:cs="Arial" w:eastAsia="Arial" w:hAnsi="Arial"/>
        </w:rPr>
        <w:t xml:space="preserve"> CRITICAL | </w:t>
      </w:r>
      <w:r>
        <w:rPr>
          <w:rFonts w:ascii="Arial" w:cs="Arial" w:eastAsia="Arial" w:hAnsi="Arial"/>
          <w:b/>
          <w:bCs/>
        </w:rPr>
        <w:t xml:space="preserve">Effort:</w:t>
      </w:r>
      <w:r>
        <w:rPr>
          <w:rFonts w:ascii="Arial" w:cs="Arial" w:eastAsia="Arial" w:hAnsi="Arial"/>
        </w:rPr>
        <w:t xml:space="preserve"> M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TrustedSec Web Crypto API</w:t>
      </w:r>
    </w:p>
    <w:p>
      <w:pPr>
        <w:spacing w:after="120"/>
      </w:pPr>
      <w:r>
        <w:rPr>
          <w:rFonts w:ascii="Arial" w:cs="Arial" w:eastAsia="Arial" w:hAnsi="Arial"/>
        </w:rPr>
        <w:t xml:space="preserve">For client-side document encryption, use AES-256-GCM with PBKDF2 key derivation (600,000 iterations per OWASP 2023). Mark keys </w:t>
      </w:r>
      <w:r>
        <w:rPr>
          <w:rFonts w:ascii="Courier New" w:cs="Courier New" w:eastAsia="Courier New" w:hAnsi="Courier New"/>
          <w:shd w:fill="F5F5F5" w:val="clear"/>
        </w:rPr>
        <w:t xml:space="preserve">extractable: false</w:t>
      </w:r>
      <w:r>
        <w:rPr>
          <w:rFonts w:ascii="Arial" w:cs="Arial" w:eastAsia="Arial" w:hAnsi="Arial"/>
        </w:rPr>
        <w:t xml:space="preserve"> to prevent exfiltration even with XSS.</w:t>
      </w:r>
    </w:p>
    <w:p>
      <w:pPr>
        <w:pStyle w:val="Heading3"/>
        <w:spacing w:after="120" w:before="240"/>
        <w:outlineLvl w:val="2"/>
      </w:pPr>
      <w:r>
        <w:t xml:space="preserve">2.5 Secure Storage Beyond localStorage</w:t>
      </w:r>
    </w:p>
    <w:p>
      <w:pPr>
        <w:spacing w:after="120"/>
      </w:pPr>
      <w:r>
        <w:rPr>
          <w:rFonts w:ascii="Arial" w:cs="Arial" w:eastAsia="Arial" w:hAnsi="Arial"/>
          <w:b/>
          <w:bCs/>
        </w:rPr>
        <w:t xml:space="preserve">Priority:</w:t>
      </w:r>
      <w:r>
        <w:rPr>
          <w:rFonts w:ascii="Arial" w:cs="Arial" w:eastAsia="Arial" w:hAnsi="Arial"/>
        </w:rPr>
        <w:t xml:space="preserve"> CRITICAL | </w:t>
      </w:r>
      <w:r>
        <w:rPr>
          <w:rFonts w:ascii="Arial" w:cs="Arial" w:eastAsia="Arial" w:hAnsi="Arial"/>
          <w:b/>
          <w:bCs/>
        </w:rPr>
        <w:t xml:space="preserve">Effort:</w:t>
      </w:r>
      <w:r>
        <w:rPr>
          <w:rFonts w:ascii="Arial" w:cs="Arial" w:eastAsia="Arial" w:hAnsi="Arial"/>
        </w:rPr>
        <w:t xml:space="preserve"> M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SuperTokens Auth Patterns</w:t>
      </w:r>
    </w:p>
    <w:p>
      <w:pPr>
        <w:pStyle w:val="ListParagraph"/>
        <w:numPr>
          <w:ilvl w:val="0"/>
          <w:numId w:val="1"/>
        </w:numPr>
        <w:spacing w:after="100"/>
      </w:pPr>
      <w:r>
        <w:t xml:space="preserve">Auth tokens: HttpOnly cookies (immune to XSS)</w:t>
      </w:r>
    </w:p>
    <w:p>
      <w:pPr>
        <w:pStyle w:val="ListParagraph"/>
        <w:numPr>
          <w:ilvl w:val="0"/>
          <w:numId w:val="1"/>
        </w:numPr>
        <w:spacing w:after="100"/>
      </w:pPr>
      <w:r>
        <w:t xml:space="preserve">Document metadata: IndexedDB (structured, large capacity)</w:t>
      </w:r>
    </w:p>
    <w:p>
      <w:pPr>
        <w:pStyle w:val="ListParagraph"/>
        <w:numPr>
          <w:ilvl w:val="0"/>
          <w:numId w:val="1"/>
        </w:numPr>
        <w:spacing w:after="100"/>
      </w:pPr>
      <w:r>
        <w:t xml:space="preserve">Decryption keys: NEVER stored—derive on-demand from user input</w:t>
      </w:r>
    </w:p>
    <w:p>
      <w:pPr>
        <w:pStyle w:val="Heading3"/>
        <w:spacing w:after="120" w:before="240"/>
        <w:outlineLvl w:val="2"/>
      </w:pPr>
      <w:r>
        <w:t xml:space="preserve">2.6 SRI for CDN Dependencies</w:t>
      </w:r>
    </w:p>
    <w:p>
      <w:pPr>
        <w:spacing w:after="120"/>
      </w:pPr>
      <w:r>
        <w:rPr>
          <w:rFonts w:ascii="Arial" w:cs="Arial" w:eastAsia="Arial" w:hAnsi="Arial"/>
          <w:b/>
          <w:bCs/>
        </w:rPr>
        <w:t xml:space="preserve">Priority:</w:t>
      </w:r>
      <w:r>
        <w:rPr>
          <w:rFonts w:ascii="Arial" w:cs="Arial" w:eastAsia="Arial" w:hAnsi="Arial"/>
        </w:rPr>
        <w:t xml:space="preserve"> HIGH | </w:t>
      </w:r>
      <w:r>
        <w:rPr>
          <w:rFonts w:ascii="Arial" w:cs="Arial" w:eastAsia="Arial" w:hAnsi="Arial"/>
          <w:b/>
          <w:bCs/>
        </w:rPr>
        <w:t xml:space="preserve">Effort:</w:t>
      </w:r>
      <w:r>
        <w:rPr>
          <w:rFonts w:ascii="Arial" w:cs="Arial" w:eastAsia="Arial" w:hAnsi="Arial"/>
        </w:rPr>
        <w:t xml:space="preserve"> M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MDN SRI</w:t>
      </w:r>
    </w:p>
    <w:p>
      <w:pPr>
        <w:spacing w:after="120"/>
      </w:pPr>
      <w:r>
        <w:rPr>
          <w:rFonts w:ascii="Arial" w:cs="Arial" w:eastAsia="Arial" w:hAnsi="Arial"/>
        </w:rPr>
        <w:t xml:space="preserve">Add integrity hashes to all externally-loaded resources (fonts, analytics scripts). Vite bundles most deps, but external CDN resources need SRI.</w:t>
      </w:r>
    </w:p>
    <w:p>
      <w:pPr>
        <w:pStyle w:val="Heading3"/>
        <w:spacing w:after="120" w:before="240"/>
        <w:outlineLvl w:val="2"/>
      </w:pPr>
      <w:r>
        <w:t xml:space="preserve">2.7 shadcn/ui Chart Accessibility Gap</w:t>
      </w:r>
    </w:p>
    <w:p>
      <w:pPr>
        <w:spacing w:after="120"/>
      </w:pPr>
      <w:r>
        <w:rPr>
          <w:rFonts w:ascii="Arial" w:cs="Arial" w:eastAsia="Arial" w:hAnsi="Arial"/>
          <w:b/>
          <w:bCs/>
        </w:rPr>
        <w:t xml:space="preserve">Priority:</w:t>
      </w:r>
      <w:r>
        <w:rPr>
          <w:rFonts w:ascii="Arial" w:cs="Arial" w:eastAsia="Arial" w:hAnsi="Arial"/>
        </w:rPr>
        <w:t xml:space="preserve"> MEDIUM | </w:t>
      </w:r>
      <w:r>
        <w:rPr>
          <w:rFonts w:ascii="Arial" w:cs="Arial" w:eastAsia="Arial" w:hAnsi="Arial"/>
          <w:b/>
          <w:bCs/>
        </w:rPr>
        <w:t xml:space="preserve">Effort:</w:t>
      </w:r>
      <w:r>
        <w:rPr>
          <w:rFonts w:ascii="Arial" w:cs="Arial" w:eastAsia="Arial" w:hAnsi="Arial"/>
        </w:rPr>
        <w:t xml:space="preserve"> M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Ashlee M Boyer shadcn/ui Review</w:t>
      </w:r>
    </w:p>
    <w:p>
      <w:pPr>
        <w:spacing w:after="120"/>
      </w:pPr>
      <w:r>
        <w:rPr>
          <w:rFonts w:ascii="Arial" w:cs="Arial" w:eastAsia="Arial" w:hAnsi="Arial"/>
        </w:rPr>
        <w:t xml:space="preserve">shadcn/ui Chart component has critical accessibility issues (missing ARIA labels, poor keyboard nav). Use Recharts or Visx for accessible charts. Always provide data table fallbacks.</w:t>
      </w:r>
    </w:p>
    <w:p>
      <w:pPr>
        <w:pStyle w:val="Heading3"/>
        <w:spacing w:after="120" w:before="240"/>
        <w:outlineLvl w:val="2"/>
      </w:pPr>
      <w:r>
        <w:t xml:space="preserve">2.8 TypeScript Strict Mode</w:t>
      </w:r>
    </w:p>
    <w:p>
      <w:pPr>
        <w:spacing w:after="120"/>
      </w:pPr>
      <w:r>
        <w:rPr>
          <w:rFonts w:ascii="Arial" w:cs="Arial" w:eastAsia="Arial" w:hAnsi="Arial"/>
          <w:b/>
          <w:bCs/>
        </w:rPr>
        <w:t xml:space="preserve">Priority:</w:t>
      </w:r>
      <w:r>
        <w:rPr>
          <w:rFonts w:ascii="Arial" w:cs="Arial" w:eastAsia="Arial" w:hAnsi="Arial"/>
        </w:rPr>
        <w:t xml:space="preserve"> CRITICAL | </w:t>
      </w:r>
      <w:r>
        <w:rPr>
          <w:rFonts w:ascii="Arial" w:cs="Arial" w:eastAsia="Arial" w:hAnsi="Arial"/>
          <w:b/>
          <w:bCs/>
        </w:rPr>
        <w:t xml:space="preserve">Effort:</w:t>
      </w:r>
      <w:r>
        <w:rPr>
          <w:rFonts w:ascii="Arial" w:cs="Arial" w:eastAsia="Arial" w:hAnsi="Arial"/>
        </w:rPr>
        <w:t xml:space="preserve"> S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Snyk React + TypeScript Best Practices</w:t>
      </w:r>
    </w:p>
    <w:p>
      <w:pPr>
        <w:spacing w:after="120"/>
      </w:pPr>
      <w:r>
        <w:rPr>
          <w:rFonts w:ascii="Arial" w:cs="Arial" w:eastAsia="Arial" w:hAnsi="Arial"/>
        </w:rPr>
        <w:t xml:space="preserve">Enable </w:t>
      </w:r>
      <w:r>
        <w:rPr>
          <w:rFonts w:ascii="Courier New" w:cs="Courier New" w:eastAsia="Courier New" w:hAnsi="Courier New"/>
          <w:shd w:fill="F5F5F5" w:val="clear"/>
        </w:rPr>
        <w:t xml:space="preserve">strict: true</w:t>
      </w:r>
      <w:r>
        <w:rPr>
          <w:rFonts w:ascii="Arial" w:cs="Arial" w:eastAsia="Arial" w:hAnsi="Arial"/>
        </w:rPr>
        <w:t xml:space="preserve"> in tsconfig.json. Catches null/undefined bugs in encryption/decryption logic before runtime.</w:t>
      </w:r>
    </w:p>
    <w:p>
      <w:pPr>
        <w:pStyle w:val="Heading2"/>
        <w:spacing w:after="120" w:before="240"/>
        <w:outlineLvl w:val="1"/>
      </w:pPr>
      <w:r>
        <w:t xml:space="preserve">3. Node.js / Express Worker Hardening</w:t>
      </w:r>
    </w:p>
    <w:p>
      <w:pPr>
        <w:pStyle w:val="Heading3"/>
        <w:spacing w:after="120" w:before="240"/>
        <w:outlineLvl w:val="2"/>
      </w:pPr>
      <w:r>
        <w:t xml:space="preserve">3.1 Security Middleware Stack</w:t>
      </w:r>
    </w:p>
    <w:p>
      <w:pPr>
        <w:spacing w:after="120"/>
      </w:pPr>
      <w:r>
        <w:rPr>
          <w:rFonts w:ascii="Arial" w:cs="Arial" w:eastAsia="Arial" w:hAnsi="Arial"/>
          <w:b/>
          <w:bCs/>
        </w:rPr>
        <w:t xml:space="preserve">Priority:</w:t>
      </w:r>
      <w:r>
        <w:rPr>
          <w:rFonts w:ascii="Arial" w:cs="Arial" w:eastAsia="Arial" w:hAnsi="Arial"/>
        </w:rPr>
        <w:t xml:space="preserve"> CRITICAL | </w:t>
      </w:r>
      <w:r>
        <w:rPr>
          <w:rFonts w:ascii="Arial" w:cs="Arial" w:eastAsia="Arial" w:hAnsi="Arial"/>
          <w:b/>
          <w:bCs/>
        </w:rPr>
        <w:t xml:space="preserve">Effort:</w:t>
      </w:r>
      <w:r>
        <w:rPr>
          <w:rFonts w:ascii="Arial" w:cs="Arial" w:eastAsia="Arial" w:hAnsi="Arial"/>
        </w:rPr>
        <w:t xml:space="preserve"> S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Corgea Express Security 2025</w:t>
      </w:r>
    </w:p>
    <w:p>
      <w:pPr>
        <w:spacing w:after="120"/>
      </w:pPr>
      <w:r>
        <w:rPr>
          <w:rFonts w:ascii="Arial" w:cs="Arial" w:eastAsia="Arial" w:hAnsi="Arial"/>
        </w:rPr>
        <w:t xml:space="preserve">Apply in strict order: Helmet &gt; CORS &gt; Body parsing (with size limit) &gt; Rate limiting &gt; Signature verification &gt; Routes &gt; Error handling.</w:t>
      </w:r>
    </w:p>
    <w:p>
      <w:pPr>
        <w:pStyle w:val="Heading3"/>
        <w:spacing w:after="120" w:before="240"/>
        <w:outlineLvl w:val="2"/>
      </w:pPr>
      <w:r>
        <w:t xml:space="preserve">3.2 Rate Limiting with Redis Backend</w:t>
      </w:r>
    </w:p>
    <w:p>
      <w:pPr>
        <w:spacing w:after="120"/>
      </w:pPr>
      <w:r>
        <w:rPr>
          <w:rFonts w:ascii="Arial" w:cs="Arial" w:eastAsia="Arial" w:hAnsi="Arial"/>
          <w:b/>
          <w:bCs/>
        </w:rPr>
        <w:t xml:space="preserve">Priority:</w:t>
      </w:r>
      <w:r>
        <w:rPr>
          <w:rFonts w:ascii="Arial" w:cs="Arial" w:eastAsia="Arial" w:hAnsi="Arial"/>
        </w:rPr>
        <w:t xml:space="preserve"> CRITICAL | </w:t>
      </w:r>
      <w:r>
        <w:rPr>
          <w:rFonts w:ascii="Arial" w:cs="Arial" w:eastAsia="Arial" w:hAnsi="Arial"/>
          <w:b/>
          <w:bCs/>
        </w:rPr>
        <w:t xml:space="preserve">Effort:</w:t>
      </w:r>
      <w:r>
        <w:rPr>
          <w:rFonts w:ascii="Arial" w:cs="Arial" w:eastAsia="Arial" w:hAnsi="Arial"/>
        </w:rPr>
        <w:t xml:space="preserve"> M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Better Stack Rate Limiting</w:t>
      </w:r>
    </w:p>
    <w:p>
      <w:pPr>
        <w:spacing w:after="120"/>
      </w:pPr>
      <w:r>
        <w:rPr>
          <w:rFonts w:ascii="Arial" w:cs="Arial" w:eastAsia="Arial" w:hAnsi="Arial"/>
        </w:rPr>
        <w:t xml:space="preserve">Use </w:t>
      </w:r>
      <w:r>
        <w:rPr>
          <w:rFonts w:ascii="Courier New" w:cs="Courier New" w:eastAsia="Courier New" w:hAnsi="Courier New"/>
          <w:shd w:fill="F5F5F5" w:val="clear"/>
        </w:rPr>
        <w:t xml:space="preserve">express-rate-limit</w:t>
      </w:r>
      <w:r>
        <w:rPr>
          <w:rFonts w:ascii="Arial" w:cs="Arial" w:eastAsia="Arial" w:hAnsi="Arial"/>
        </w:rPr>
        <w:t xml:space="preserve"> with RedisStore for distributed rate limiting. Apply stricter limits to webhook endpoints (100 req/min) and cron endpoints (10 exec/hour).</w:t>
      </w:r>
    </w:p>
    <w:p>
      <w:pPr>
        <w:pStyle w:val="Heading3"/>
        <w:spacing w:after="120" w:before="240"/>
        <w:outlineLvl w:val="2"/>
      </w:pPr>
      <w:r>
        <w:t xml:space="preserve">3.3 Node.js HTTP Parser CVE</w:t>
      </w:r>
    </w:p>
    <w:p>
      <w:pPr>
        <w:spacing w:after="120"/>
      </w:pPr>
      <w:r>
        <w:rPr>
          <w:rFonts w:ascii="Arial" w:cs="Arial" w:eastAsia="Arial" w:hAnsi="Arial"/>
          <w:b/>
          <w:bCs/>
        </w:rPr>
        <w:t xml:space="preserve">Priority:</w:t>
      </w:r>
      <w:r>
        <w:rPr>
          <w:rFonts w:ascii="Arial" w:cs="Arial" w:eastAsia="Arial" w:hAnsi="Arial"/>
        </w:rPr>
        <w:t xml:space="preserve"> CRITICAL | </w:t>
      </w:r>
      <w:r>
        <w:rPr>
          <w:rFonts w:ascii="Arial" w:cs="Arial" w:eastAsia="Arial" w:hAnsi="Arial"/>
          <w:b/>
          <w:bCs/>
        </w:rPr>
        <w:t xml:space="preserve">Effort:</w:t>
      </w:r>
      <w:r>
        <w:rPr>
          <w:rFonts w:ascii="Arial" w:cs="Arial" w:eastAsia="Arial" w:hAnsi="Arial"/>
        </w:rPr>
        <w:t xml:space="preserve"> M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Node.js Jan 2026 Security Releases</w:t>
      </w:r>
    </w:p>
    <w:p>
      <w:pPr>
        <w:spacing w:after="120"/>
      </w:pPr>
      <w:r>
        <w:rPr>
          <w:rFonts w:ascii="Arial" w:cs="Arial" w:eastAsia="Arial" w:hAnsi="Arial"/>
        </w:rPr>
        <w:t xml:space="preserve">HTTP/1 request smuggling via improper header termination. Upgrade to Node.js 20.14.0+, 22.10.0+, or 24.x.</w:t>
      </w:r>
    </w:p>
    <w:p>
      <w:pPr>
        <w:pStyle w:val="Heading3"/>
        <w:spacing w:after="120" w:before="240"/>
        <w:outlineLvl w:val="2"/>
      </w:pPr>
      <w:r>
        <w:t xml:space="preserve">3.4 Stripe Webhook Signature Verification</w:t>
      </w:r>
    </w:p>
    <w:p>
      <w:pPr>
        <w:spacing w:after="120"/>
      </w:pPr>
      <w:r>
        <w:rPr>
          <w:rFonts w:ascii="Arial" w:cs="Arial" w:eastAsia="Arial" w:hAnsi="Arial"/>
          <w:b/>
          <w:bCs/>
        </w:rPr>
        <w:t xml:space="preserve">Priority:</w:t>
      </w:r>
      <w:r>
        <w:rPr>
          <w:rFonts w:ascii="Arial" w:cs="Arial" w:eastAsia="Arial" w:hAnsi="Arial"/>
        </w:rPr>
        <w:t xml:space="preserve"> CRITICAL | </w:t>
      </w:r>
      <w:r>
        <w:rPr>
          <w:rFonts w:ascii="Arial" w:cs="Arial" w:eastAsia="Arial" w:hAnsi="Arial"/>
          <w:b/>
          <w:bCs/>
        </w:rPr>
        <w:t xml:space="preserve">Effort:</w:t>
      </w:r>
      <w:r>
        <w:rPr>
          <w:rFonts w:ascii="Arial" w:cs="Arial" w:eastAsia="Arial" w:hAnsi="Arial"/>
        </w:rPr>
        <w:t xml:space="preserve"> S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Stripe Webhook Docs</w:t>
      </w:r>
    </w:p>
    <w:p>
      <w:pPr>
        <w:spacing w:after="120"/>
      </w:pPr>
      <w:r>
        <w:rPr>
          <w:rFonts w:ascii="Arial" w:cs="Arial" w:eastAsia="Arial" w:hAnsi="Arial"/>
        </w:rPr>
        <w:t xml:space="preserve">Use </w:t>
      </w:r>
      <w:r>
        <w:rPr>
          <w:rFonts w:ascii="Courier New" w:cs="Courier New" w:eastAsia="Courier New" w:hAnsi="Courier New"/>
          <w:shd w:fill="F5F5F5" w:val="clear"/>
        </w:rPr>
        <w:t xml:space="preserve">express.raw()</w:t>
      </w:r>
      <w:r>
        <w:rPr>
          <w:rFonts w:ascii="Arial" w:cs="Arial" w:eastAsia="Arial" w:hAnsi="Arial"/>
        </w:rPr>
        <w:t xml:space="preserve"> for Stripe endpoints (not </w:t>
      </w:r>
      <w:r>
        <w:rPr>
          <w:rFonts w:ascii="Courier New" w:cs="Courier New" w:eastAsia="Courier New" w:hAnsi="Courier New"/>
          <w:shd w:fill="F5F5F5" w:val="clear"/>
        </w:rPr>
        <w:t xml:space="preserve">express.json()</w:t>
      </w:r>
      <w:r>
        <w:rPr>
          <w:rFonts w:ascii="Arial" w:cs="Arial" w:eastAsia="Arial" w:hAnsi="Arial"/>
        </w:rPr>
        <w:t xml:space="preserve">). Verify signatures with </w:t>
      </w:r>
      <w:r>
        <w:rPr>
          <w:rFonts w:ascii="Courier New" w:cs="Courier New" w:eastAsia="Courier New" w:hAnsi="Courier New"/>
          <w:shd w:fill="F5F5F5" w:val="clear"/>
        </w:rPr>
        <w:t xml:space="preserve">stripe.webhooks.constructEvent()</w:t>
      </w:r>
      <w:r>
        <w:rPr>
          <w:rFonts w:ascii="Arial" w:cs="Arial" w:eastAsia="Arial" w:hAnsi="Arial"/>
        </w:rPr>
        <w:t xml:space="preserve">. Implement idempotent processing via </w:t>
      </w:r>
      <w:r>
        <w:rPr>
          <w:rFonts w:ascii="Courier New" w:cs="Courier New" w:eastAsia="Courier New" w:hAnsi="Courier New"/>
          <w:shd w:fill="F5F5F5" w:val="clear"/>
        </w:rPr>
        <w:t xml:space="preserve">processed_webhooks</w:t>
      </w:r>
      <w:r>
        <w:rPr>
          <w:rFonts w:ascii="Arial" w:cs="Arial" w:eastAsia="Arial" w:hAnsi="Arial"/>
        </w:rPr>
        <w:t xml:space="preserve"> table with unique constraint on event_id.</w:t>
      </w:r>
    </w:p>
    <w:p>
      <w:pPr>
        <w:pStyle w:val="Heading3"/>
        <w:spacing w:after="120" w:before="240"/>
        <w:outlineLvl w:val="2"/>
      </w:pPr>
      <w:r>
        <w:t xml:space="preserve">3.5 HMAC-SHA256 for x402 Payment Verification</w:t>
      </w:r>
    </w:p>
    <w:p>
      <w:pPr>
        <w:spacing w:after="120"/>
      </w:pPr>
      <w:r>
        <w:rPr>
          <w:rFonts w:ascii="Arial" w:cs="Arial" w:eastAsia="Arial" w:hAnsi="Arial"/>
          <w:b/>
          <w:bCs/>
        </w:rPr>
        <w:t xml:space="preserve">Priority:</w:t>
      </w:r>
      <w:r>
        <w:rPr>
          <w:rFonts w:ascii="Arial" w:cs="Arial" w:eastAsia="Arial" w:hAnsi="Arial"/>
        </w:rPr>
        <w:t xml:space="preserve"> CRITICAL | </w:t>
      </w:r>
      <w:r>
        <w:rPr>
          <w:rFonts w:ascii="Arial" w:cs="Arial" w:eastAsia="Arial" w:hAnsi="Arial"/>
          <w:b/>
          <w:bCs/>
        </w:rPr>
        <w:t xml:space="preserve">Effort:</w:t>
      </w:r>
      <w:r>
        <w:rPr>
          <w:rFonts w:ascii="Arial" w:cs="Arial" w:eastAsia="Arial" w:hAnsi="Arial"/>
        </w:rPr>
        <w:t xml:space="preserve"> S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Authgear HMAC API Security</w:t>
      </w:r>
    </w:p>
    <w:p>
      <w:pPr>
        <w:spacing w:after="120"/>
      </w:pPr>
      <w:r>
        <w:rPr>
          <w:rFonts w:ascii="Arial" w:cs="Arial" w:eastAsia="Arial" w:hAnsi="Arial"/>
        </w:rPr>
        <w:t xml:space="preserve">Include timestamps in signed payloads (5-minute tolerance). Use </w:t>
      </w:r>
      <w:r>
        <w:rPr>
          <w:rFonts w:ascii="Courier New" w:cs="Courier New" w:eastAsia="Courier New" w:hAnsi="Courier New"/>
          <w:shd w:fill="F5F5F5" w:val="clear"/>
        </w:rPr>
        <w:t xml:space="preserve">crypto.timingSafeEqual()</w:t>
      </w:r>
      <w:r>
        <w:rPr>
          <w:rFonts w:ascii="Arial" w:cs="Arial" w:eastAsia="Arial" w:hAnsi="Arial"/>
        </w:rPr>
        <w:t xml:space="preserve"> for comparison. Prevents replay attacks on payment requests.</w:t>
      </w:r>
    </w:p>
    <w:p>
      <w:pPr>
        <w:pStyle w:val="Heading3"/>
        <w:spacing w:after="120" w:before="240"/>
        <w:outlineLvl w:val="2"/>
      </w:pPr>
      <w:r>
        <w:t xml:space="preserve">3.6 Cron Job Authentication</w:t>
      </w:r>
    </w:p>
    <w:p>
      <w:pPr>
        <w:spacing w:after="120"/>
      </w:pPr>
      <w:r>
        <w:rPr>
          <w:rFonts w:ascii="Arial" w:cs="Arial" w:eastAsia="Arial" w:hAnsi="Arial"/>
          <w:b/>
          <w:bCs/>
        </w:rPr>
        <w:t xml:space="preserve">Priority:</w:t>
      </w:r>
      <w:r>
        <w:rPr>
          <w:rFonts w:ascii="Arial" w:cs="Arial" w:eastAsia="Arial" w:hAnsi="Arial"/>
        </w:rPr>
        <w:t xml:space="preserve"> CRITICAL | </w:t>
      </w:r>
      <w:r>
        <w:rPr>
          <w:rFonts w:ascii="Arial" w:cs="Arial" w:eastAsia="Arial" w:hAnsi="Arial"/>
          <w:b/>
          <w:bCs/>
        </w:rPr>
        <w:t xml:space="preserve">Effort:</w:t>
      </w:r>
      <w:r>
        <w:rPr>
          <w:rFonts w:ascii="Arial" w:cs="Arial" w:eastAsia="Arial" w:hAnsi="Arial"/>
        </w:rPr>
        <w:t xml:space="preserve"> M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Last9 Node.js Cron Security</w:t>
      </w:r>
    </w:p>
    <w:p>
      <w:pPr>
        <w:spacing w:after="120"/>
      </w:pPr>
      <w:r>
        <w:rPr>
          <w:rFonts w:ascii="Arial" w:cs="Arial" w:eastAsia="Arial" w:hAnsi="Arial"/>
        </w:rPr>
        <w:t xml:space="preserve">Require HMAC-signed tokens with timestamp freshness checks. Rate-limit execution attempts. Run cron workers with minimal database permissions.</w:t>
      </w:r>
    </w:p>
    <w:p>
      <w:pPr>
        <w:pStyle w:val="Heading3"/>
        <w:spacing w:after="120" w:before="240"/>
        <w:outlineLvl w:val="2"/>
      </w:pPr>
      <w:r>
        <w:t xml:space="preserve">3.7 Worker Thread Isolation (Bulkhead Pattern)</w:t>
      </w:r>
    </w:p>
    <w:p>
      <w:pPr>
        <w:spacing w:after="120"/>
      </w:pPr>
      <w:r>
        <w:rPr>
          <w:rFonts w:ascii="Arial" w:cs="Arial" w:eastAsia="Arial" w:hAnsi="Arial"/>
          <w:b/>
          <w:bCs/>
        </w:rPr>
        <w:t xml:space="preserve">Priority:</w:t>
      </w:r>
      <w:r>
        <w:rPr>
          <w:rFonts w:ascii="Arial" w:cs="Arial" w:eastAsia="Arial" w:hAnsi="Arial"/>
        </w:rPr>
        <w:t xml:space="preserve"> HIGH | </w:t>
      </w:r>
      <w:r>
        <w:rPr>
          <w:rFonts w:ascii="Arial" w:cs="Arial" w:eastAsia="Arial" w:hAnsi="Arial"/>
          <w:b/>
          <w:bCs/>
        </w:rPr>
        <w:t xml:space="preserve">Effort:</w:t>
      </w:r>
      <w:r>
        <w:rPr>
          <w:rFonts w:ascii="Arial" w:cs="Arial" w:eastAsia="Arial" w:hAnsi="Arial"/>
        </w:rPr>
        <w:t xml:space="preserve"> L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Sony Mathew Worker Threads</w:t>
      </w:r>
    </w:p>
    <w:p>
      <w:pPr>
        <w:spacing w:after="120"/>
      </w:pPr>
      <w:r>
        <w:rPr>
          <w:rFonts w:ascii="Arial" w:cs="Arial" w:eastAsia="Arial" w:hAnsi="Arial"/>
        </w:rPr>
        <w:t xml:space="preserve">Isolate Stripe webhooks, x402 payments, and regulatory ingestion in separate worker thread pools. Implement circuit breakers for external services (Stripe, Bitcoin nodes, USDC network).</w:t>
      </w:r>
    </w:p>
    <w:p>
      <w:pPr>
        <w:pStyle w:val="Heading3"/>
        <w:spacing w:after="120" w:before="240"/>
        <w:outlineLvl w:val="2"/>
      </w:pPr>
      <w:r>
        <w:t xml:space="preserve">3.8 Stream-Based Document Processing</w:t>
      </w:r>
    </w:p>
    <w:p>
      <w:pPr>
        <w:spacing w:after="120"/>
      </w:pPr>
      <w:r>
        <w:rPr>
          <w:rFonts w:ascii="Arial" w:cs="Arial" w:eastAsia="Arial" w:hAnsi="Arial"/>
          <w:b/>
          <w:bCs/>
        </w:rPr>
        <w:t xml:space="preserve">Priority:</w:t>
      </w:r>
      <w:r>
        <w:rPr>
          <w:rFonts w:ascii="Arial" w:cs="Arial" w:eastAsia="Arial" w:hAnsi="Arial"/>
        </w:rPr>
        <w:t xml:space="preserve"> HIGH | </w:t>
      </w:r>
      <w:r>
        <w:rPr>
          <w:rFonts w:ascii="Arial" w:cs="Arial" w:eastAsia="Arial" w:hAnsi="Arial"/>
          <w:b/>
          <w:bCs/>
        </w:rPr>
        <w:t xml:space="preserve">Effort:</w:t>
      </w:r>
      <w:r>
        <w:rPr>
          <w:rFonts w:ascii="Arial" w:cs="Arial" w:eastAsia="Arial" w:hAnsi="Arial"/>
        </w:rPr>
        <w:t xml:space="preserve"> M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Node.js Memory Docs</w:t>
      </w:r>
    </w:p>
    <w:p>
      <w:pPr>
        <w:spacing w:after="120"/>
      </w:pPr>
      <w:r>
        <w:rPr>
          <w:rFonts w:ascii="Arial" w:cs="Arial" w:eastAsia="Arial" w:hAnsi="Arial"/>
        </w:rPr>
        <w:t xml:space="preserve">Use Node.js </w:t>
      </w:r>
      <w:r>
        <w:rPr>
          <w:rFonts w:ascii="Courier New" w:cs="Courier New" w:eastAsia="Courier New" w:hAnsi="Courier New"/>
          <w:shd w:fill="F5F5F5" w:val="clear"/>
        </w:rPr>
        <w:t xml:space="preserve">pipeline()</w:t>
      </w:r>
      <w:r>
        <w:rPr>
          <w:rFonts w:ascii="Arial" w:cs="Arial" w:eastAsia="Arial" w:hAnsi="Arial"/>
        </w:rPr>
        <w:t xml:space="preserve"> with backpressure for regulatory data ingestion. Process in batches of 100 rows. Monitor memory with </w:t>
      </w:r>
      <w:r>
        <w:rPr>
          <w:rFonts w:ascii="Courier New" w:cs="Courier New" w:eastAsia="Courier New" w:hAnsi="Courier New"/>
          <w:shd w:fill="F5F5F5" w:val="clear"/>
        </w:rPr>
        <w:t xml:space="preserve">process.memoryUsage()</w:t>
      </w:r>
      <w:r>
        <w:rPr>
          <w:rFonts w:ascii="Arial" w:cs="Arial" w:eastAsia="Arial" w:hAnsi="Arial"/>
        </w:rPr>
        <w:t xml:space="preserve">.</w:t>
      </w:r>
    </w:p>
    <w:p>
      <w:pPr>
        <w:pStyle w:val="Heading3"/>
        <w:spacing w:after="120" w:before="240"/>
        <w:outlineLvl w:val="2"/>
      </w:pPr>
      <w:r>
        <w:t xml:space="preserve">3.9 Supply Chain Security</w:t>
      </w:r>
    </w:p>
    <w:p>
      <w:pPr>
        <w:spacing w:after="120"/>
      </w:pPr>
      <w:r>
        <w:rPr>
          <w:rFonts w:ascii="Arial" w:cs="Arial" w:eastAsia="Arial" w:hAnsi="Arial"/>
          <w:b/>
          <w:bCs/>
        </w:rPr>
        <w:t xml:space="preserve">Priority:</w:t>
      </w:r>
      <w:r>
        <w:rPr>
          <w:rFonts w:ascii="Arial" w:cs="Arial" w:eastAsia="Arial" w:hAnsi="Arial"/>
        </w:rPr>
        <w:t xml:space="preserve"> CRITICAL | </w:t>
      </w:r>
      <w:r>
        <w:rPr>
          <w:rFonts w:ascii="Arial" w:cs="Arial" w:eastAsia="Arial" w:hAnsi="Arial"/>
          <w:b/>
          <w:bCs/>
        </w:rPr>
        <w:t xml:space="preserve">Effort:</w:t>
      </w:r>
      <w:r>
        <w:rPr>
          <w:rFonts w:ascii="Arial" w:cs="Arial" w:eastAsia="Arial" w:hAnsi="Arial"/>
        </w:rPr>
        <w:t xml:space="preserve"> M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Bastion npm Supply Chain 2026</w:t>
      </w:r>
    </w:p>
    <w:p>
      <w:pPr>
        <w:pStyle w:val="ListParagraph"/>
        <w:numPr>
          <w:ilvl w:val="0"/>
          <w:numId w:val="1"/>
        </w:numPr>
        <w:spacing w:after="100"/>
      </w:pPr>
      <w:r>
        <w:t xml:space="preserve">Pin critical packages to exact versions (stripe, redis, helmet, jsonwebtoken)</w:t>
      </w:r>
    </w:p>
    <w:p>
      <w:pPr>
        <w:pStyle w:val="ListParagraph"/>
        <w:numPr>
          <w:ilvl w:val="0"/>
          <w:numId w:val="1"/>
        </w:numPr>
        <w:spacing w:after="100"/>
      </w:pPr>
      <w:r>
        <w:t xml:space="preserve">Use `npm ci` (not `npm install`) in CI</w:t>
      </w:r>
    </w:p>
    <w:p>
      <w:pPr>
        <w:pStyle w:val="ListParagraph"/>
        <w:numPr>
          <w:ilvl w:val="0"/>
          <w:numId w:val="1"/>
        </w:numPr>
        <w:spacing w:after="100"/>
      </w:pPr>
      <w:r>
        <w:t xml:space="preserve">Disable lifecycle scripts: `npm ci --ignore-scripts`</w:t>
      </w:r>
    </w:p>
    <w:p>
      <w:pPr>
        <w:pStyle w:val="ListParagraph"/>
        <w:numPr>
          <w:ilvl w:val="0"/>
          <w:numId w:val="1"/>
        </w:numPr>
        <w:spacing w:after="100"/>
      </w:pPr>
      <w:r>
        <w:t xml:space="preserve">No git dependencies in package.json</w:t>
      </w:r>
    </w:p>
    <w:p>
      <w:pPr>
        <w:pStyle w:val="ListParagraph"/>
        <w:numPr>
          <w:ilvl w:val="0"/>
          <w:numId w:val="1"/>
        </w:numPr>
        <w:spacing w:after="100"/>
      </w:pPr>
      <w:r>
        <w:t xml:space="preserve">Run `npm audit` in CI pipeline</w:t>
      </w:r>
    </w:p>
    <w:p>
      <w:pPr>
        <w:pStyle w:val="Heading3"/>
        <w:spacing w:after="120" w:before="240"/>
        <w:outlineLvl w:val="2"/>
      </w:pPr>
      <w:r>
        <w:t xml:space="preserve">3.10 Input Validation with Zod/express-validator</w:t>
      </w:r>
    </w:p>
    <w:p>
      <w:pPr>
        <w:spacing w:after="120"/>
      </w:pPr>
      <w:r>
        <w:rPr>
          <w:rFonts w:ascii="Arial" w:cs="Arial" w:eastAsia="Arial" w:hAnsi="Arial"/>
          <w:b/>
          <w:bCs/>
        </w:rPr>
        <w:t xml:space="preserve">Priority:</w:t>
      </w:r>
      <w:r>
        <w:rPr>
          <w:rFonts w:ascii="Arial" w:cs="Arial" w:eastAsia="Arial" w:hAnsi="Arial"/>
        </w:rPr>
        <w:t xml:space="preserve"> HIGH | </w:t>
      </w:r>
      <w:r>
        <w:rPr>
          <w:rFonts w:ascii="Arial" w:cs="Arial" w:eastAsia="Arial" w:hAnsi="Arial"/>
          <w:b/>
          <w:bCs/>
        </w:rPr>
        <w:t xml:space="preserve">Effort:</w:t>
      </w:r>
      <w:r>
        <w:rPr>
          <w:rFonts w:ascii="Arial" w:cs="Arial" w:eastAsia="Arial" w:hAnsi="Arial"/>
        </w:rPr>
        <w:t xml:space="preserve"> M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Corgea Express Security 2025</w:t>
      </w:r>
    </w:p>
    <w:p>
      <w:pPr>
        <w:spacing w:after="120"/>
      </w:pPr>
      <w:r>
        <w:rPr>
          <w:rFonts w:ascii="Arial" w:cs="Arial" w:eastAsia="Arial" w:hAnsi="Arial"/>
        </w:rPr>
        <w:t xml:space="preserve">Validate all API inputs before processing. Reject malformed payment requests early. Use wallet address regex patterns for x402 endpoints.</w:t>
      </w:r>
    </w:p>
    <w:p>
      <w:pPr>
        <w:pStyle w:val="Heading2"/>
        <w:spacing w:after="120" w:before="240"/>
        <w:outlineLvl w:val="1"/>
      </w:pPr>
      <w:r>
        <w:t xml:space="preserve">4. Cloudflare Zero Trust / Tunnel</w:t>
      </w:r>
    </w:p>
    <w:p>
      <w:pPr>
        <w:pStyle w:val="Heading3"/>
        <w:spacing w:after="120" w:before="240"/>
        <w:outlineLvl w:val="2"/>
      </w:pPr>
      <w:r>
        <w:t xml:space="preserve">4.1 mTLS for Worker-to-Backend Authentication</w:t>
      </w:r>
    </w:p>
    <w:p>
      <w:pPr>
        <w:spacing w:after="120"/>
      </w:pPr>
      <w:r>
        <w:rPr>
          <w:rFonts w:ascii="Arial" w:cs="Arial" w:eastAsia="Arial" w:hAnsi="Arial"/>
          <w:b/>
          <w:bCs/>
        </w:rPr>
        <w:t xml:space="preserve">Priority:</w:t>
      </w:r>
      <w:r>
        <w:rPr>
          <w:rFonts w:ascii="Arial" w:cs="Arial" w:eastAsia="Arial" w:hAnsi="Arial"/>
        </w:rPr>
        <w:t xml:space="preserve"> CRITICAL | </w:t>
      </w:r>
      <w:r>
        <w:rPr>
          <w:rFonts w:ascii="Arial" w:cs="Arial" w:eastAsia="Arial" w:hAnsi="Arial"/>
          <w:b/>
          <w:bCs/>
        </w:rPr>
        <w:t xml:space="preserve">Effort:</w:t>
      </w:r>
      <w:r>
        <w:rPr>
          <w:rFonts w:ascii="Arial" w:cs="Arial" w:eastAsia="Arial" w:hAnsi="Arial"/>
        </w:rPr>
        <w:t xml:space="preserve"> M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Cloudflare mTLS for Workers</w:t>
      </w:r>
    </w:p>
    <w:p>
      <w:pPr>
        <w:spacing w:after="120"/>
      </w:pPr>
      <w:r>
        <w:rPr>
          <w:rFonts w:ascii="Arial" w:cs="Arial" w:eastAsia="Arial" w:hAnsi="Arial"/>
        </w:rPr>
        <w:t xml:space="preserve">Enable mutual TLS for all Tunnel-to-Worker communication. Enforce certificate rotation policies. Prevents unauthorized access to compliance verification endpoints.</w:t>
      </w:r>
    </w:p>
    <w:p>
      <w:pPr>
        <w:pStyle w:val="Heading3"/>
        <w:spacing w:after="120" w:before="240"/>
        <w:outlineLvl w:val="2"/>
      </w:pPr>
      <w:r>
        <w:t xml:space="preserve">4.2 Firewall Hardening (Outbound-Only)</w:t>
      </w:r>
    </w:p>
    <w:p>
      <w:pPr>
        <w:spacing w:after="120"/>
      </w:pPr>
      <w:r>
        <w:rPr>
          <w:rFonts w:ascii="Arial" w:cs="Arial" w:eastAsia="Arial" w:hAnsi="Arial"/>
          <w:b/>
          <w:bCs/>
        </w:rPr>
        <w:t xml:space="preserve">Priority:</w:t>
      </w:r>
      <w:r>
        <w:rPr>
          <w:rFonts w:ascii="Arial" w:cs="Arial" w:eastAsia="Arial" w:hAnsi="Arial"/>
        </w:rPr>
        <w:t xml:space="preserve"> CRITICAL | </w:t>
      </w:r>
      <w:r>
        <w:rPr>
          <w:rFonts w:ascii="Arial" w:cs="Arial" w:eastAsia="Arial" w:hAnsi="Arial"/>
          <w:b/>
          <w:bCs/>
        </w:rPr>
        <w:t xml:space="preserve">Effort:</w:t>
      </w:r>
      <w:r>
        <w:rPr>
          <w:rFonts w:ascii="Arial" w:cs="Arial" w:eastAsia="Arial" w:hAnsi="Arial"/>
        </w:rPr>
        <w:t xml:space="preserve"> S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Cloudflare Tunnel Firewall</w:t>
      </w:r>
    </w:p>
    <w:p>
      <w:pPr>
        <w:spacing w:after="120"/>
      </w:pPr>
      <w:r>
        <w:rPr>
          <w:rFonts w:ascii="Arial" w:cs="Arial" w:eastAsia="Arial" w:hAnsi="Arial"/>
        </w:rPr>
        <w:t xml:space="preserve">Allow only cloudflared egress traffic. Block all ingress. Verification API backend should be completely inaccessible except through the tunnel.</w:t>
      </w:r>
    </w:p>
    <w:p>
      <w:pPr>
        <w:pStyle w:val="Heading3"/>
        <w:spacing w:after="120" w:before="240"/>
        <w:outlineLvl w:val="2"/>
      </w:pPr>
      <w:r>
        <w:t xml:space="preserve">4.3 WAF + Rate Limiting for Verification API</w:t>
      </w:r>
    </w:p>
    <w:p>
      <w:pPr>
        <w:spacing w:after="120"/>
      </w:pPr>
      <w:r>
        <w:rPr>
          <w:rFonts w:ascii="Arial" w:cs="Arial" w:eastAsia="Arial" w:hAnsi="Arial"/>
          <w:b/>
          <w:bCs/>
        </w:rPr>
        <w:t xml:space="preserve">Priority:</w:t>
      </w:r>
      <w:r>
        <w:rPr>
          <w:rFonts w:ascii="Arial" w:cs="Arial" w:eastAsia="Arial" w:hAnsi="Arial"/>
        </w:rPr>
        <w:t xml:space="preserve"> CRITICAL | </w:t>
      </w:r>
      <w:r>
        <w:rPr>
          <w:rFonts w:ascii="Arial" w:cs="Arial" w:eastAsia="Arial" w:hAnsi="Arial"/>
          <w:b/>
          <w:bCs/>
        </w:rPr>
        <w:t xml:space="preserve">Effort:</w:t>
      </w:r>
      <w:r>
        <w:rPr>
          <w:rFonts w:ascii="Arial" w:cs="Arial" w:eastAsia="Arial" w:hAnsi="Arial"/>
        </w:rPr>
        <w:t xml:space="preserve"> M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Cloudflare WAF</w:t>
      </w:r>
      <w:r>
        <w:rPr>
          <w:rFonts w:ascii="Arial" w:cs="Arial" w:eastAsia="Arial" w:hAnsi="Arial"/>
        </w:rPr>
        <w:t xml:space="preserve"> | </w:t>
      </w:r>
      <w:r>
        <w:rPr>
          <w:rFonts w:ascii="Arial" w:cs="Arial" w:eastAsia="Arial" w:hAnsi="Arial"/>
          <w:color w:val="0563C1"/>
          <w:u w:val="single"/>
        </w:rPr>
        <w:t xml:space="preserve">Rate Limiting Best Practices</w:t>
      </w:r>
    </w:p>
    <w:p>
      <w:pPr>
        <w:spacing w:after="120"/>
      </w:pPr>
      <w:r>
        <w:rPr>
          <w:rFonts w:ascii="Arial" w:cs="Arial" w:eastAsia="Arial" w:hAnsi="Arial"/>
        </w:rPr>
        <w:t xml:space="preserve">Deploy OWASP Core Rule Set + Cloudflare Managed Ruleset. Configure granular rate limiting by IP, API key, and endpoint path for x402 verification endpoints.</w:t>
      </w:r>
    </w:p>
    <w:p>
      <w:pPr>
        <w:pStyle w:val="Heading3"/>
        <w:spacing w:after="120" w:before="240"/>
        <w:outlineLvl w:val="2"/>
      </w:pPr>
      <w:r>
        <w:t xml:space="preserve">4.4 Cryptographic Bot Authentication for x402 Agents</w:t>
      </w:r>
    </w:p>
    <w:p>
      <w:pPr>
        <w:spacing w:after="120"/>
      </w:pPr>
      <w:r>
        <w:rPr>
          <w:rFonts w:ascii="Arial" w:cs="Arial" w:eastAsia="Arial" w:hAnsi="Arial"/>
          <w:b/>
          <w:bCs/>
        </w:rPr>
        <w:t xml:space="preserve">Priority:</w:t>
      </w:r>
      <w:r>
        <w:rPr>
          <w:rFonts w:ascii="Arial" w:cs="Arial" w:eastAsia="Arial" w:hAnsi="Arial"/>
        </w:rPr>
        <w:t xml:space="preserve"> CRITICAL | </w:t>
      </w:r>
      <w:r>
        <w:rPr>
          <w:rFonts w:ascii="Arial" w:cs="Arial" w:eastAsia="Arial" w:hAnsi="Arial"/>
          <w:b/>
          <w:bCs/>
        </w:rPr>
        <w:t xml:space="preserve">Effort:</w:t>
      </w:r>
      <w:r>
        <w:rPr>
          <w:rFonts w:ascii="Arial" w:cs="Arial" w:eastAsia="Arial" w:hAnsi="Arial"/>
        </w:rPr>
        <w:t xml:space="preserve"> M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Cloudflare Cryptographic Bot Auth</w:t>
      </w:r>
    </w:p>
    <w:p>
      <w:pPr>
        <w:spacing w:after="120"/>
      </w:pPr>
      <w:r>
        <w:rPr>
          <w:rFonts w:ascii="Arial" w:cs="Arial" w:eastAsia="Arial" w:hAnsi="Arial"/>
        </w:rPr>
        <w:t xml:space="preserve">Traditional bot blocking may block legitimate AI agents making x402 payments. Implement HTTP message signatures and mTLS for bot authentication instead of IP-based blocking.</w:t>
      </w:r>
    </w:p>
    <w:p>
      <w:pPr>
        <w:pStyle w:val="Heading3"/>
        <w:spacing w:after="120" w:before="240"/>
        <w:outlineLvl w:val="2"/>
      </w:pPr>
      <w:r>
        <w:t xml:space="preserve">4.5 Deny-by-Default Access Policies</w:t>
      </w:r>
    </w:p>
    <w:p>
      <w:pPr>
        <w:spacing w:after="120"/>
      </w:pPr>
      <w:r>
        <w:rPr>
          <w:rFonts w:ascii="Arial" w:cs="Arial" w:eastAsia="Arial" w:hAnsi="Arial"/>
          <w:b/>
          <w:bCs/>
        </w:rPr>
        <w:t xml:space="preserve">Priority:</w:t>
      </w:r>
      <w:r>
        <w:rPr>
          <w:rFonts w:ascii="Arial" w:cs="Arial" w:eastAsia="Arial" w:hAnsi="Arial"/>
        </w:rPr>
        <w:t xml:space="preserve"> HIGH | </w:t>
      </w:r>
      <w:r>
        <w:rPr>
          <w:rFonts w:ascii="Arial" w:cs="Arial" w:eastAsia="Arial" w:hAnsi="Arial"/>
          <w:b/>
          <w:bCs/>
        </w:rPr>
        <w:t xml:space="preserve">Effort:</w:t>
      </w:r>
      <w:r>
        <w:rPr>
          <w:rFonts w:ascii="Arial" w:cs="Arial" w:eastAsia="Arial" w:hAnsi="Arial"/>
        </w:rPr>
        <w:t xml:space="preserve"> M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Cloudflare Access Policies</w:t>
      </w:r>
    </w:p>
    <w:p>
      <w:pPr>
        <w:spacing w:after="120"/>
      </w:pPr>
      <w:r>
        <w:rPr>
          <w:rFonts w:ascii="Arial" w:cs="Arial" w:eastAsia="Arial" w:hAnsi="Arial"/>
        </w:rPr>
        <w:t xml:space="preserve">Create separate Access policies for internal compliance agents, x402 payment verification, and webhook handlers. Evaluation order: Bypass &gt; Service Auth &gt; Block &gt; Allow.</w:t>
      </w:r>
    </w:p>
    <w:p>
      <w:pPr>
        <w:pStyle w:val="Heading3"/>
        <w:spacing w:after="120" w:before="240"/>
        <w:outlineLvl w:val="2"/>
      </w:pPr>
      <w:r>
        <w:t xml:space="preserve">4.6 Workers Isolation via V8 + Memory Protection Keys</w:t>
      </w:r>
    </w:p>
    <w:p>
      <w:pPr>
        <w:spacing w:after="120"/>
      </w:pPr>
      <w:r>
        <w:rPr>
          <w:rFonts w:ascii="Arial" w:cs="Arial" w:eastAsia="Arial" w:hAnsi="Arial"/>
          <w:b/>
          <w:bCs/>
        </w:rPr>
        <w:t xml:space="preserve">Priority:</w:t>
      </w:r>
      <w:r>
        <w:rPr>
          <w:rFonts w:ascii="Arial" w:cs="Arial" w:eastAsia="Arial" w:hAnsi="Arial"/>
        </w:rPr>
        <w:t xml:space="preserve"> HIGH | </w:t>
      </w:r>
      <w:r>
        <w:rPr>
          <w:rFonts w:ascii="Arial" w:cs="Arial" w:eastAsia="Arial" w:hAnsi="Arial"/>
          <w:b/>
          <w:bCs/>
        </w:rPr>
        <w:t xml:space="preserve">Effort:</w:t>
      </w:r>
      <w:r>
        <w:rPr>
          <w:rFonts w:ascii="Arial" w:cs="Arial" w:eastAsia="Arial" w:hAnsi="Arial"/>
        </w:rPr>
        <w:t xml:space="preserve"> M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Cloudflare Workers Security Model</w:t>
      </w:r>
    </w:p>
    <w:p>
      <w:pPr>
        <w:spacing w:after="120"/>
      </w:pPr>
      <w:r>
        <w:rPr>
          <w:rFonts w:ascii="Arial" w:cs="Arial" w:eastAsia="Arial" w:hAnsi="Arial"/>
        </w:rPr>
        <w:t xml:space="preserve">Request process-level isolation for x402 payment verification Workers (if plan supports it). Prevents cross-worker data leaks via Spectre-style attacks.</w:t>
      </w:r>
    </w:p>
    <w:p>
      <w:pPr>
        <w:pStyle w:val="Heading3"/>
        <w:spacing w:after="120" w:before="240"/>
        <w:outlineLvl w:val="2"/>
      </w:pPr>
      <w:r>
        <w:t xml:space="preserve">4.7 Automated Credential Rotation</w:t>
      </w:r>
    </w:p>
    <w:p>
      <w:pPr>
        <w:spacing w:after="120"/>
      </w:pPr>
      <w:r>
        <w:rPr>
          <w:rFonts w:ascii="Arial" w:cs="Arial" w:eastAsia="Arial" w:hAnsi="Arial"/>
          <w:b/>
          <w:bCs/>
        </w:rPr>
        <w:t xml:space="preserve">Priority:</w:t>
      </w:r>
      <w:r>
        <w:rPr>
          <w:rFonts w:ascii="Arial" w:cs="Arial" w:eastAsia="Arial" w:hAnsi="Arial"/>
        </w:rPr>
        <w:t xml:space="preserve"> CRITICAL | </w:t>
      </w:r>
      <w:r>
        <w:rPr>
          <w:rFonts w:ascii="Arial" w:cs="Arial" w:eastAsia="Arial" w:hAnsi="Arial"/>
          <w:b/>
          <w:bCs/>
        </w:rPr>
        <w:t xml:space="preserve">Effort:</w:t>
      </w:r>
      <w:r>
        <w:rPr>
          <w:rFonts w:ascii="Arial" w:cs="Arial" w:eastAsia="Arial" w:hAnsi="Arial"/>
        </w:rPr>
        <w:t xml:space="preserve"> M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Zuplo Key Rotation</w:t>
      </w:r>
    </w:p>
    <w:p>
      <w:pPr>
        <w:spacing w:after="120"/>
      </w:pPr>
      <w:r>
        <w:rPr>
          <w:rFonts w:ascii="Arial" w:cs="Arial" w:eastAsia="Arial" w:hAnsi="Arial"/>
        </w:rPr>
        <w:t xml:space="preserve">Implement automated rotation for Stripe API keys and x402 facilitator credentials in Cloudflare Secrets Manager. Use short-lived OAuth 2.1 tokens (15 min default). PCI DSS 4.0 mandates periodic rotation.</w:t>
      </w:r>
    </w:p>
    <w:p>
      <w:pPr>
        <w:pStyle w:val="Heading3"/>
        <w:spacing w:after="120" w:before="240"/>
        <w:outlineLvl w:val="2"/>
      </w:pPr>
      <w:r>
        <w:t xml:space="preserve">4.8 proxy-dns Deprecation</w:t>
      </w:r>
    </w:p>
    <w:p>
      <w:pPr>
        <w:spacing w:after="120"/>
      </w:pPr>
      <w:r>
        <w:rPr>
          <w:rFonts w:ascii="Arial" w:cs="Arial" w:eastAsia="Arial" w:hAnsi="Arial"/>
          <w:b/>
          <w:bCs/>
        </w:rPr>
        <w:t xml:space="preserve">Priority:</w:t>
      </w:r>
      <w:r>
        <w:rPr>
          <w:rFonts w:ascii="Arial" w:cs="Arial" w:eastAsia="Arial" w:hAnsi="Arial"/>
        </w:rPr>
        <w:t xml:space="preserve"> HIGH | </w:t>
      </w:r>
      <w:r>
        <w:rPr>
          <w:rFonts w:ascii="Arial" w:cs="Arial" w:eastAsia="Arial" w:hAnsi="Arial"/>
          <w:b/>
          <w:bCs/>
        </w:rPr>
        <w:t xml:space="preserve">Effort:</w:t>
      </w:r>
      <w:r>
        <w:rPr>
          <w:rFonts w:ascii="Arial" w:cs="Arial" w:eastAsia="Arial" w:hAnsi="Arial"/>
        </w:rPr>
        <w:t xml:space="preserve"> S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2026 Cloudflare Threat Report</w:t>
      </w:r>
    </w:p>
    <w:p>
      <w:pPr>
        <w:spacing w:after="120"/>
      </w:pPr>
      <w:r>
        <w:rPr>
          <w:rFonts w:ascii="Arial" w:cs="Arial" w:eastAsia="Arial" w:hAnsi="Arial"/>
        </w:rPr>
        <w:t xml:space="preserve">Remove </w:t>
      </w:r>
      <w:r>
        <w:rPr>
          <w:rFonts w:ascii="Courier New" w:cs="Courier New" w:eastAsia="Courier New" w:hAnsi="Courier New"/>
          <w:shd w:fill="F5F5F5" w:val="clear"/>
        </w:rPr>
        <w:t xml:space="preserve">cloudflared proxy-dns</w:t>
      </w:r>
      <w:r>
        <w:rPr>
          <w:rFonts w:ascii="Arial" w:cs="Arial" w:eastAsia="Arial" w:hAnsi="Arial"/>
        </w:rPr>
        <w:t xml:space="preserve"> command from all configs before February 2, 2026 deadline (deprecated due to DNS library vulnerability).</w:t>
      </w:r>
    </w:p>
    <w:p>
      <w:pPr>
        <w:pStyle w:val="Heading2"/>
        <w:spacing w:after="120" w:before="240"/>
        <w:outlineLvl w:val="1"/>
      </w:pPr>
      <w:r>
        <w:t xml:space="preserve">5. Stripe + x402 Payment Security</w:t>
      </w:r>
    </w:p>
    <w:p>
      <w:pPr>
        <w:pStyle w:val="Heading3"/>
        <w:spacing w:after="120" w:before="240"/>
        <w:outlineLvl w:val="2"/>
      </w:pPr>
      <w:r>
        <w:t xml:space="preserve">5.1 Webhook Replay Attack Prevention</w:t>
      </w:r>
    </w:p>
    <w:p>
      <w:pPr>
        <w:spacing w:after="120"/>
      </w:pPr>
      <w:r>
        <w:rPr>
          <w:rFonts w:ascii="Arial" w:cs="Arial" w:eastAsia="Arial" w:hAnsi="Arial"/>
          <w:b/>
          <w:bCs/>
        </w:rPr>
        <w:t xml:space="preserve">Priority:</w:t>
      </w:r>
      <w:r>
        <w:rPr>
          <w:rFonts w:ascii="Arial" w:cs="Arial" w:eastAsia="Arial" w:hAnsi="Arial"/>
        </w:rPr>
        <w:t xml:space="preserve"> CRITICAL | </w:t>
      </w:r>
      <w:r>
        <w:rPr>
          <w:rFonts w:ascii="Arial" w:cs="Arial" w:eastAsia="Arial" w:hAnsi="Arial"/>
          <w:b/>
          <w:bCs/>
        </w:rPr>
        <w:t xml:space="preserve">Effort:</w:t>
      </w:r>
      <w:r>
        <w:rPr>
          <w:rFonts w:ascii="Arial" w:cs="Arial" w:eastAsia="Arial" w:hAnsi="Arial"/>
        </w:rPr>
        <w:t xml:space="preserve"> S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Stripe Webhook Docs</w:t>
      </w:r>
      <w:r>
        <w:rPr>
          <w:rFonts w:ascii="Arial" w:cs="Arial" w:eastAsia="Arial" w:hAnsi="Arial"/>
        </w:rPr>
        <w:t xml:space="preserve"> | </w:t>
      </w:r>
      <w:r>
        <w:rPr>
          <w:rFonts w:ascii="Arial" w:cs="Arial" w:eastAsia="Arial" w:hAnsi="Arial"/>
          <w:color w:val="0563C1"/>
          <w:u w:val="single"/>
        </w:rPr>
        <w:t xml:space="preserve">Hookdeck Security Checklist</w:t>
      </w:r>
    </w:p>
    <w:p>
      <w:pPr>
        <w:spacing w:after="120"/>
      </w:pPr>
      <w:r>
        <w:rPr>
          <w:rFonts w:ascii="Arial" w:cs="Arial" w:eastAsia="Arial" w:hAnsi="Arial"/>
        </w:rPr>
        <w:t xml:space="preserve">Stripe includes timestamps in signatures. Reject webhooks &gt;5 minutes old. Use Stripe SDK's </w:t>
      </w:r>
      <w:r>
        <w:rPr>
          <w:rFonts w:ascii="Courier New" w:cs="Courier New" w:eastAsia="Courier New" w:hAnsi="Courier New"/>
          <w:shd w:fill="F5F5F5" w:val="clear"/>
        </w:rPr>
        <w:t xml:space="preserve">constructEvent()</w:t>
      </w:r>
      <w:r>
        <w:rPr>
          <w:rFonts w:ascii="Arial" w:cs="Arial" w:eastAsia="Arial" w:hAnsi="Arial"/>
        </w:rPr>
        <w:t xml:space="preserve"> which validates automatically. Consider tighter tolerance for compliance audit trails.</w:t>
      </w:r>
    </w:p>
    <w:p>
      <w:pPr>
        <w:pStyle w:val="Heading3"/>
        <w:spacing w:after="120" w:before="240"/>
        <w:outlineLvl w:val="2"/>
      </w:pPr>
      <w:r>
        <w:t xml:space="preserve">5.2 Webhook Idempotency</w:t>
      </w:r>
    </w:p>
    <w:p>
      <w:pPr>
        <w:spacing w:after="120"/>
      </w:pPr>
      <w:r>
        <w:rPr>
          <w:rFonts w:ascii="Arial" w:cs="Arial" w:eastAsia="Arial" w:hAnsi="Arial"/>
          <w:b/>
          <w:bCs/>
        </w:rPr>
        <w:t xml:space="preserve">Priority:</w:t>
      </w:r>
      <w:r>
        <w:rPr>
          <w:rFonts w:ascii="Arial" w:cs="Arial" w:eastAsia="Arial" w:hAnsi="Arial"/>
        </w:rPr>
        <w:t xml:space="preserve"> CRITICAL | </w:t>
      </w:r>
      <w:r>
        <w:rPr>
          <w:rFonts w:ascii="Arial" w:cs="Arial" w:eastAsia="Arial" w:hAnsi="Arial"/>
          <w:b/>
          <w:bCs/>
        </w:rPr>
        <w:t xml:space="preserve">Effort:</w:t>
      </w:r>
      <w:r>
        <w:rPr>
          <w:rFonts w:ascii="Arial" w:cs="Arial" w:eastAsia="Arial" w:hAnsi="Arial"/>
        </w:rPr>
        <w:t xml:space="preserve"> S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Hookdeck Idempotency</w:t>
      </w:r>
    </w:p>
    <w:p>
      <w:pPr>
        <w:spacing w:after="120"/>
      </w:pPr>
      <w:r>
        <w:rPr>
          <w:rFonts w:ascii="Arial" w:cs="Arial" w:eastAsia="Arial" w:hAnsi="Arial"/>
        </w:rPr>
        <w:t xml:space="preserve">Store event_id in </w:t>
      </w:r>
      <w:r>
        <w:rPr>
          <w:rFonts w:ascii="Courier New" w:cs="Courier New" w:eastAsia="Courier New" w:hAnsi="Courier New"/>
          <w:shd w:fill="F5F5F5" w:val="clear"/>
        </w:rPr>
        <w:t xml:space="preserve">processed_webhooks</w:t>
      </w:r>
      <w:r>
        <w:rPr>
          <w:rFonts w:ascii="Arial" w:cs="Arial" w:eastAsia="Arial" w:hAnsi="Arial"/>
        </w:rPr>
        <w:t xml:space="preserve"> table with unique constraint. Check before processing. TTL: 7 days minimum. Prevents duplicate USDC fund allocations.</w:t>
      </w:r>
    </w:p>
    <w:p>
      <w:pPr>
        <w:pStyle w:val="Heading3"/>
        <w:spacing w:after="120" w:before="240"/>
        <w:outlineLvl w:val="2"/>
      </w:pPr>
      <w:r>
        <w:t xml:space="preserve">5.3 x402 Facilitator Centralization Risk</w:t>
      </w:r>
    </w:p>
    <w:p>
      <w:pPr>
        <w:spacing w:after="120"/>
      </w:pPr>
      <w:r>
        <w:rPr>
          <w:rFonts w:ascii="Arial" w:cs="Arial" w:eastAsia="Arial" w:hAnsi="Arial"/>
          <w:b/>
          <w:bCs/>
        </w:rPr>
        <w:t xml:space="preserve">Priority:</w:t>
      </w:r>
      <w:r>
        <w:rPr>
          <w:rFonts w:ascii="Arial" w:cs="Arial" w:eastAsia="Arial" w:hAnsi="Arial"/>
        </w:rPr>
        <w:t xml:space="preserve"> HIGH | </w:t>
      </w:r>
      <w:r>
        <w:rPr>
          <w:rFonts w:ascii="Arial" w:cs="Arial" w:eastAsia="Arial" w:hAnsi="Arial"/>
          <w:b/>
          <w:bCs/>
        </w:rPr>
        <w:t xml:space="preserve">Effort:</w:t>
      </w:r>
      <w:r>
        <w:rPr>
          <w:rFonts w:ascii="Arial" w:cs="Arial" w:eastAsia="Arial" w:hAnsi="Arial"/>
        </w:rPr>
        <w:t xml:space="preserve"> L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x402 GitHub</w:t>
      </w:r>
      <w:r>
        <w:rPr>
          <w:rFonts w:ascii="Arial" w:cs="Arial" w:eastAsia="Arial" w:hAnsi="Arial"/>
        </w:rPr>
        <w:t xml:space="preserve"> | </w:t>
      </w:r>
      <w:r>
        <w:rPr>
          <w:rFonts w:ascii="Arial" w:cs="Arial" w:eastAsia="Arial" w:hAnsi="Arial"/>
          <w:color w:val="0563C1"/>
          <w:u w:val="single"/>
        </w:rPr>
        <w:t xml:space="preserve">x402 Whitepaper</w:t>
      </w:r>
    </w:p>
    <w:p>
      <w:pPr>
        <w:spacing w:after="120"/>
      </w:pPr>
      <w:r>
        <w:rPr>
          <w:rFonts w:ascii="Arial" w:cs="Arial" w:eastAsia="Arial" w:hAnsi="Arial"/>
        </w:rPr>
        <w:t xml:space="preserve">Most x402 implementations rely on Coinbase-hosted facilitator (single point of failure). Security incident precedent: 402bridge exploited leaked private keys, drained $17,000 USDC. Implement circuit breaker: fall back to direct Stripe payments if facilitator unavailable.</w:t>
      </w:r>
    </w:p>
    <w:p>
      <w:pPr>
        <w:pStyle w:val="Heading3"/>
        <w:spacing w:after="120" w:before="240"/>
        <w:outlineLvl w:val="2"/>
      </w:pPr>
      <w:r>
        <w:t xml:space="preserve">5.4 USDC on Base Finality Windows</w:t>
      </w:r>
    </w:p>
    <w:p>
      <w:pPr>
        <w:spacing w:after="120"/>
      </w:pPr>
      <w:r>
        <w:rPr>
          <w:rFonts w:ascii="Arial" w:cs="Arial" w:eastAsia="Arial" w:hAnsi="Arial"/>
          <w:b/>
          <w:bCs/>
        </w:rPr>
        <w:t xml:space="preserve">Priority:</w:t>
      </w:r>
      <w:r>
        <w:rPr>
          <w:rFonts w:ascii="Arial" w:cs="Arial" w:eastAsia="Arial" w:hAnsi="Arial"/>
        </w:rPr>
        <w:t xml:space="preserve"> CRITICAL | </w:t>
      </w:r>
      <w:r>
        <w:rPr>
          <w:rFonts w:ascii="Arial" w:cs="Arial" w:eastAsia="Arial" w:hAnsi="Arial"/>
          <w:b/>
          <w:bCs/>
        </w:rPr>
        <w:t xml:space="preserve">Effort:</w:t>
      </w:r>
      <w:r>
        <w:rPr>
          <w:rFonts w:ascii="Arial" w:cs="Arial" w:eastAsia="Arial" w:hAnsi="Arial"/>
        </w:rPr>
        <w:t xml:space="preserve"> M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Base Transaction Finality</w:t>
      </w:r>
    </w:p>
    <w:p>
      <w:pPr>
        <w:spacing w:after="120"/>
      </w:pPr>
      <w:r>
        <w:rPr>
          <w:rFonts w:ascii="Arial" w:cs="Arial" w:eastAsia="Arial" w:hAnsi="Arial"/>
        </w:rPr>
        <w:t xml:space="preserve">Base has 3 finality stages: Preconfirmation (~200ms, 0.001% reorg), L2 Block (~2s, ~0% reorg), Batch Finality (~2 min, 0%). </w:t>
      </w:r>
      <w:r>
        <w:rPr>
          <w:rFonts w:ascii="Arial" w:cs="Arial" w:eastAsia="Arial" w:hAnsi="Arial"/>
          <w:b/>
          <w:bCs/>
        </w:rPr>
        <w:t xml:space="preserve">Do NOT reconcile USDC-to-fiat payments until batch finality (~2 minutes).</w:t>
      </w:r>
    </w:p>
    <w:p>
      <w:pPr>
        <w:pStyle w:val="Heading3"/>
        <w:spacing w:after="120" w:before="240"/>
        <w:outlineLvl w:val="2"/>
      </w:pPr>
      <w:r>
        <w:t xml:space="preserve">5.5 Crypto-Fiat Bridge Reconciliation</w:t>
      </w:r>
    </w:p>
    <w:p>
      <w:pPr>
        <w:spacing w:after="120"/>
      </w:pPr>
      <w:r>
        <w:rPr>
          <w:rFonts w:ascii="Arial" w:cs="Arial" w:eastAsia="Arial" w:hAnsi="Arial"/>
          <w:b/>
          <w:bCs/>
        </w:rPr>
        <w:t xml:space="preserve">Priority:</w:t>
      </w:r>
      <w:r>
        <w:rPr>
          <w:rFonts w:ascii="Arial" w:cs="Arial" w:eastAsia="Arial" w:hAnsi="Arial"/>
        </w:rPr>
        <w:t xml:space="preserve"> CRITICAL | </w:t>
      </w:r>
      <w:r>
        <w:rPr>
          <w:rFonts w:ascii="Arial" w:cs="Arial" w:eastAsia="Arial" w:hAnsi="Arial"/>
          <w:b/>
          <w:bCs/>
        </w:rPr>
        <w:t xml:space="preserve">Effort:</w:t>
      </w:r>
      <w:r>
        <w:rPr>
          <w:rFonts w:ascii="Arial" w:cs="Arial" w:eastAsia="Arial" w:hAnsi="Arial"/>
        </w:rPr>
        <w:t xml:space="preserve"> L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Naya Finance Reconciliation</w:t>
      </w:r>
    </w:p>
    <w:p>
      <w:pPr>
        <w:spacing w:after="120"/>
      </w:pPr>
      <w:r>
        <w:rPr>
          <w:rFonts w:ascii="Arial" w:cs="Arial" w:eastAsia="Arial" w:hAnsi="Arial"/>
        </w:rPr>
        <w:t xml:space="preserve">Implement quarantine state for USDC payments until fiat transfer reaches terminal state. Total fiat in bank must exceed total tokens on-chain. Automate reconciliation proof for audit trails.</w:t>
      </w:r>
    </w:p>
    <w:p>
      <w:pPr>
        <w:pStyle w:val="Heading3"/>
        <w:spacing w:after="120" w:before="240"/>
        <w:outlineLvl w:val="2"/>
      </w:pPr>
      <w:r>
        <w:t xml:space="preserve">5.6 PCI DSS Shared Responsibility</w:t>
      </w:r>
    </w:p>
    <w:p>
      <w:pPr>
        <w:spacing w:after="120"/>
      </w:pPr>
      <w:r>
        <w:rPr>
          <w:rFonts w:ascii="Arial" w:cs="Arial" w:eastAsia="Arial" w:hAnsi="Arial"/>
          <w:b/>
          <w:bCs/>
        </w:rPr>
        <w:t xml:space="preserve">Priority:</w:t>
      </w:r>
      <w:r>
        <w:rPr>
          <w:rFonts w:ascii="Arial" w:cs="Arial" w:eastAsia="Arial" w:hAnsi="Arial"/>
        </w:rPr>
        <w:t xml:space="preserve"> HIGH | </w:t>
      </w:r>
      <w:r>
        <w:rPr>
          <w:rFonts w:ascii="Arial" w:cs="Arial" w:eastAsia="Arial" w:hAnsi="Arial"/>
          <w:b/>
          <w:bCs/>
        </w:rPr>
        <w:t xml:space="preserve">Effort:</w:t>
      </w:r>
      <w:r>
        <w:rPr>
          <w:rFonts w:ascii="Arial" w:cs="Arial" w:eastAsia="Arial" w:hAnsi="Arial"/>
        </w:rPr>
        <w:t xml:space="preserve"> M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Stripe PCI Guide</w:t>
      </w:r>
      <w:r>
        <w:rPr>
          <w:rFonts w:ascii="Arial" w:cs="Arial" w:eastAsia="Arial" w:hAnsi="Arial"/>
        </w:rPr>
        <w:t xml:space="preserve"> | </w:t>
      </w:r>
      <w:r>
        <w:rPr>
          <w:rFonts w:ascii="Arial" w:cs="Arial" w:eastAsia="Arial" w:hAnsi="Arial"/>
          <w:color w:val="0563C1"/>
          <w:u w:val="single"/>
        </w:rPr>
        <w:t xml:space="preserve">Vanta PCI</w:t>
      </w:r>
    </w:p>
    <w:p>
      <w:pPr>
        <w:spacing w:after="120"/>
      </w:pPr>
      <w:r>
        <w:rPr>
          <w:rFonts w:ascii="Arial" w:cs="Arial" w:eastAsia="Arial" w:hAnsi="Arial"/>
        </w:rPr>
        <w:t xml:space="preserve">Stripe handles PCI Level 1 certification, but Arkova must validate compliance annually. Use Stripe Checkout (not custom card forms) to minimize scope. PCI DSS 4.0: must monitor third-party scripts on site.</w:t>
      </w:r>
    </w:p>
    <w:p>
      <w:pPr>
        <w:pStyle w:val="Heading3"/>
        <w:spacing w:after="120" w:before="240"/>
        <w:outlineLvl w:val="2"/>
      </w:pPr>
      <w:r>
        <w:t xml:space="preserve">5.7 EIP-3009 Token Limitation</w:t>
      </w:r>
    </w:p>
    <w:p>
      <w:pPr>
        <w:spacing w:after="120"/>
      </w:pPr>
      <w:r>
        <w:rPr>
          <w:rFonts w:ascii="Arial" w:cs="Arial" w:eastAsia="Arial" w:hAnsi="Arial"/>
          <w:b/>
          <w:bCs/>
        </w:rPr>
        <w:t xml:space="preserve">Priority:</w:t>
      </w:r>
      <w:r>
        <w:rPr>
          <w:rFonts w:ascii="Arial" w:cs="Arial" w:eastAsia="Arial" w:hAnsi="Arial"/>
        </w:rPr>
        <w:t xml:space="preserve"> MEDIUM | </w:t>
      </w:r>
      <w:r>
        <w:rPr>
          <w:rFonts w:ascii="Arial" w:cs="Arial" w:eastAsia="Arial" w:hAnsi="Arial"/>
          <w:b/>
          <w:bCs/>
        </w:rPr>
        <w:t xml:space="preserve">Effort:</w:t>
      </w:r>
      <w:r>
        <w:rPr>
          <w:rFonts w:ascii="Arial" w:cs="Arial" w:eastAsia="Arial" w:hAnsi="Arial"/>
        </w:rPr>
        <w:t xml:space="preserve"> XL (if expanding)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x402 Docs</w:t>
      </w:r>
    </w:p>
    <w:p>
      <w:pPr>
        <w:spacing w:after="120"/>
      </w:pPr>
      <w:r>
        <w:rPr>
          <w:rFonts w:ascii="Arial" w:cs="Arial" w:eastAsia="Arial" w:hAnsi="Arial"/>
        </w:rPr>
        <w:t xml:space="preserve">Only USDC natively supports EIP-3009 ("Transfer With Authorization"). Start USDC-only. Supporting additional stablecoins requires custom facilitator implementations.</w:t>
      </w:r>
    </w:p>
    <w:p>
      <w:pPr>
        <w:pStyle w:val="Heading3"/>
        <w:spacing w:after="120" w:before="240"/>
        <w:outlineLvl w:val="2"/>
      </w:pPr>
      <w:r>
        <w:t xml:space="preserve">5.8 FX &amp; Tax Treatment for Mixed Revenue</w:t>
      </w:r>
    </w:p>
    <w:p>
      <w:pPr>
        <w:spacing w:after="120"/>
      </w:pPr>
      <w:r>
        <w:rPr>
          <w:rFonts w:ascii="Arial" w:cs="Arial" w:eastAsia="Arial" w:hAnsi="Arial"/>
          <w:b/>
          <w:bCs/>
        </w:rPr>
        <w:t xml:space="preserve">Priority:</w:t>
      </w:r>
      <w:r>
        <w:rPr>
          <w:rFonts w:ascii="Arial" w:cs="Arial" w:eastAsia="Arial" w:hAnsi="Arial"/>
        </w:rPr>
        <w:t xml:space="preserve"> HIGH | </w:t>
      </w:r>
      <w:r>
        <w:rPr>
          <w:rFonts w:ascii="Arial" w:cs="Arial" w:eastAsia="Arial" w:hAnsi="Arial"/>
          <w:b/>
          <w:bCs/>
        </w:rPr>
        <w:t xml:space="preserve">Effort:</w:t>
      </w:r>
      <w:r>
        <w:rPr>
          <w:rFonts w:ascii="Arial" w:cs="Arial" w:eastAsia="Arial" w:hAnsi="Arial"/>
        </w:rPr>
        <w:t xml:space="preserve"> M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Stripe Stablecoin Payments</w:t>
      </w:r>
    </w:p>
    <w:p>
      <w:pPr>
        <w:spacing w:after="120"/>
      </w:pPr>
      <w:r>
        <w:rPr>
          <w:rFonts w:ascii="Arial" w:cs="Arial" w:eastAsia="Arial" w:hAnsi="Arial"/>
        </w:rPr>
        <w:t xml:space="preserve">Create internal runbook for: USDC payment received but fiat settlement fails; FX differences if USDC depeg occurs; tax treatment of USDC revenue; reporting requirements for mixed revenue streams. Finance team must align before launch.</w:t>
      </w:r>
    </w:p>
    <w:p>
      <w:pPr>
        <w:pStyle w:val="Heading2"/>
        <w:spacing w:after="120" w:before="240"/>
        <w:outlineLvl w:val="1"/>
      </w:pPr>
      <w:r>
        <w:t xml:space="preserve">6. Bitcoin / Chain Security</w:t>
      </w:r>
    </w:p>
    <w:p>
      <w:pPr>
        <w:pStyle w:val="Heading3"/>
        <w:spacing w:after="120" w:before="240"/>
        <w:outlineLvl w:val="2"/>
      </w:pPr>
      <w:r>
        <w:t xml:space="preserve">6.1 bitcoinjs-lib Typosquatting Attack</w:t>
      </w:r>
    </w:p>
    <w:p>
      <w:pPr>
        <w:spacing w:after="120"/>
      </w:pPr>
      <w:r>
        <w:rPr>
          <w:rFonts w:ascii="Arial" w:cs="Arial" w:eastAsia="Arial" w:hAnsi="Arial"/>
          <w:b/>
          <w:bCs/>
        </w:rPr>
        <w:t xml:space="preserve">Priority:</w:t>
      </w:r>
      <w:r>
        <w:rPr>
          <w:rFonts w:ascii="Arial" w:cs="Arial" w:eastAsia="Arial" w:hAnsi="Arial"/>
        </w:rPr>
        <w:t xml:space="preserve"> CRITICAL | </w:t>
      </w:r>
      <w:r>
        <w:rPr>
          <w:rFonts w:ascii="Arial" w:cs="Arial" w:eastAsia="Arial" w:hAnsi="Arial"/>
          <w:b/>
          <w:bCs/>
        </w:rPr>
        <w:t xml:space="preserve">Effort:</w:t>
      </w:r>
      <w:r>
        <w:rPr>
          <w:rFonts w:ascii="Arial" w:cs="Arial" w:eastAsia="Arial" w:hAnsi="Arial"/>
        </w:rPr>
        <w:t xml:space="preserve"> S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ThreatLabz Malicious NPM Packages</w:t>
      </w:r>
    </w:p>
    <w:p>
      <w:pPr>
        <w:spacing w:after="120"/>
      </w:pPr>
      <w:r>
        <w:rPr>
          <w:rFonts w:ascii="Arial" w:cs="Arial" w:eastAsia="Arial" w:hAnsi="Arial"/>
        </w:rPr>
        <w:t xml:space="preserve">Malicious packages (</w:t>
      </w:r>
      <w:r>
        <w:rPr>
          <w:rFonts w:ascii="Courier New" w:cs="Courier New" w:eastAsia="Courier New" w:hAnsi="Courier New"/>
          <w:shd w:fill="F5F5F5" w:val="clear"/>
        </w:rPr>
        <w:t xml:space="preserve">bitcoin-main-lib</w:t>
      </w:r>
      <w:r>
        <w:rPr>
          <w:rFonts w:ascii="Arial" w:cs="Arial" w:eastAsia="Arial" w:hAnsi="Arial"/>
        </w:rPr>
        <w:t xml:space="preserve">, </w:t>
      </w:r>
      <w:r>
        <w:rPr>
          <w:rFonts w:ascii="Courier New" w:cs="Courier New" w:eastAsia="Courier New" w:hAnsi="Courier New"/>
          <w:shd w:fill="F5F5F5" w:val="clear"/>
        </w:rPr>
        <w:t xml:space="preserve">bitcoin-lib-js</w:t>
      </w:r>
      <w:r>
        <w:rPr>
          <w:rFonts w:ascii="Arial" w:cs="Arial" w:eastAsia="Arial" w:hAnsi="Arial"/>
        </w:rPr>
        <w:t xml:space="preserve">, </w:t>
      </w:r>
      <w:r>
        <w:rPr>
          <w:rFonts w:ascii="Courier New" w:cs="Courier New" w:eastAsia="Courier New" w:hAnsi="Courier New"/>
          <w:shd w:fill="F5F5F5" w:val="clear"/>
        </w:rPr>
        <w:t xml:space="preserve">bip40</w:t>
      </w:r>
      <w:r>
        <w:rPr>
          <w:rFonts w:ascii="Arial" w:cs="Arial" w:eastAsia="Arial" w:hAnsi="Arial"/>
        </w:rPr>
        <w:t xml:space="preserve">) distributing NodeCordRAT malware. Verify exact package names, lock to exact versions, enable npm audit in CI.</w:t>
      </w:r>
    </w:p>
    <w:p>
      <w:pPr>
        <w:pStyle w:val="Heading3"/>
        <w:spacing w:after="120" w:before="240"/>
        <w:outlineLvl w:val="2"/>
      </w:pPr>
      <w:r>
        <w:t xml:space="preserve">6.2 AWS KMS Bitcoin Signing Hardening</w:t>
      </w:r>
    </w:p>
    <w:p>
      <w:pPr>
        <w:spacing w:after="120"/>
      </w:pPr>
      <w:r>
        <w:rPr>
          <w:rFonts w:ascii="Arial" w:cs="Arial" w:eastAsia="Arial" w:hAnsi="Arial"/>
          <w:b/>
          <w:bCs/>
        </w:rPr>
        <w:t xml:space="preserve">Priority:</w:t>
      </w:r>
      <w:r>
        <w:rPr>
          <w:rFonts w:ascii="Arial" w:cs="Arial" w:eastAsia="Arial" w:hAnsi="Arial"/>
        </w:rPr>
        <w:t xml:space="preserve"> HIGH | </w:t>
      </w:r>
      <w:r>
        <w:rPr>
          <w:rFonts w:ascii="Arial" w:cs="Arial" w:eastAsia="Arial" w:hAnsi="Arial"/>
          <w:b/>
          <w:bCs/>
        </w:rPr>
        <w:t xml:space="preserve">Effort:</w:t>
      </w:r>
      <w:r>
        <w:rPr>
          <w:rFonts w:ascii="Arial" w:cs="Arial" w:eastAsia="Arial" w:hAnsi="Arial"/>
        </w:rPr>
        <w:t xml:space="preserve"> M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AWS KMS Cryptography</w:t>
      </w:r>
    </w:p>
    <w:p>
      <w:pPr>
        <w:spacing w:after="120"/>
      </w:pPr>
      <w:r>
        <w:rPr>
          <w:rFonts w:ascii="Arial" w:cs="Arial" w:eastAsia="Arial" w:hAnsi="Arial"/>
        </w:rPr>
        <w:t xml:space="preserve">Implement hot/cold wallet architecture (only hot wallet keys in KMS). Enable CloudTrail for all KMS key usage. Rotate IAM credentials monthly. Separate key administrators from key users.</w:t>
      </w:r>
    </w:p>
    <w:p>
      <w:pPr>
        <w:pStyle w:val="Heading3"/>
        <w:spacing w:after="120" w:before="240"/>
        <w:outlineLvl w:val="2"/>
      </w:pPr>
      <w:r>
        <w:t xml:space="preserve">6.3 Fee Sniping Prevention</w:t>
      </w:r>
    </w:p>
    <w:p>
      <w:pPr>
        <w:spacing w:after="120"/>
      </w:pPr>
      <w:r>
        <w:rPr>
          <w:rFonts w:ascii="Arial" w:cs="Arial" w:eastAsia="Arial" w:hAnsi="Arial"/>
          <w:b/>
          <w:bCs/>
        </w:rPr>
        <w:t xml:space="preserve">Priority:</w:t>
      </w:r>
      <w:r>
        <w:rPr>
          <w:rFonts w:ascii="Arial" w:cs="Arial" w:eastAsia="Arial" w:hAnsi="Arial"/>
        </w:rPr>
        <w:t xml:space="preserve"> HIGH | </w:t>
      </w:r>
      <w:r>
        <w:rPr>
          <w:rFonts w:ascii="Arial" w:cs="Arial" w:eastAsia="Arial" w:hAnsi="Arial"/>
          <w:b/>
          <w:bCs/>
        </w:rPr>
        <w:t xml:space="preserve">Effort:</w:t>
      </w:r>
      <w:r>
        <w:rPr>
          <w:rFonts w:ascii="Arial" w:cs="Arial" w:eastAsia="Arial" w:hAnsi="Arial"/>
        </w:rPr>
        <w:t xml:space="preserve"> M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Bitcoin Optech Fee Sniping</w:t>
      </w:r>
      <w:r>
        <w:rPr>
          <w:rFonts w:ascii="Arial" w:cs="Arial" w:eastAsia="Arial" w:hAnsi="Arial"/>
        </w:rPr>
        <w:t xml:space="preserve"> | </w:t>
      </w:r>
      <w:r>
        <w:rPr>
          <w:rFonts w:ascii="Arial" w:cs="Arial" w:eastAsia="Arial" w:hAnsi="Arial"/>
          <w:color w:val="0563C1"/>
          <w:u w:val="single"/>
        </w:rPr>
        <w:t xml:space="preserve">BIP 326</w:t>
      </w:r>
    </w:p>
    <w:p>
      <w:pPr>
        <w:spacing w:after="120"/>
      </w:pPr>
      <w:r>
        <w:rPr>
          <w:rFonts w:ascii="Arial" w:cs="Arial" w:eastAsia="Arial" w:hAnsi="Arial"/>
        </w:rPr>
        <w:t xml:space="preserve">Set </w:t>
      </w:r>
      <w:r>
        <w:rPr>
          <w:rFonts w:ascii="Courier New" w:cs="Courier New" w:eastAsia="Courier New" w:hAnsi="Courier New"/>
          <w:shd w:fill="F5F5F5" w:val="clear"/>
        </w:rPr>
        <w:t xml:space="preserve">nLockTime = current_block_height</w:t>
      </w:r>
      <w:r>
        <w:rPr>
          <w:rFonts w:ascii="Arial" w:cs="Arial" w:eastAsia="Arial" w:hAnsi="Arial"/>
        </w:rPr>
        <w:t xml:space="preserve"> on all OP_RETURN transactions. Monitor mempool fee rates; avoid anchoring during abnormal spikes.</w:t>
      </w:r>
    </w:p>
    <w:p>
      <w:pPr>
        <w:pStyle w:val="Heading3"/>
        <w:spacing w:after="120" w:before="240"/>
        <w:outlineLvl w:val="2"/>
      </w:pPr>
      <w:r>
        <w:t xml:space="preserve">6.4 Transaction Malleability (SegWit Verification)</w:t>
      </w:r>
    </w:p>
    <w:p>
      <w:pPr>
        <w:spacing w:after="120"/>
      </w:pPr>
      <w:r>
        <w:rPr>
          <w:rFonts w:ascii="Arial" w:cs="Arial" w:eastAsia="Arial" w:hAnsi="Arial"/>
          <w:b/>
          <w:bCs/>
        </w:rPr>
        <w:t xml:space="preserve">Priority:</w:t>
      </w:r>
      <w:r>
        <w:rPr>
          <w:rFonts w:ascii="Arial" w:cs="Arial" w:eastAsia="Arial" w:hAnsi="Arial"/>
        </w:rPr>
        <w:t xml:space="preserve"> MEDIUM | </w:t>
      </w:r>
      <w:r>
        <w:rPr>
          <w:rFonts w:ascii="Arial" w:cs="Arial" w:eastAsia="Arial" w:hAnsi="Arial"/>
          <w:b/>
          <w:bCs/>
        </w:rPr>
        <w:t xml:space="preserve">Effort:</w:t>
      </w:r>
      <w:r>
        <w:rPr>
          <w:rFonts w:ascii="Arial" w:cs="Arial" w:eastAsia="Arial" w:hAnsi="Arial"/>
        </w:rPr>
        <w:t xml:space="preserve"> S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Bitcoin Wiki Transaction Malleability</w:t>
      </w:r>
    </w:p>
    <w:p>
      <w:pPr>
        <w:spacing w:after="120"/>
      </w:pPr>
      <w:r>
        <w:rPr>
          <w:rFonts w:ascii="Arial" w:cs="Arial" w:eastAsia="Arial" w:hAnsi="Arial"/>
        </w:rPr>
        <w:t xml:space="preserve">Ensure all inputs use SegWit-native construction (P2WPKH, P2WSH, or P2TR). Verify bitcoinjs-lib version uses BIP 141 compliant code. OP_RETURN data itself is immutable.</w:t>
      </w:r>
    </w:p>
    <w:p>
      <w:pPr>
        <w:pStyle w:val="Heading3"/>
        <w:spacing w:after="120" w:before="240"/>
        <w:outlineLvl w:val="2"/>
      </w:pPr>
      <w:r>
        <w:t xml:space="preserve">6.5 Signet to Mainnet Migration Checklist</w:t>
      </w:r>
    </w:p>
    <w:p>
      <w:pPr>
        <w:spacing w:after="120"/>
      </w:pPr>
      <w:r>
        <w:rPr>
          <w:rFonts w:ascii="Arial" w:cs="Arial" w:eastAsia="Arial" w:hAnsi="Arial"/>
          <w:b/>
          <w:bCs/>
        </w:rPr>
        <w:t xml:space="preserve">Priority:</w:t>
      </w:r>
      <w:r>
        <w:rPr>
          <w:rFonts w:ascii="Arial" w:cs="Arial" w:eastAsia="Arial" w:hAnsi="Arial"/>
        </w:rPr>
        <w:t xml:space="preserve"> CRITICAL | </w:t>
      </w:r>
      <w:r>
        <w:rPr>
          <w:rFonts w:ascii="Arial" w:cs="Arial" w:eastAsia="Arial" w:hAnsi="Arial"/>
          <w:b/>
          <w:bCs/>
        </w:rPr>
        <w:t xml:space="preserve">Effort:</w:t>
      </w:r>
      <w:r>
        <w:rPr>
          <w:rFonts w:ascii="Arial" w:cs="Arial" w:eastAsia="Arial" w:hAnsi="Arial"/>
        </w:rPr>
        <w:t xml:space="preserve"> L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Bitcoin Wiki Signet</w:t>
      </w:r>
      <w:r>
        <w:rPr>
          <w:rFonts w:ascii="Arial" w:cs="Arial" w:eastAsia="Arial" w:hAnsi="Arial"/>
        </w:rPr>
        <w:t xml:space="preserve"> | </w:t>
      </w:r>
      <w:r>
        <w:rPr>
          <w:rFonts w:ascii="Arial" w:cs="Arial" w:eastAsia="Arial" w:hAnsi="Arial"/>
          <w:color w:val="0563C1"/>
          <w:u w:val="single"/>
        </w:rPr>
        <w:t xml:space="preserve">Bitcoin Optech Signet</w:t>
      </w:r>
    </w:p>
    <w:p>
      <w:pPr>
        <w:spacing w:after="120"/>
      </w:pPr>
      <w:r>
        <w:rPr>
          <w:rFonts w:ascii="Arial" w:cs="Arial" w:eastAsia="Arial" w:hAnsi="Arial"/>
        </w:rPr>
        <w:t xml:space="preserve">Key items:</w:t>
      </w:r>
    </w:p>
    <w:p>
      <w:pPr>
        <w:pStyle w:val="ListParagraph"/>
        <w:numPr>
          <w:ilvl w:val="0"/>
          <w:numId w:val="1"/>
        </w:numPr>
        <w:spacing w:after="100"/>
      </w:pPr>
      <w:r>
        <w:t xml:space="preserve">Generate mainnet keys distinct from signet keys</w:t>
      </w:r>
    </w:p>
    <w:p>
      <w:pPr>
        <w:pStyle w:val="ListParagraph"/>
        <w:numPr>
          <w:ilvl w:val="0"/>
          <w:numId w:val="1"/>
        </w:numPr>
        <w:spacing w:after="100"/>
      </w:pPr>
      <w:r>
        <w:t xml:space="preserve">Signet seed phrase NEVER used for mainnet</w:t>
      </w:r>
    </w:p>
    <w:p>
      <w:pPr>
        <w:pStyle w:val="ListParagraph"/>
        <w:numPr>
          <w:ilvl w:val="0"/>
          <w:numId w:val="1"/>
        </w:numPr>
        <w:spacing w:after="100"/>
      </w:pPr>
      <w:r>
        <w:t xml:space="preserve">Test fee estimation under real mempool congestion</w:t>
      </w:r>
    </w:p>
    <w:p>
      <w:pPr>
        <w:pStyle w:val="ListParagraph"/>
        <w:numPr>
          <w:ilvl w:val="0"/>
          <w:numId w:val="1"/>
        </w:numPr>
        <w:spacing w:after="100"/>
      </w:pPr>
      <w:r>
        <w:t xml:space="preserve">Verify OP_RETURN payload size &lt;80 bytes</w:t>
      </w:r>
    </w:p>
    <w:p>
      <w:pPr>
        <w:pStyle w:val="ListParagraph"/>
        <w:numPr>
          <w:ilvl w:val="0"/>
          <w:numId w:val="1"/>
        </w:numPr>
        <w:spacing w:after="100"/>
      </w:pPr>
      <w:r>
        <w:t xml:space="preserve">Confirm all inputs are SegWit-compatible</w:t>
      </w:r>
    </w:p>
    <w:p>
      <w:pPr>
        <w:pStyle w:val="ListParagraph"/>
        <w:numPr>
          <w:ilvl w:val="0"/>
          <w:numId w:val="1"/>
        </w:numPr>
        <w:spacing w:after="100"/>
      </w:pPr>
      <w:r>
        <w:t xml:space="preserve">Set up CloudWatch alerts for failed transactions</w:t>
      </w:r>
    </w:p>
    <w:p>
      <w:pPr>
        <w:pStyle w:val="ListParagraph"/>
        <w:numPr>
          <w:ilvl w:val="0"/>
          <w:numId w:val="1"/>
        </w:numPr>
        <w:spacing w:after="100"/>
      </w:pPr>
      <w:r>
        <w:t xml:space="preserve">Maintain signet parallel deployment during mainnet ramp</w:t>
      </w:r>
    </w:p>
    <w:p>
      <w:pPr>
        <w:pStyle w:val="ListParagraph"/>
        <w:numPr>
          <w:ilvl w:val="0"/>
          <w:numId w:val="1"/>
        </w:numPr>
        <w:spacing w:after="100"/>
      </w:pPr>
      <w:r>
        <w:t xml:space="preserve">Document rollback and emergency procedures</w:t>
      </w:r>
    </w:p>
    <w:p>
      <w:pPr>
        <w:pStyle w:val="Heading2"/>
        <w:spacing w:after="120" w:before="240"/>
        <w:outlineLvl w:val="1"/>
      </w:pPr>
      <w:r>
        <w:t xml:space="preserve">7. Testing &amp; CI/CD Improvements</w:t>
      </w:r>
    </w:p>
    <w:p>
      <w:pPr>
        <w:pStyle w:val="Heading3"/>
        <w:spacing w:after="120" w:before="240"/>
        <w:outlineLvl w:val="2"/>
      </w:pPr>
      <w:r>
        <w:t xml:space="preserve">7.1 GitHub Actions Supply Chain Attacks</w:t>
      </w:r>
    </w:p>
    <w:p>
      <w:pPr>
        <w:spacing w:after="120"/>
      </w:pPr>
      <w:r>
        <w:rPr>
          <w:rFonts w:ascii="Arial" w:cs="Arial" w:eastAsia="Arial" w:hAnsi="Arial"/>
          <w:b/>
          <w:bCs/>
        </w:rPr>
        <w:t xml:space="preserve">Priority:</w:t>
      </w:r>
      <w:r>
        <w:rPr>
          <w:rFonts w:ascii="Arial" w:cs="Arial" w:eastAsia="Arial" w:hAnsi="Arial"/>
        </w:rPr>
        <w:t xml:space="preserve"> CRITICAL | </w:t>
      </w:r>
      <w:r>
        <w:rPr>
          <w:rFonts w:ascii="Arial" w:cs="Arial" w:eastAsia="Arial" w:hAnsi="Arial"/>
          <w:b/>
          <w:bCs/>
        </w:rPr>
        <w:t xml:space="preserve">Effort:</w:t>
      </w:r>
      <w:r>
        <w:rPr>
          <w:rFonts w:ascii="Arial" w:cs="Arial" w:eastAsia="Arial" w:hAnsi="Arial"/>
        </w:rPr>
        <w:t xml:space="preserve"> M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Dark Reading Supply Chain 2025</w:t>
      </w:r>
      <w:r>
        <w:rPr>
          <w:rFonts w:ascii="Arial" w:cs="Arial" w:eastAsia="Arial" w:hAnsi="Arial"/>
        </w:rPr>
        <w:t xml:space="preserve"> | </w:t>
      </w:r>
      <w:r>
        <w:rPr>
          <w:rFonts w:ascii="Arial" w:cs="Arial" w:eastAsia="Arial" w:hAnsi="Arial"/>
          <w:color w:val="0563C1"/>
          <w:u w:val="single"/>
        </w:rPr>
        <w:t xml:space="preserve">Snyk Trivy Compromise</w:t>
      </w:r>
    </w:p>
    <w:p>
      <w:pPr>
        <w:spacing w:after="120"/>
      </w:pPr>
      <w:r>
        <w:rPr>
          <w:rFonts w:ascii="Arial" w:cs="Arial" w:eastAsia="Arial" w:hAnsi="Arial"/>
        </w:rPr>
        <w:t xml:space="preserve">Two major 2025-2026 attacks: </w:t>
      </w:r>
      <w:r>
        <w:rPr>
          <w:rFonts w:ascii="Courier New" w:cs="Courier New" w:eastAsia="Courier New" w:hAnsi="Courier New"/>
          <w:shd w:fill="F5F5F5" w:val="clear"/>
        </w:rPr>
        <w:t xml:space="preserve">tj-actions/changed-files</w:t>
      </w:r>
      <w:r>
        <w:rPr>
          <w:rFonts w:ascii="Arial" w:cs="Arial" w:eastAsia="Arial" w:hAnsi="Arial"/>
        </w:rPr>
        <w:t xml:space="preserve"> (CVE-2025-30066, 70k Coinbase customers' secrets leaked) and </w:t>
      </w:r>
      <w:r>
        <w:rPr>
          <w:rFonts w:ascii="Courier New" w:cs="Courier New" w:eastAsia="Courier New" w:hAnsi="Courier New"/>
          <w:shd w:fill="F5F5F5" w:val="clear"/>
        </w:rPr>
        <w:t xml:space="preserve">aquasecurity/trivy-action</w:t>
      </w:r>
      <w:r>
        <w:rPr>
          <w:rFonts w:ascii="Arial" w:cs="Arial" w:eastAsia="Arial" w:hAnsi="Arial"/>
        </w:rPr>
        <w:t xml:space="preserve"> (75/76 version tags maliciously updated).</w:t>
      </w:r>
    </w:p>
    <w:p>
      <w:pPr>
        <w:spacing w:after="120"/>
      </w:pPr>
      <w:r>
        <w:rPr>
          <w:rFonts w:ascii="Arial" w:cs="Arial" w:eastAsia="Arial" w:hAnsi="Arial"/>
          <w:b/>
          <w:bCs/>
        </w:rPr>
        <w:t xml:space="preserve">Action:</w:t>
      </w:r>
      <w:r>
        <w:rPr>
          <w:rFonts w:ascii="Arial" w:cs="Arial" w:eastAsia="Arial" w:hAnsi="Arial"/>
        </w:rPr>
        <w:t xml:space="preserve"> Pin ALL actions to commit hashes (not version tags):</w:t>
      </w:r>
    </w:p>
    <w:p>
      <w:pPr>
        <w:shd w:fill="F5F5F5" w:val="clear"/>
        <w:spacing w:after="120" w:before="120"/>
      </w:pPr>
      <w:r>
        <w:t xml:space="preserve"># BEFORE (vulnerable):
- uses: aquasecurity/trivy-action@v0.8.0
# AFTER (safe):
- uses: aquasecurity/trivy-action@6fa29efbdc356a0b3ef7d0f9b0fcf11e0da32d08</w:t>
      </w:r>
    </w:p>
    <w:p>
      <w:pPr>
        <w:pStyle w:val="Heading3"/>
        <w:spacing w:after="120" w:before="240"/>
        <w:outlineLvl w:val="2"/>
      </w:pPr>
      <w:r>
        <w:t xml:space="preserve">7.2 JIT Credentials via OIDC</w:t>
      </w:r>
    </w:p>
    <w:p>
      <w:pPr>
        <w:spacing w:after="120"/>
      </w:pPr>
      <w:r>
        <w:rPr>
          <w:rFonts w:ascii="Arial" w:cs="Arial" w:eastAsia="Arial" w:hAnsi="Arial"/>
          <w:b/>
          <w:bCs/>
        </w:rPr>
        <w:t xml:space="preserve">Priority:</w:t>
      </w:r>
      <w:r>
        <w:rPr>
          <w:rFonts w:ascii="Arial" w:cs="Arial" w:eastAsia="Arial" w:hAnsi="Arial"/>
        </w:rPr>
        <w:t xml:space="preserve"> HIGH | </w:t>
      </w:r>
      <w:r>
        <w:rPr>
          <w:rFonts w:ascii="Arial" w:cs="Arial" w:eastAsia="Arial" w:hAnsi="Arial"/>
          <w:b/>
          <w:bCs/>
        </w:rPr>
        <w:t xml:space="preserve">Effort:</w:t>
      </w:r>
      <w:r>
        <w:rPr>
          <w:rFonts w:ascii="Arial" w:cs="Arial" w:eastAsia="Arial" w:hAnsi="Arial"/>
        </w:rPr>
        <w:t xml:space="preserve"> M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Unit 42 GitHub Actions Attack</w:t>
      </w:r>
    </w:p>
    <w:p>
      <w:pPr>
        <w:spacing w:after="120"/>
      </w:pPr>
      <w:r>
        <w:rPr>
          <w:rFonts w:ascii="Arial" w:cs="Arial" w:eastAsia="Arial" w:hAnsi="Arial"/>
        </w:rPr>
        <w:t xml:space="preserve">Replace long-lived secrets with GitHub OIDC tokens. Use </w:t>
      </w:r>
      <w:r>
        <w:rPr>
          <w:rFonts w:ascii="Courier New" w:cs="Courier New" w:eastAsia="Courier New" w:hAnsi="Courier New"/>
          <w:shd w:fill="F5F5F5" w:val="clear"/>
        </w:rPr>
        <w:t xml:space="preserve">id-token: write</w:t>
      </w:r>
      <w:r>
        <w:rPr>
          <w:rFonts w:ascii="Arial" w:cs="Arial" w:eastAsia="Arial" w:hAnsi="Arial"/>
        </w:rPr>
        <w:t xml:space="preserve"> permission to assume AWS IAM roles with 1-hour TTL.</w:t>
      </w:r>
    </w:p>
    <w:p>
      <w:pPr>
        <w:pStyle w:val="Heading3"/>
        <w:spacing w:after="120" w:before="240"/>
        <w:outlineLvl w:val="2"/>
      </w:pPr>
      <w:r>
        <w:t xml:space="preserve">7.3 Secret Scanning: TruffleHog + Gitleaks Hybrid</w:t>
      </w:r>
    </w:p>
    <w:p>
      <w:pPr>
        <w:spacing w:after="120"/>
      </w:pPr>
      <w:r>
        <w:rPr>
          <w:rFonts w:ascii="Arial" w:cs="Arial" w:eastAsia="Arial" w:hAnsi="Arial"/>
          <w:b/>
          <w:bCs/>
        </w:rPr>
        <w:t xml:space="preserve">Priority:</w:t>
      </w:r>
      <w:r>
        <w:rPr>
          <w:rFonts w:ascii="Arial" w:cs="Arial" w:eastAsia="Arial" w:hAnsi="Arial"/>
        </w:rPr>
        <w:t xml:space="preserve"> HIGH | </w:t>
      </w:r>
      <w:r>
        <w:rPr>
          <w:rFonts w:ascii="Arial" w:cs="Arial" w:eastAsia="Arial" w:hAnsi="Arial"/>
          <w:b/>
          <w:bCs/>
        </w:rPr>
        <w:t xml:space="preserve">Effort:</w:t>
      </w:r>
      <w:r>
        <w:rPr>
          <w:rFonts w:ascii="Arial" w:cs="Arial" w:eastAsia="Arial" w:hAnsi="Arial"/>
        </w:rPr>
        <w:t xml:space="preserve"> M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Jit TruffleHog vs Gitleaks</w:t>
      </w:r>
    </w:p>
    <w:p>
      <w:pPr>
        <w:spacing w:after="120"/>
      </w:pPr>
      <w:r>
        <w:rPr>
          <w:rFonts w:ascii="Arial" w:cs="Arial" w:eastAsia="Arial" w:hAnsi="Arial"/>
        </w:rPr>
        <w:t xml:space="preserve">Use TruffleHog for comprehensive scheduled scans (700+ detectors, active verification). Use Gitleaks for fast pre-commit hooks and PR checks.</w:t>
      </w:r>
    </w:p>
    <w:p>
      <w:pPr>
        <w:pStyle w:val="Heading3"/>
        <w:spacing w:after="120" w:before="240"/>
        <w:outlineLvl w:val="2"/>
      </w:pPr>
      <w:r>
        <w:t xml:space="preserve">7.4 Playwright E2E Security Testing</w:t>
      </w:r>
    </w:p>
    <w:p>
      <w:pPr>
        <w:spacing w:after="120"/>
      </w:pPr>
      <w:r>
        <w:rPr>
          <w:rFonts w:ascii="Arial" w:cs="Arial" w:eastAsia="Arial" w:hAnsi="Arial"/>
          <w:b/>
          <w:bCs/>
        </w:rPr>
        <w:t xml:space="preserve">Priority:</w:t>
      </w:r>
      <w:r>
        <w:rPr>
          <w:rFonts w:ascii="Arial" w:cs="Arial" w:eastAsia="Arial" w:hAnsi="Arial"/>
        </w:rPr>
        <w:t xml:space="preserve"> HIGH | </w:t>
      </w:r>
      <w:r>
        <w:rPr>
          <w:rFonts w:ascii="Arial" w:cs="Arial" w:eastAsia="Arial" w:hAnsi="Arial"/>
          <w:b/>
          <w:bCs/>
        </w:rPr>
        <w:t xml:space="preserve">Effort:</w:t>
      </w:r>
      <w:r>
        <w:rPr>
          <w:rFonts w:ascii="Arial" w:cs="Arial" w:eastAsia="Arial" w:hAnsi="Arial"/>
        </w:rPr>
        <w:t xml:space="preserve"> L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Playwright Security Testing</w:t>
      </w:r>
    </w:p>
    <w:p>
      <w:pPr>
        <w:spacing w:after="120"/>
      </w:pPr>
      <w:r>
        <w:rPr>
          <w:rFonts w:ascii="Arial" w:cs="Arial" w:eastAsia="Arial" w:hAnsi="Arial"/>
        </w:rPr>
        <w:t xml:space="preserve">Add focused tests for: session invalidation after logout, invalid session token rejection, XSS payload neutralization in compliance records, API tokens not in browser storage, role-based access control enforcement.</w:t>
      </w:r>
    </w:p>
    <w:p>
      <w:pPr>
        <w:pStyle w:val="Heading3"/>
        <w:spacing w:after="120" w:before="240"/>
        <w:outlineLvl w:val="2"/>
      </w:pPr>
      <w:r>
        <w:t xml:space="preserve">7.5 API Endpoint Fuzzing</w:t>
      </w:r>
    </w:p>
    <w:p>
      <w:pPr>
        <w:spacing w:after="120"/>
      </w:pPr>
      <w:r>
        <w:rPr>
          <w:rFonts w:ascii="Arial" w:cs="Arial" w:eastAsia="Arial" w:hAnsi="Arial"/>
          <w:b/>
          <w:bCs/>
        </w:rPr>
        <w:t xml:space="preserve">Priority:</w:t>
      </w:r>
      <w:r>
        <w:rPr>
          <w:rFonts w:ascii="Arial" w:cs="Arial" w:eastAsia="Arial" w:hAnsi="Arial"/>
        </w:rPr>
        <w:t xml:space="preserve"> HIGH | </w:t>
      </w:r>
      <w:r>
        <w:rPr>
          <w:rFonts w:ascii="Arial" w:cs="Arial" w:eastAsia="Arial" w:hAnsi="Arial"/>
          <w:b/>
          <w:bCs/>
        </w:rPr>
        <w:t xml:space="preserve">Effort:</w:t>
      </w:r>
      <w:r>
        <w:rPr>
          <w:rFonts w:ascii="Arial" w:cs="Arial" w:eastAsia="Arial" w:hAnsi="Arial"/>
        </w:rPr>
        <w:t xml:space="preserve"> M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StackHawk API Fuzz Testing</w:t>
      </w:r>
      <w:r>
        <w:rPr>
          <w:rFonts w:ascii="Arial" w:cs="Arial" w:eastAsia="Arial" w:hAnsi="Arial"/>
        </w:rPr>
        <w:t xml:space="preserve"> | </w:t>
      </w:r>
      <w:r>
        <w:rPr>
          <w:rFonts w:ascii="Arial" w:cs="Arial" w:eastAsia="Arial" w:hAnsi="Arial"/>
          <w:color w:val="0563C1"/>
          <w:u w:val="single"/>
        </w:rPr>
        <w:t xml:space="preserve">APIFuzzer GitHub</w:t>
      </w:r>
    </w:p>
    <w:p>
      <w:pPr>
        <w:spacing w:after="120"/>
      </w:pPr>
      <w:r>
        <w:rPr>
          <w:rFonts w:ascii="Arial" w:cs="Arial" w:eastAsia="Arial" w:hAnsi="Arial"/>
        </w:rPr>
        <w:t xml:space="preserve">Document API with OpenAPI spec. Use openapi-fuzzer (Rust, fast) or APIFuzzer (Python) in weekly CI runs. Fail builds on critical vulnerabilities.</w:t>
      </w:r>
    </w:p>
    <w:p>
      <w:pPr>
        <w:pStyle w:val="Heading3"/>
        <w:spacing w:after="120" w:before="240"/>
        <w:outlineLvl w:val="2"/>
      </w:pPr>
      <w:r>
        <w:t xml:space="preserve">7.6 SAST/DAST for TypeScript</w:t>
      </w:r>
    </w:p>
    <w:p>
      <w:pPr>
        <w:spacing w:after="120"/>
      </w:pPr>
      <w:r>
        <w:rPr>
          <w:rFonts w:ascii="Arial" w:cs="Arial" w:eastAsia="Arial" w:hAnsi="Arial"/>
          <w:b/>
          <w:bCs/>
        </w:rPr>
        <w:t xml:space="preserve">Priority:</w:t>
      </w:r>
      <w:r>
        <w:rPr>
          <w:rFonts w:ascii="Arial" w:cs="Arial" w:eastAsia="Arial" w:hAnsi="Arial"/>
        </w:rPr>
        <w:t xml:space="preserve"> CRITICAL | </w:t>
      </w:r>
      <w:r>
        <w:rPr>
          <w:rFonts w:ascii="Arial" w:cs="Arial" w:eastAsia="Arial" w:hAnsi="Arial"/>
          <w:b/>
          <w:bCs/>
        </w:rPr>
        <w:t xml:space="preserve">Effort:</w:t>
      </w:r>
      <w:r>
        <w:rPr>
          <w:rFonts w:ascii="Arial" w:cs="Arial" w:eastAsia="Arial" w:hAnsi="Arial"/>
        </w:rPr>
        <w:t xml:space="preserve"> L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OX Security SAST 2025</w:t>
      </w:r>
    </w:p>
    <w:p>
      <w:pPr>
        <w:pStyle w:val="ListParagraph"/>
        <w:numPr>
          <w:ilvl w:val="0"/>
          <w:numId w:val="1"/>
        </w:numPr>
        <w:spacing w:after="100"/>
      </w:pPr>
      <w:r>
        <w:t xml:space="preserve">SAST: Snyk (commercial, recommended) or JS-X-Ray (OSS) + GitHub CodeQL</w:t>
      </w:r>
    </w:p>
    <w:p>
      <w:pPr>
        <w:pStyle w:val="ListParagraph"/>
        <w:numPr>
          <w:ilvl w:val="0"/>
          <w:numId w:val="1"/>
        </w:numPr>
        <w:spacing w:after="100"/>
      </w:pPr>
      <w:r>
        <w:t xml:space="preserve">DAST: OWASP ZAP weekly scans against test environment</w:t>
      </w:r>
    </w:p>
    <w:p>
      <w:pPr>
        <w:pStyle w:val="ListParagraph"/>
        <w:numPr>
          <w:ilvl w:val="0"/>
          <w:numId w:val="1"/>
        </w:numPr>
        <w:spacing w:after="100"/>
      </w:pPr>
      <w:r>
        <w:t xml:space="preserve">Dependency scanning: npm audit + Snyk in every PR</w:t>
      </w:r>
    </w:p>
    <w:p>
      <w:pPr>
        <w:pStyle w:val="Heading3"/>
        <w:spacing w:after="120" w:before="240"/>
        <w:outlineLvl w:val="2"/>
      </w:pPr>
      <w:r>
        <w:t xml:space="preserve">7.7 Dependency Update Automation: Renovate</w:t>
      </w:r>
    </w:p>
    <w:p>
      <w:pPr>
        <w:spacing w:after="120"/>
      </w:pPr>
      <w:r>
        <w:rPr>
          <w:rFonts w:ascii="Arial" w:cs="Arial" w:eastAsia="Arial" w:hAnsi="Arial"/>
          <w:b/>
          <w:bCs/>
        </w:rPr>
        <w:t xml:space="preserve">Priority:</w:t>
      </w:r>
      <w:r>
        <w:rPr>
          <w:rFonts w:ascii="Arial" w:cs="Arial" w:eastAsia="Arial" w:hAnsi="Arial"/>
        </w:rPr>
        <w:t xml:space="preserve"> MEDIUM | </w:t>
      </w:r>
      <w:r>
        <w:rPr>
          <w:rFonts w:ascii="Arial" w:cs="Arial" w:eastAsia="Arial" w:hAnsi="Arial"/>
          <w:b/>
          <w:bCs/>
        </w:rPr>
        <w:t xml:space="preserve">Effort:</w:t>
      </w:r>
      <w:r>
        <w:rPr>
          <w:rFonts w:ascii="Arial" w:cs="Arial" w:eastAsia="Arial" w:hAnsi="Arial"/>
        </w:rPr>
        <w:t xml:space="preserve"> M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Renovate vs Dependabot</w:t>
      </w:r>
    </w:p>
    <w:p>
      <w:pPr>
        <w:spacing w:after="120"/>
      </w:pPr>
      <w:r>
        <w:rPr>
          <w:rFonts w:ascii="Arial" w:cs="Arial" w:eastAsia="Arial" w:hAnsi="Arial"/>
        </w:rPr>
        <w:t xml:space="preserve">Renovate offers superior monorepo support and configurable delay windows. Set </w:t>
      </w:r>
      <w:r>
        <w:rPr>
          <w:rFonts w:ascii="Courier New" w:cs="Courier New" w:eastAsia="Courier New" w:hAnsi="Courier New"/>
          <w:shd w:fill="F5F5F5" w:val="clear"/>
        </w:rPr>
        <w:t xml:space="preserve">minimumReleaseAge: "10 days"</w:t>
      </w:r>
      <w:r>
        <w:rPr>
          <w:rFonts w:ascii="Arial" w:cs="Arial" w:eastAsia="Arial" w:hAnsi="Arial"/>
        </w:rPr>
        <w:t xml:space="preserve"> for supply chain protection. Exception: security patches at 1 hour. Pin bitcoinjs-lib updates to 14-day delay with manual review.</w:t>
      </w:r>
    </w:p>
    <w:p>
      <w:pPr>
        <w:pStyle w:val="Heading3"/>
        <w:spacing w:after="120" w:before="240"/>
        <w:outlineLvl w:val="2"/>
      </w:pPr>
      <w:r>
        <w:t xml:space="preserve">7.8 Container Security Scanning</w:t>
      </w:r>
    </w:p>
    <w:p>
      <w:pPr>
        <w:spacing w:after="120"/>
      </w:pPr>
      <w:r>
        <w:rPr>
          <w:rFonts w:ascii="Arial" w:cs="Arial" w:eastAsia="Arial" w:hAnsi="Arial"/>
          <w:b/>
          <w:bCs/>
        </w:rPr>
        <w:t xml:space="preserve">Priority:</w:t>
      </w:r>
      <w:r>
        <w:rPr>
          <w:rFonts w:ascii="Arial" w:cs="Arial" w:eastAsia="Arial" w:hAnsi="Arial"/>
        </w:rPr>
        <w:t xml:space="preserve"> HIGH | </w:t>
      </w:r>
      <w:r>
        <w:rPr>
          <w:rFonts w:ascii="Arial" w:cs="Arial" w:eastAsia="Arial" w:hAnsi="Arial"/>
          <w:b/>
          <w:bCs/>
        </w:rPr>
        <w:t xml:space="preserve">Effort:</w:t>
      </w:r>
      <w:r>
        <w:rPr>
          <w:rFonts w:ascii="Arial" w:cs="Arial" w:eastAsia="Arial" w:hAnsi="Arial"/>
        </w:rPr>
        <w:t xml:space="preserve"> S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ARMO Container Scanning 2025</w:t>
      </w:r>
    </w:p>
    <w:p>
      <w:pPr>
        <w:spacing w:after="120"/>
      </w:pPr>
      <w:r>
        <w:rPr>
          <w:rFonts w:ascii="Arial" w:cs="Arial" w:eastAsia="Arial" w:hAnsi="Arial"/>
        </w:rPr>
        <w:t xml:space="preserve">Use Trivy (pinned to commit hash) for Docker image scanning. Use node:20-alpine base. Run as non-root user. Scan both at build and weekly in registry.</w:t>
      </w:r>
    </w:p>
    <w:p>
      <w:pPr>
        <w:pStyle w:val="Heading2"/>
        <w:spacing w:after="120" w:before="240"/>
        <w:outlineLvl w:val="1"/>
      </w:pPr>
      <w:r>
        <w:t xml:space="preserve">8. Competitive Codebase Patterns</w:t>
      </w:r>
    </w:p>
    <w:p>
      <w:pPr>
        <w:pStyle w:val="Heading3"/>
        <w:spacing w:after="120" w:before="240"/>
        <w:outlineLvl w:val="2"/>
      </w:pPr>
      <w:r>
        <w:t xml:space="preserve">8.1 RLS Policy Testing at Scale</w:t>
      </w:r>
    </w:p>
    <w:p>
      <w:pPr>
        <w:spacing w:after="120"/>
      </w:pPr>
      <w:r>
        <w:rPr>
          <w:rFonts w:ascii="Arial" w:cs="Arial" w:eastAsia="Arial" w:hAnsi="Arial"/>
          <w:b/>
          <w:bCs/>
        </w:rPr>
        <w:t xml:space="preserve">Priority:</w:t>
      </w:r>
      <w:r>
        <w:rPr>
          <w:rFonts w:ascii="Arial" w:cs="Arial" w:eastAsia="Arial" w:hAnsi="Arial"/>
        </w:rPr>
        <w:t xml:space="preserve"> HIGH | </w:t>
      </w:r>
      <w:r>
        <w:rPr>
          <w:rFonts w:ascii="Arial" w:cs="Arial" w:eastAsia="Arial" w:hAnsi="Arial"/>
          <w:b/>
          <w:bCs/>
        </w:rPr>
        <w:t xml:space="preserve">Effort:</w:t>
      </w:r>
      <w:r>
        <w:rPr>
          <w:rFonts w:ascii="Arial" w:cs="Arial" w:eastAsia="Arial" w:hAnsi="Arial"/>
        </w:rPr>
        <w:t xml:space="preserve"> M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supashield GitHub</w:t>
      </w:r>
    </w:p>
    <w:p>
      <w:pPr>
        <w:spacing w:after="120"/>
      </w:pPr>
      <w:r>
        <w:rPr>
          <w:rFonts w:ascii="Arial" w:cs="Arial" w:eastAsia="Arial" w:hAnsi="Arial"/>
        </w:rPr>
        <w:t xml:space="preserve">Use supashield or pgTAP for automated RLS policy testing. Run in CI against each migration. Validates USING/WITH CHECK symmetry and policy completeness.</w:t>
      </w:r>
    </w:p>
    <w:p>
      <w:pPr>
        <w:pStyle w:val="Heading3"/>
        <w:spacing w:after="120" w:before="240"/>
        <w:outlineLvl w:val="2"/>
      </w:pPr>
      <w:r>
        <w:t xml:space="preserve">8.2 Zod Validation for API Input Sanitization</w:t>
      </w:r>
    </w:p>
    <w:p>
      <w:pPr>
        <w:spacing w:after="120"/>
      </w:pPr>
      <w:r>
        <w:rPr>
          <w:rFonts w:ascii="Arial" w:cs="Arial" w:eastAsia="Arial" w:hAnsi="Arial"/>
          <w:b/>
          <w:bCs/>
        </w:rPr>
        <w:t xml:space="preserve">Priority:</w:t>
      </w:r>
      <w:r>
        <w:rPr>
          <w:rFonts w:ascii="Arial" w:cs="Arial" w:eastAsia="Arial" w:hAnsi="Arial"/>
        </w:rPr>
        <w:t xml:space="preserve"> HIGH | </w:t>
      </w:r>
      <w:r>
        <w:rPr>
          <w:rFonts w:ascii="Arial" w:cs="Arial" w:eastAsia="Arial" w:hAnsi="Arial"/>
          <w:b/>
          <w:bCs/>
        </w:rPr>
        <w:t xml:space="preserve">Effort:</w:t>
      </w:r>
      <w:r>
        <w:rPr>
          <w:rFonts w:ascii="Arial" w:cs="Arial" w:eastAsia="Arial" w:hAnsi="Arial"/>
        </w:rPr>
        <w:t xml:space="preserve"> M</w:t>
      </w:r>
    </w:p>
    <w:p>
      <w:pPr>
        <w:spacing w:after="120"/>
      </w:pPr>
      <w:r>
        <w:rPr>
          <w:rFonts w:ascii="Arial" w:cs="Arial" w:eastAsia="Arial" w:hAnsi="Arial"/>
        </w:rPr>
        <w:t xml:space="preserve">Replace or complement express-validator with Zod schemas for type-safe validation that shares types between API and frontend:</w:t>
      </w:r>
    </w:p>
    <w:p>
      <w:pPr>
        <w:shd w:fill="F5F5F5" w:val="clear"/>
        <w:spacing w:after="120" w:before="120"/>
      </w:pPr>
      <w:r>
        <w:t xml:space="preserve">const PaymentSchema = z.object({
  amount: z.number().min(0.001).max(1000000),
  currency: z.enum(['USDC', 'USD']),
  walletAddress: z.string().regex(/^0x[a-fA-F0-9]{40}$/)
});</w:t>
      </w:r>
    </w:p>
    <w:p>
      <w:pPr>
        <w:pStyle w:val="Heading3"/>
        <w:spacing w:after="120" w:before="240"/>
        <w:outlineLvl w:val="2"/>
      </w:pPr>
      <w:r>
        <w:t xml:space="preserve">8.3 React Router v6 Route Guards</w:t>
      </w:r>
    </w:p>
    <w:p>
      <w:pPr>
        <w:spacing w:after="120"/>
      </w:pPr>
      <w:r>
        <w:rPr>
          <w:rFonts w:ascii="Arial" w:cs="Arial" w:eastAsia="Arial" w:hAnsi="Arial"/>
          <w:b/>
          <w:bCs/>
        </w:rPr>
        <w:t xml:space="preserve">Priority:</w:t>
      </w:r>
      <w:r>
        <w:rPr>
          <w:rFonts w:ascii="Arial" w:cs="Arial" w:eastAsia="Arial" w:hAnsi="Arial"/>
        </w:rPr>
        <w:t xml:space="preserve"> MEDIUM | </w:t>
      </w:r>
      <w:r>
        <w:rPr>
          <w:rFonts w:ascii="Arial" w:cs="Arial" w:eastAsia="Arial" w:hAnsi="Arial"/>
          <w:b/>
          <w:bCs/>
        </w:rPr>
        <w:t xml:space="preserve">Effort:</w:t>
      </w:r>
      <w:r>
        <w:rPr>
          <w:rFonts w:ascii="Arial" w:cs="Arial" w:eastAsia="Arial" w:hAnsi="Arial"/>
        </w:rPr>
        <w:t xml:space="preserve"> S</w:t>
      </w:r>
    </w:p>
    <w:p>
      <w:pPr>
        <w:spacing w:after="120"/>
      </w:pPr>
      <w:r>
        <w:rPr>
          <w:rFonts w:ascii="Arial" w:cs="Arial" w:eastAsia="Arial" w:hAnsi="Arial"/>
        </w:rPr>
        <w:t xml:space="preserve">Implement auth middleware at the router level (not per-component) to prevent unauthorized route access. Redirect unauthenticated users before component render.</w:t>
      </w:r>
    </w:p>
    <w:p>
      <w:pPr>
        <w:pStyle w:val="Heading3"/>
        <w:spacing w:after="120" w:before="240"/>
        <w:outlineLvl w:val="2"/>
      </w:pPr>
      <w:r>
        <w:t xml:space="preserve">8.4 Tailwind CSS Arbitrary Value Injection</w:t>
      </w:r>
    </w:p>
    <w:p>
      <w:pPr>
        <w:spacing w:after="120"/>
      </w:pPr>
      <w:r>
        <w:rPr>
          <w:rFonts w:ascii="Arial" w:cs="Arial" w:eastAsia="Arial" w:hAnsi="Arial"/>
          <w:b/>
          <w:bCs/>
        </w:rPr>
        <w:t xml:space="preserve">Priority:</w:t>
      </w:r>
      <w:r>
        <w:rPr>
          <w:rFonts w:ascii="Arial" w:cs="Arial" w:eastAsia="Arial" w:hAnsi="Arial"/>
        </w:rPr>
        <w:t xml:space="preserve"> MEDIUM | </w:t>
      </w:r>
      <w:r>
        <w:rPr>
          <w:rFonts w:ascii="Arial" w:cs="Arial" w:eastAsia="Arial" w:hAnsi="Arial"/>
          <w:b/>
          <w:bCs/>
        </w:rPr>
        <w:t xml:space="preserve">Effort:</w:t>
      </w:r>
      <w:r>
        <w:rPr>
          <w:rFonts w:ascii="Arial" w:cs="Arial" w:eastAsia="Arial" w:hAnsi="Arial"/>
        </w:rPr>
        <w:t xml:space="preserve"> M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Dan Sasser Tailwind Security</w:t>
      </w:r>
    </w:p>
    <w:p>
      <w:pPr>
        <w:spacing w:after="120"/>
      </w:pPr>
      <w:r>
        <w:rPr>
          <w:rFonts w:ascii="Arial" w:cs="Arial" w:eastAsia="Arial" w:hAnsi="Arial"/>
        </w:rPr>
        <w:t xml:space="preserve">Never allow user input to control Tailwind class names. Use predefined class maps with TypeScript enums. Add </w:t>
      </w:r>
      <w:r>
        <w:rPr>
          <w:rFonts w:ascii="Courier New" w:cs="Courier New" w:eastAsia="Courier New" w:hAnsi="Courier New"/>
          <w:shd w:fill="F5F5F5" w:val="clear"/>
        </w:rPr>
        <w:t xml:space="preserve">eslint-plugin-tailwindcss</w:t>
      </w:r>
      <w:r>
        <w:rPr>
          <w:rFonts w:ascii="Arial" w:cs="Arial" w:eastAsia="Arial" w:hAnsi="Arial"/>
        </w:rPr>
        <w:t xml:space="preserve"> with </w:t>
      </w:r>
      <w:r>
        <w:rPr>
          <w:rFonts w:ascii="Courier New" w:cs="Courier New" w:eastAsia="Courier New" w:hAnsi="Courier New"/>
          <w:shd w:fill="F5F5F5" w:val="clear"/>
        </w:rPr>
        <w:t xml:space="preserve">no-arbitrary-value: warn</w:t>
      </w:r>
      <w:r>
        <w:rPr>
          <w:rFonts w:ascii="Arial" w:cs="Arial" w:eastAsia="Arial" w:hAnsi="Arial"/>
        </w:rPr>
        <w:t xml:space="preserve">.</w:t>
      </w:r>
    </w:p>
    <w:p>
      <w:pPr>
        <w:pStyle w:val="Heading2"/>
        <w:spacing w:after="120" w:before="240"/>
        <w:outlineLvl w:val="1"/>
      </w:pPr>
      <w:r>
        <w:t xml:space="preserve">9. SOC 2 / Compliance Engineering</w:t>
      </w:r>
    </w:p>
    <w:p>
      <w:pPr>
        <w:pStyle w:val="Heading3"/>
        <w:spacing w:after="120" w:before="240"/>
        <w:outlineLvl w:val="2"/>
      </w:pPr>
      <w:r>
        <w:t xml:space="preserve">9.1 GitHub Configuration for SOC 2 Evidence</w:t>
      </w:r>
    </w:p>
    <w:p>
      <w:pPr>
        <w:spacing w:after="120"/>
      </w:pPr>
      <w:r>
        <w:rPr>
          <w:rFonts w:ascii="Arial" w:cs="Arial" w:eastAsia="Arial" w:hAnsi="Arial"/>
          <w:b/>
          <w:bCs/>
        </w:rPr>
        <w:t xml:space="preserve">Priority:</w:t>
      </w:r>
      <w:r>
        <w:rPr>
          <w:rFonts w:ascii="Arial" w:cs="Arial" w:eastAsia="Arial" w:hAnsi="Arial"/>
        </w:rPr>
        <w:t xml:space="preserve"> CRITICAL | </w:t>
      </w:r>
      <w:r>
        <w:rPr>
          <w:rFonts w:ascii="Arial" w:cs="Arial" w:eastAsia="Arial" w:hAnsi="Arial"/>
          <w:b/>
          <w:bCs/>
        </w:rPr>
        <w:t xml:space="preserve">Effort:</w:t>
      </w:r>
      <w:r>
        <w:rPr>
          <w:rFonts w:ascii="Arial" w:cs="Arial" w:eastAsia="Arial" w:hAnsi="Arial"/>
        </w:rPr>
        <w:t xml:space="preserve"> M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Delve GitHub SOC 2 Checklist</w:t>
      </w:r>
    </w:p>
    <w:p>
      <w:pPr>
        <w:spacing w:after="120"/>
      </w:pPr>
      <w:r>
        <w:rPr>
          <w:rFonts w:ascii="Arial" w:cs="Arial" w:eastAsia="Arial" w:hAnsi="Arial"/>
        </w:rPr>
        <w:t xml:space="preserve">Required controls: branch protection with PR approvals (CC6.1), org-wide MFA (CC6.1), CODEOWNERS for sensitive paths (CC8.1), Dependabot vulnerability scanning (CC3.2), secret scanning with push protection, audit log streaming (1-year retention).</w:t>
      </w:r>
    </w:p>
    <w:p>
      <w:pPr>
        <w:pStyle w:val="Heading3"/>
        <w:spacing w:after="120" w:before="240"/>
        <w:outlineLvl w:val="2"/>
      </w:pPr>
      <w:r>
        <w:t xml:space="preserve">9.2 Continuous Compliance Monitoring Platform</w:t>
      </w:r>
    </w:p>
    <w:p>
      <w:pPr>
        <w:spacing w:after="120"/>
      </w:pPr>
      <w:r>
        <w:rPr>
          <w:rFonts w:ascii="Arial" w:cs="Arial" w:eastAsia="Arial" w:hAnsi="Arial"/>
          <w:b/>
          <w:bCs/>
        </w:rPr>
        <w:t xml:space="preserve">Priority:</w:t>
      </w:r>
      <w:r>
        <w:rPr>
          <w:rFonts w:ascii="Arial" w:cs="Arial" w:eastAsia="Arial" w:hAnsi="Arial"/>
        </w:rPr>
        <w:t xml:space="preserve"> HIGH | </w:t>
      </w:r>
      <w:r>
        <w:rPr>
          <w:rFonts w:ascii="Arial" w:cs="Arial" w:eastAsia="Arial" w:hAnsi="Arial"/>
          <w:b/>
          <w:bCs/>
        </w:rPr>
        <w:t xml:space="preserve">Effort:</w:t>
      </w:r>
      <w:r>
        <w:rPr>
          <w:rFonts w:ascii="Arial" w:cs="Arial" w:eastAsia="Arial" w:hAnsi="Arial"/>
        </w:rPr>
        <w:t xml:space="preserve"> M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Sprinto Compliance Tools 2026</w:t>
      </w:r>
    </w:p>
    <w:p>
      <w:pPr>
        <w:spacing w:after="120"/>
      </w:pPr>
      <w:r>
        <w:rPr>
          <w:rFonts w:ascii="Arial" w:cs="Arial" w:eastAsia="Arial" w:hAnsi="Arial"/>
        </w:rPr>
        <w:t xml:space="preserve">Recommended platforms for Arkova's stage: Sprinto ($6-8k/year, SaaS-focused), Drata ($7.5k/year, deep automation), or Vanta ($10k+/year, 400+ integrations). Continuous assurance is replacing point-in-time audits.</w:t>
      </w:r>
    </w:p>
    <w:p>
      <w:pPr>
        <w:pStyle w:val="Heading3"/>
        <w:spacing w:after="120" w:before="240"/>
        <w:outlineLvl w:val="2"/>
      </w:pPr>
      <w:r>
        <w:t xml:space="preserve">9.3 RLS as SOC 2 Access Control Evidence</w:t>
      </w:r>
    </w:p>
    <w:p>
      <w:pPr>
        <w:spacing w:after="120"/>
      </w:pPr>
      <w:r>
        <w:rPr>
          <w:rFonts w:ascii="Arial" w:cs="Arial" w:eastAsia="Arial" w:hAnsi="Arial"/>
          <w:b/>
          <w:bCs/>
        </w:rPr>
        <w:t xml:space="preserve">Priority:</w:t>
      </w:r>
      <w:r>
        <w:rPr>
          <w:rFonts w:ascii="Arial" w:cs="Arial" w:eastAsia="Arial" w:hAnsi="Arial"/>
        </w:rPr>
        <w:t xml:space="preserve"> CRITICAL | </w:t>
      </w:r>
      <w:r>
        <w:rPr>
          <w:rFonts w:ascii="Arial" w:cs="Arial" w:eastAsia="Arial" w:hAnsi="Arial"/>
          <w:b/>
          <w:bCs/>
        </w:rPr>
        <w:t xml:space="preserve">Effort:</w:t>
      </w:r>
      <w:r>
        <w:rPr>
          <w:rFonts w:ascii="Arial" w:cs="Arial" w:eastAsia="Arial" w:hAnsi="Arial"/>
        </w:rPr>
        <w:t xml:space="preserve"> S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Supabase SOC 2 Compliance</w:t>
      </w:r>
    </w:p>
    <w:p>
      <w:pPr>
        <w:spacing w:after="120"/>
      </w:pPr>
      <w:r>
        <w:rPr>
          <w:rFonts w:ascii="Arial" w:cs="Arial" w:eastAsia="Arial" w:hAnsi="Arial"/>
        </w:rPr>
        <w:t xml:space="preserve">Document Arkova's RLS implementation as primary access control evidence for CC6.1. Collect: RLS policy definitions per table/role, automated policy enforcement test results, access request/approval workflows, failed access attempt logs.</w:t>
      </w:r>
    </w:p>
    <w:p>
      <w:pPr>
        <w:pStyle w:val="Heading3"/>
        <w:spacing w:after="120" w:before="240"/>
        <w:outlineLvl w:val="2"/>
      </w:pPr>
      <w:r>
        <w:t xml:space="preserve">9.4 Audit Trail Completeness</w:t>
      </w:r>
    </w:p>
    <w:p>
      <w:pPr>
        <w:spacing w:after="120"/>
      </w:pPr>
      <w:r>
        <w:rPr>
          <w:rFonts w:ascii="Arial" w:cs="Arial" w:eastAsia="Arial" w:hAnsi="Arial"/>
          <w:b/>
          <w:bCs/>
        </w:rPr>
        <w:t xml:space="preserve">Priority:</w:t>
      </w:r>
      <w:r>
        <w:rPr>
          <w:rFonts w:ascii="Arial" w:cs="Arial" w:eastAsia="Arial" w:hAnsi="Arial"/>
        </w:rPr>
        <w:t xml:space="preserve"> CRITICAL | </w:t>
      </w:r>
      <w:r>
        <w:rPr>
          <w:rFonts w:ascii="Arial" w:cs="Arial" w:eastAsia="Arial" w:hAnsi="Arial"/>
          <w:b/>
          <w:bCs/>
        </w:rPr>
        <w:t xml:space="preserve">Effort:</w:t>
      </w:r>
      <w:r>
        <w:rPr>
          <w:rFonts w:ascii="Arial" w:cs="Arial" w:eastAsia="Arial" w:hAnsi="Arial"/>
        </w:rPr>
        <w:t xml:space="preserve"> M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Marutitech SOC 2 Audit Logs</w:t>
      </w:r>
    </w:p>
    <w:p>
      <w:pPr>
        <w:spacing w:after="120"/>
      </w:pPr>
      <w:r>
        <w:rPr>
          <w:rFonts w:ascii="Arial" w:cs="Arial" w:eastAsia="Arial" w:hAnsi="Arial"/>
        </w:rPr>
        <w:t xml:space="preserve">Every audit entry must capture: Who (user/service), What (action), When (timestamp), Outcome (success/failure), Context (affected resource). Minimum 12-month retention. Logs must be tamper-resistant.</w:t>
      </w:r>
    </w:p>
    <w:p>
      <w:pPr>
        <w:pStyle w:val="Heading3"/>
        <w:spacing w:after="120" w:before="240"/>
        <w:outlineLvl w:val="2"/>
      </w:pPr>
      <w:r>
        <w:t xml:space="preserve">9.5 SOC 2 Type II Timeline</w:t>
      </w:r>
    </w:p>
    <w:p>
      <w:pPr>
        <w:spacing w:after="120"/>
      </w:pPr>
      <w:r>
        <w:rPr>
          <w:rFonts w:ascii="Arial" w:cs="Arial" w:eastAsia="Arial" w:hAnsi="Arial"/>
          <w:b/>
          <w:bCs/>
        </w:rPr>
        <w:t xml:space="preserve">Priority:</w:t>
      </w:r>
      <w:r>
        <w:rPr>
          <w:rFonts w:ascii="Arial" w:cs="Arial" w:eastAsia="Arial" w:hAnsi="Arial"/>
        </w:rPr>
        <w:t xml:space="preserve"> CRITICAL | </w:t>
      </w:r>
      <w:r>
        <w:rPr>
          <w:rFonts w:ascii="Arial" w:cs="Arial" w:eastAsia="Arial" w:hAnsi="Arial"/>
          <w:b/>
          <w:bCs/>
        </w:rPr>
        <w:t xml:space="preserve">Effort:</w:t>
      </w:r>
      <w:r>
        <w:rPr>
          <w:rFonts w:ascii="Arial" w:cs="Arial" w:eastAsia="Arial" w:hAnsi="Arial"/>
        </w:rPr>
        <w:t xml:space="preserve"> XL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TryComp SOC 2 Checklist</w:t>
      </w:r>
    </w:p>
    <w:p>
      <w:pPr>
        <w:spacing w:after="120"/>
      </w:pPr>
      <w:r>
        <w:rPr>
          <w:rFonts w:ascii="Arial" w:cs="Arial" w:eastAsia="Arial" w:hAnsi="Arial"/>
        </w:rPr>
        <w:t xml:space="preserve">With 24/24 audit findings resolved and extensive audit trails, Arkova is likely ready for Type I now. Type II requires 6-12 months of operational evidence. Start with compliance automation platform to reduce evidence collection overhead.</w:t>
      </w:r>
    </w:p>
    <w:p>
      <w:pPr>
        <w:pStyle w:val="Heading2"/>
        <w:spacing w:after="120" w:before="240"/>
        <w:outlineLvl w:val="1"/>
      </w:pPr>
      <w:r>
        <w:t xml:space="preserve">10. Performance &amp; Scalability</w:t>
      </w:r>
    </w:p>
    <w:p>
      <w:pPr>
        <w:pStyle w:val="Heading3"/>
        <w:spacing w:after="120" w:before="240"/>
        <w:outlineLvl w:val="2"/>
      </w:pPr>
      <w:r>
        <w:t xml:space="preserve">10.1 Supavisor Connection Pooling</w:t>
      </w:r>
    </w:p>
    <w:p>
      <w:pPr>
        <w:spacing w:after="120"/>
      </w:pPr>
      <w:r>
        <w:rPr>
          <w:rFonts w:ascii="Arial" w:cs="Arial" w:eastAsia="Arial" w:hAnsi="Arial"/>
          <w:b/>
          <w:bCs/>
        </w:rPr>
        <w:t xml:space="preserve">Priority:</w:t>
      </w:r>
      <w:r>
        <w:rPr>
          <w:rFonts w:ascii="Arial" w:cs="Arial" w:eastAsia="Arial" w:hAnsi="Arial"/>
        </w:rPr>
        <w:t xml:space="preserve"> CRITICAL | </w:t>
      </w:r>
      <w:r>
        <w:rPr>
          <w:rFonts w:ascii="Arial" w:cs="Arial" w:eastAsia="Arial" w:hAnsi="Arial"/>
          <w:b/>
          <w:bCs/>
        </w:rPr>
        <w:t xml:space="preserve">Effort:</w:t>
      </w:r>
      <w:r>
        <w:rPr>
          <w:rFonts w:ascii="Arial" w:cs="Arial" w:eastAsia="Arial" w:hAnsi="Arial"/>
        </w:rPr>
        <w:t xml:space="preserve"> S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Supavisor 1 Million Connections</w:t>
      </w:r>
    </w:p>
    <w:p>
      <w:pPr>
        <w:spacing w:after="120"/>
      </w:pPr>
      <w:r>
        <w:rPr>
          <w:rFonts w:ascii="Arial" w:cs="Arial" w:eastAsia="Arial" w:hAnsi="Arial"/>
        </w:rPr>
        <w:t xml:space="preserve">Replace PgBouncer with Supavisor (cloud-native, tested at 1M+ connections). Use Transaction Mode for verification workers. No application code changes required—only update connection string.</w:t>
      </w:r>
    </w:p>
    <w:p>
      <w:pPr>
        <w:pStyle w:val="Heading3"/>
        <w:spacing w:after="120" w:before="240"/>
        <w:outlineLvl w:val="2"/>
      </w:pPr>
      <w:r>
        <w:t xml:space="preserve">10.2 BRIN Indexes for 100M+ Records</w:t>
      </w:r>
    </w:p>
    <w:p>
      <w:pPr>
        <w:spacing w:after="120"/>
      </w:pPr>
      <w:r>
        <w:rPr>
          <w:rFonts w:ascii="Arial" w:cs="Arial" w:eastAsia="Arial" w:hAnsi="Arial"/>
          <w:b/>
          <w:bCs/>
        </w:rPr>
        <w:t xml:space="preserve">Priority:</w:t>
      </w:r>
      <w:r>
        <w:rPr>
          <w:rFonts w:ascii="Arial" w:cs="Arial" w:eastAsia="Arial" w:hAnsi="Arial"/>
        </w:rPr>
        <w:t xml:space="preserve"> CRITICAL | </w:t>
      </w:r>
      <w:r>
        <w:rPr>
          <w:rFonts w:ascii="Arial" w:cs="Arial" w:eastAsia="Arial" w:hAnsi="Arial"/>
          <w:b/>
          <w:bCs/>
        </w:rPr>
        <w:t xml:space="preserve">Effort:</w:t>
      </w:r>
      <w:r>
        <w:rPr>
          <w:rFonts w:ascii="Arial" w:cs="Arial" w:eastAsia="Arial" w:hAnsi="Arial"/>
        </w:rPr>
        <w:t xml:space="preserve"> M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Mattermost Postgres Optimization</w:t>
      </w:r>
    </w:p>
    <w:p>
      <w:pPr>
        <w:spacing w:after="120"/>
      </w:pPr>
      <w:r>
        <w:rPr>
          <w:rFonts w:ascii="Arial" w:cs="Arial" w:eastAsia="Arial" w:hAnsi="Arial"/>
        </w:rPr>
        <w:t xml:space="preserve">Use BRIN (Block Range Index) for naturally ordered columns (timestamps). Compound B-Tree for equality/range queries. Partial indexes on non-deleted records.</w:t>
      </w:r>
    </w:p>
    <w:p>
      <w:pPr>
        <w:shd w:fill="F5F5F5" w:val="clear"/>
        <w:spacing w:after="120" w:before="120"/>
      </w:pPr>
      <w:r>
        <w:t xml:space="preserve">CREATE INDEX CONCURRENTLY idx_public_records_created_at_brin
  ON public_records USING BRIN (created_at);
CREATE INDEX CONCURRENTLY idx_public_records_composite
  ON public_records (status, user_id, created_at DESC);
CREATE INDEX CONCURRENTLY idx_public_records_active
  ON public_records (created_at DESC) WHERE deleted_at IS NULL;</w:t>
      </w:r>
    </w:p>
    <w:p>
      <w:pPr>
        <w:pStyle w:val="Heading3"/>
        <w:spacing w:after="120" w:before="240"/>
        <w:outlineLvl w:val="2"/>
      </w:pPr>
      <w:r>
        <w:t xml:space="preserve">10.3 React Virtualization for Document-Heavy UIs</w:t>
      </w:r>
    </w:p>
    <w:p>
      <w:pPr>
        <w:spacing w:after="120"/>
      </w:pPr>
      <w:r>
        <w:rPr>
          <w:rFonts w:ascii="Arial" w:cs="Arial" w:eastAsia="Arial" w:hAnsi="Arial"/>
          <w:b/>
          <w:bCs/>
        </w:rPr>
        <w:t xml:space="preserve">Priority:</w:t>
      </w:r>
      <w:r>
        <w:rPr>
          <w:rFonts w:ascii="Arial" w:cs="Arial" w:eastAsia="Arial" w:hAnsi="Arial"/>
        </w:rPr>
        <w:t xml:space="preserve"> HIGH | </w:t>
      </w:r>
      <w:r>
        <w:rPr>
          <w:rFonts w:ascii="Arial" w:cs="Arial" w:eastAsia="Arial" w:hAnsi="Arial"/>
          <w:b/>
          <w:bCs/>
        </w:rPr>
        <w:t xml:space="preserve">Effort:</w:t>
      </w:r>
      <w:r>
        <w:rPr>
          <w:rFonts w:ascii="Arial" w:cs="Arial" w:eastAsia="Arial" w:hAnsi="Arial"/>
        </w:rPr>
        <w:t xml:space="preserve"> M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Syncfusion React Large Datasets</w:t>
      </w:r>
    </w:p>
    <w:p>
      <w:pPr>
        <w:spacing w:after="120"/>
      </w:pPr>
      <w:r>
        <w:rPr>
          <w:rFonts w:ascii="Arial" w:cs="Arial" w:eastAsia="Arial" w:hAnsi="Arial"/>
        </w:rPr>
        <w:t xml:space="preserve">Implement windowing with </w:t>
      </w:r>
      <w:r>
        <w:rPr>
          <w:rFonts w:ascii="Courier New" w:cs="Courier New" w:eastAsia="Courier New" w:hAnsi="Courier New"/>
          <w:shd w:fill="F5F5F5" w:val="clear"/>
        </w:rPr>
        <w:t xml:space="preserve">react-window</w:t>
      </w:r>
      <w:r>
        <w:rPr>
          <w:rFonts w:ascii="Arial" w:cs="Arial" w:eastAsia="Arial" w:hAnsi="Arial"/>
        </w:rPr>
        <w:t xml:space="preserve"> (9KB) or </w:t>
      </w:r>
      <w:r>
        <w:rPr>
          <w:rFonts w:ascii="Courier New" w:cs="Courier New" w:eastAsia="Courier New" w:hAnsi="Courier New"/>
          <w:shd w:fill="F5F5F5" w:val="clear"/>
        </w:rPr>
        <w:t xml:space="preserve">react-virtuoso</w:t>
      </w:r>
      <w:r>
        <w:rPr>
          <w:rFonts w:ascii="Arial" w:cs="Arial" w:eastAsia="Arial" w:hAnsi="Arial"/>
        </w:rPr>
        <w:t xml:space="preserve"> for public_records table. Load records via cursor-based pagination. Move filtering/sorting to API (PostgreSQL).</w:t>
      </w:r>
    </w:p>
    <w:p>
      <w:pPr>
        <w:pStyle w:val="Heading3"/>
        <w:spacing w:after="120" w:before="240"/>
        <w:outlineLvl w:val="2"/>
      </w:pPr>
      <w:r>
        <w:t xml:space="preserve">10.4 Queue-Based Worker Scaling</w:t>
      </w:r>
    </w:p>
    <w:p>
      <w:pPr>
        <w:spacing w:after="120"/>
      </w:pPr>
      <w:r>
        <w:rPr>
          <w:rFonts w:ascii="Arial" w:cs="Arial" w:eastAsia="Arial" w:hAnsi="Arial"/>
          <w:b/>
          <w:bCs/>
        </w:rPr>
        <w:t xml:space="preserve">Priority:</w:t>
      </w:r>
      <w:r>
        <w:rPr>
          <w:rFonts w:ascii="Arial" w:cs="Arial" w:eastAsia="Arial" w:hAnsi="Arial"/>
        </w:rPr>
        <w:t xml:space="preserve"> HIGH | </w:t>
      </w:r>
      <w:r>
        <w:rPr>
          <w:rFonts w:ascii="Arial" w:cs="Arial" w:eastAsia="Arial" w:hAnsi="Arial"/>
          <w:b/>
          <w:bCs/>
        </w:rPr>
        <w:t xml:space="preserve">Effort:</w:t>
      </w:r>
      <w:r>
        <w:rPr>
          <w:rFonts w:ascii="Arial" w:cs="Arial" w:eastAsia="Arial" w:hAnsi="Arial"/>
        </w:rPr>
        <w:t xml:space="preserve"> L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Microsoft Web-Queue-Worker Architecture</w:t>
      </w:r>
    </w:p>
    <w:p>
      <w:pPr>
        <w:spacing w:after="120"/>
      </w:pPr>
      <w:r>
        <w:rPr>
          <w:rFonts w:ascii="Arial" w:cs="Arial" w:eastAsia="Arial" w:hAnsi="Arial"/>
        </w:rPr>
        <w:t xml:space="preserve">Two-tier hybrid: PostgreSQL queue for cold storage + Redis for hot queue. Horizontal scaling: multiple workers pulling from same queue. Autoscale on queue depth metric.</w:t>
      </w:r>
    </w:p>
    <w:p>
      <w:pPr>
        <w:pStyle w:val="Heading3"/>
        <w:spacing w:after="120" w:before="240"/>
        <w:outlineLvl w:val="2"/>
      </w:pPr>
      <w:r>
        <w:t xml:space="preserve">10.5 Verification API Latency Optimization</w:t>
      </w:r>
    </w:p>
    <w:p>
      <w:pPr>
        <w:spacing w:after="120"/>
      </w:pPr>
      <w:r>
        <w:rPr>
          <w:rFonts w:ascii="Arial" w:cs="Arial" w:eastAsia="Arial" w:hAnsi="Arial"/>
          <w:b/>
          <w:bCs/>
        </w:rPr>
        <w:t xml:space="preserve">Priority:</w:t>
      </w:r>
      <w:r>
        <w:rPr>
          <w:rFonts w:ascii="Arial" w:cs="Arial" w:eastAsia="Arial" w:hAnsi="Arial"/>
        </w:rPr>
        <w:t xml:space="preserve"> HIGH | </w:t>
      </w:r>
      <w:r>
        <w:rPr>
          <w:rFonts w:ascii="Arial" w:cs="Arial" w:eastAsia="Arial" w:hAnsi="Arial"/>
          <w:b/>
          <w:bCs/>
        </w:rPr>
        <w:t xml:space="preserve">Effort:</w:t>
      </w:r>
      <w:r>
        <w:rPr>
          <w:rFonts w:ascii="Arial" w:cs="Arial" w:eastAsia="Arial" w:hAnsi="Arial"/>
        </w:rPr>
        <w:t xml:space="preserve"> M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Gravitee API Latency</w:t>
      </w:r>
    </w:p>
    <w:p>
      <w:pPr>
        <w:spacing w:after="120"/>
      </w:pPr>
      <w:r>
        <w:rPr>
          <w:rFonts w:ascii="Arial" w:cs="Arial" w:eastAsia="Arial" w:hAnsi="Arial"/>
        </w:rPr>
        <w:t xml:space="preserve">Use </w:t>
      </w:r>
      <w:r>
        <w:rPr>
          <w:rFonts w:ascii="Courier New" w:cs="Courier New" w:eastAsia="Courier New" w:hAnsi="Courier New"/>
          <w:shd w:fill="F5F5F5" w:val="clear"/>
        </w:rPr>
        <w:t xml:space="preserve">pg_stat_statements</w:t>
      </w:r>
      <w:r>
        <w:rPr>
          <w:rFonts w:ascii="Arial" w:cs="Arial" w:eastAsia="Arial" w:hAnsi="Arial"/>
        </w:rPr>
        <w:t xml:space="preserve"> to identify slow queries. Cache verification results in Redis (5-min TTL). Set Supavisor pool to 10 connections per worker. Target: &lt;200ms p95 at 100M records.</w:t>
      </w:r>
    </w:p>
    <w:p>
      <w:pPr>
        <w:pStyle w:val="Heading3"/>
        <w:spacing w:after="120" w:before="240"/>
        <w:outlineLvl w:val="2"/>
      </w:pPr>
      <w:r>
        <w:t xml:space="preserve">10.6 Supabase Compute Sizing</w:t>
      </w:r>
    </w:p>
    <w:p>
      <w:pPr>
        <w:spacing w:after="120"/>
      </w:pPr>
      <w:r>
        <w:rPr>
          <w:rFonts w:ascii="Arial" w:cs="Arial" w:eastAsia="Arial" w:hAnsi="Arial"/>
          <w:b/>
          <w:bCs/>
        </w:rPr>
        <w:t xml:space="preserve">Priority:</w:t>
      </w:r>
      <w:r>
        <w:rPr>
          <w:rFonts w:ascii="Arial" w:cs="Arial" w:eastAsia="Arial" w:hAnsi="Arial"/>
        </w:rPr>
        <w:t xml:space="preserve"> HIGH | </w:t>
      </w:r>
      <w:r>
        <w:rPr>
          <w:rFonts w:ascii="Arial" w:cs="Arial" w:eastAsia="Arial" w:hAnsi="Arial"/>
          <w:b/>
          <w:bCs/>
        </w:rPr>
        <w:t xml:space="preserve">Effort:</w:t>
      </w:r>
      <w:r>
        <w:rPr>
          <w:rFonts w:ascii="Arial" w:cs="Arial" w:eastAsia="Arial" w:hAnsi="Arial"/>
        </w:rPr>
        <w:t xml:space="preserve"> M | </w:t>
      </w:r>
      <w:r>
        <w:rPr>
          <w:rFonts w:ascii="Arial" w:cs="Arial" w:eastAsia="Arial" w:hAnsi="Arial"/>
          <w:b/>
          <w:bCs/>
        </w:rPr>
        <w:t xml:space="preserve">Source:</w:t>
      </w:r>
      <w:r>
        <w:rPr>
          <w:rFonts w:ascii="Arial" w:cs="Arial" w:eastAsia="Arial" w:hAnsi="Arial"/>
        </w:rPr>
        <w:t xml:space="preserve"> </w:t>
      </w:r>
      <w:r>
        <w:rPr>
          <w:rFonts w:ascii="Arial" w:cs="Arial" w:eastAsia="Arial" w:hAnsi="Arial"/>
          <w:color w:val="0563C1"/>
          <w:u w:val="single"/>
        </w:rPr>
        <w:t xml:space="preserve">Supabase Compute and Disk</w:t>
      </w:r>
    </w:p>
    <w:p>
      <w:pPr>
        <w:spacing w:after="120"/>
      </w:pPr>
      <w:r>
        <w:rPr>
          <w:rFonts w:ascii="Arial" w:cs="Arial" w:eastAsia="Arial" w:hAnsi="Arial"/>
        </w:rPr>
        <w:t xml:space="preserve">4XL+ recommended for consistent disk IOPS at 100M records. Auto-scaling disk expands at 90% capacity. Use COPY for bulk inserts (not row-by-row). Implement Redis query-result caching in Express layer.</w:t>
      </w:r>
    </w:p>
    <w:p>
      <w:pPr>
        <w:pStyle w:val="Heading2"/>
        <w:spacing w:after="120" w:before="240"/>
        <w:outlineLvl w:val="1"/>
      </w:pPr>
      <w:r>
        <w:t xml:space="preserve">Implementation Roadmap</w:t>
      </w:r>
    </w:p>
    <w:p>
      <w:pPr>
        <w:pStyle w:val="Heading3"/>
        <w:spacing w:after="120" w:before="240"/>
        <w:outlineLvl w:val="2"/>
      </w:pPr>
      <w:r>
        <w:t xml:space="preserve">Phase 1: Critical — Week 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400" w:hRule="atLeast"/>
        </w:trPr>
        <w:tc>
          <w:tcPr>
            <w:tcW w:type="dxa" w:w="3192"/>
            <w:tcBorders>
              <w:top w:val="single" w:sz="1"/>
              <w:left w:val="single" w:sz="1"/>
              <w:bottom w:val="single" w:sz="1"/>
              <w:right w:val="single" w:sz="1"/>
            </w:tcBorders>
            <w:shd w:fill="D3D3D3" w:val="clear"/>
            <w:vAlign w:val="center"/>
          </w:tcPr>
          <w:p>
            <w:r>
              <w:t xml:space="preserve">Action</w:t>
            </w:r>
          </w:p>
        </w:tc>
        <w:tc>
          <w:tcPr>
            <w:tcW w:type="dxa" w:w="3192"/>
            <w:tcBorders>
              <w:top w:val="single" w:sz="1"/>
              <w:left w:val="single" w:sz="1"/>
              <w:bottom w:val="single" w:sz="1"/>
              <w:right w:val="single" w:sz="1"/>
            </w:tcBorders>
            <w:shd w:fill="D3D3D3" w:val="clear"/>
            <w:vAlign w:val="center"/>
          </w:tcPr>
          <w:p>
            <w:r>
              <w:t xml:space="preserve">Category</w:t>
            </w:r>
          </w:p>
        </w:tc>
        <w:tc>
          <w:tcPr>
            <w:tcW w:type="dxa" w:w="3192"/>
            <w:tcBorders>
              <w:top w:val="single" w:sz="1"/>
              <w:left w:val="single" w:sz="1"/>
              <w:bottom w:val="single" w:sz="1"/>
              <w:right w:val="single" w:sz="1"/>
            </w:tcBorders>
            <w:shd w:fill="D3D3D3" w:val="clear"/>
            <w:vAlign w:val="center"/>
          </w:tcPr>
          <w:p>
            <w:r>
              <w:t xml:space="preserve">Effort</w:t>
            </w:r>
          </w:p>
        </w:tc>
      </w:tr>
      <w:tr>
        <w:tc>
          <w:tcPr>
            <w:tcW w:type="dxa" w:w="3192"/>
            <w:tcBorders>
              <w:top w:val="single" w:sz="1"/>
              <w:left w:val="single" w:sz="1"/>
              <w:bottom w:val="single" w:sz="1"/>
              <w:right w:val="single" w:sz="1"/>
            </w:tcBorders>
            <w:vAlign w:val="top"/>
          </w:tcPr>
          <w:p>
            <w:r>
              <w:t xml:space="preserve">Verify PostgreSQL version (CVE-2025-8713)</w:t>
            </w:r>
          </w:p>
        </w:tc>
        <w:tc>
          <w:tcPr>
            <w:tcW w:type="dxa" w:w="3192"/>
            <w:tcBorders>
              <w:top w:val="single" w:sz="1"/>
              <w:left w:val="single" w:sz="1"/>
              <w:bottom w:val="single" w:sz="1"/>
              <w:right w:val="single" w:sz="1"/>
            </w:tcBorders>
            <w:vAlign w:val="top"/>
          </w:tcPr>
          <w:p>
            <w:r>
              <w:t xml:space="preserve">Supabase</w:t>
            </w:r>
          </w:p>
        </w:tc>
        <w:tc>
          <w:tcPr>
            <w:tcW w:type="dxa" w:w="3192"/>
            <w:tcBorders>
              <w:top w:val="single" w:sz="1"/>
              <w:left w:val="single" w:sz="1"/>
              <w:bottom w:val="single" w:sz="1"/>
              <w:right w:val="single" w:sz="1"/>
            </w:tcBorders>
            <w:vAlign w:val="top"/>
          </w:tcPr>
          <w:p>
            <w:r>
              <w:t xml:space="preserve">S</w:t>
            </w:r>
          </w:p>
        </w:tc>
      </w:tr>
      <w:tr>
        <w:tc>
          <w:tcPr>
            <w:tcW w:type="dxa" w:w="3192"/>
            <w:tcBorders>
              <w:top w:val="single" w:sz="1"/>
              <w:left w:val="single" w:sz="1"/>
              <w:bottom w:val="single" w:sz="1"/>
              <w:right w:val="single" w:sz="1"/>
            </w:tcBorders>
            <w:vAlign w:val="top"/>
          </w:tcPr>
          <w:p>
            <w:r>
              <w:t xml:space="preserve">Upgrade Vite to &gt;= 6.2.6</w:t>
            </w:r>
          </w:p>
        </w:tc>
        <w:tc>
          <w:tcPr>
            <w:tcW w:type="dxa" w:w="3192"/>
            <w:tcBorders>
              <w:top w:val="single" w:sz="1"/>
              <w:left w:val="single" w:sz="1"/>
              <w:bottom w:val="single" w:sz="1"/>
              <w:right w:val="single" w:sz="1"/>
            </w:tcBorders>
            <w:vAlign w:val="top"/>
          </w:tcPr>
          <w:p>
            <w:r>
              <w:t xml:space="preserve">Frontend</w:t>
            </w:r>
          </w:p>
        </w:tc>
        <w:tc>
          <w:tcPr>
            <w:tcW w:type="dxa" w:w="3192"/>
            <w:tcBorders>
              <w:top w:val="single" w:sz="1"/>
              <w:left w:val="single" w:sz="1"/>
              <w:bottom w:val="single" w:sz="1"/>
              <w:right w:val="single" w:sz="1"/>
            </w:tcBorders>
            <w:vAlign w:val="top"/>
          </w:tcPr>
          <w:p>
            <w:r>
              <w:t xml:space="preserve">S</w:t>
            </w:r>
          </w:p>
        </w:tc>
      </w:tr>
      <w:tr>
        <w:tc>
          <w:tcPr>
            <w:tcW w:type="dxa" w:w="3192"/>
            <w:tcBorders>
              <w:top w:val="single" w:sz="1"/>
              <w:left w:val="single" w:sz="1"/>
              <w:bottom w:val="single" w:sz="1"/>
              <w:right w:val="single" w:sz="1"/>
            </w:tcBorders>
            <w:vAlign w:val="top"/>
          </w:tcPr>
          <w:p>
            <w:r>
              <w:t xml:space="preserve">Pin GitHub Actions to commit hashes</w:t>
            </w:r>
          </w:p>
        </w:tc>
        <w:tc>
          <w:tcPr>
            <w:tcW w:type="dxa" w:w="3192"/>
            <w:tcBorders>
              <w:top w:val="single" w:sz="1"/>
              <w:left w:val="single" w:sz="1"/>
              <w:bottom w:val="single" w:sz="1"/>
              <w:right w:val="single" w:sz="1"/>
            </w:tcBorders>
            <w:vAlign w:val="top"/>
          </w:tcPr>
          <w:p>
            <w:r>
              <w:t xml:space="preserve">CI/CD</w:t>
            </w:r>
          </w:p>
        </w:tc>
        <w:tc>
          <w:tcPr>
            <w:tcW w:type="dxa" w:w="3192"/>
            <w:tcBorders>
              <w:top w:val="single" w:sz="1"/>
              <w:left w:val="single" w:sz="1"/>
              <w:bottom w:val="single" w:sz="1"/>
              <w:right w:val="single" w:sz="1"/>
            </w:tcBorders>
            <w:vAlign w:val="top"/>
          </w:tcPr>
          <w:p>
            <w:r>
              <w:t xml:space="preserve">M</w:t>
            </w:r>
          </w:p>
        </w:tc>
      </w:tr>
      <w:tr>
        <w:tc>
          <w:tcPr>
            <w:tcW w:type="dxa" w:w="3192"/>
            <w:tcBorders>
              <w:top w:val="single" w:sz="1"/>
              <w:left w:val="single" w:sz="1"/>
              <w:bottom w:val="single" w:sz="1"/>
              <w:right w:val="single" w:sz="1"/>
            </w:tcBorders>
            <w:vAlign w:val="top"/>
          </w:tcPr>
          <w:p>
            <w:r>
              <w:t xml:space="preserve">Audit/rotate service role keys</w:t>
            </w:r>
          </w:p>
        </w:tc>
        <w:tc>
          <w:tcPr>
            <w:tcW w:type="dxa" w:w="3192"/>
            <w:tcBorders>
              <w:top w:val="single" w:sz="1"/>
              <w:left w:val="single" w:sz="1"/>
              <w:bottom w:val="single" w:sz="1"/>
              <w:right w:val="single" w:sz="1"/>
            </w:tcBorders>
            <w:vAlign w:val="top"/>
          </w:tcPr>
          <w:p>
            <w:r>
              <w:t xml:space="preserve">Supabase</w:t>
            </w:r>
          </w:p>
        </w:tc>
        <w:tc>
          <w:tcPr>
            <w:tcW w:type="dxa" w:w="3192"/>
            <w:tcBorders>
              <w:top w:val="single" w:sz="1"/>
              <w:left w:val="single" w:sz="1"/>
              <w:bottom w:val="single" w:sz="1"/>
              <w:right w:val="single" w:sz="1"/>
            </w:tcBorders>
            <w:vAlign w:val="top"/>
          </w:tcPr>
          <w:p>
            <w:r>
              <w:t xml:space="preserve">M</w:t>
            </w:r>
          </w:p>
        </w:tc>
      </w:tr>
      <w:tr>
        <w:tc>
          <w:tcPr>
            <w:tcW w:type="dxa" w:w="3192"/>
            <w:tcBorders>
              <w:top w:val="single" w:sz="1"/>
              <w:left w:val="single" w:sz="1"/>
              <w:bottom w:val="single" w:sz="1"/>
              <w:right w:val="single" w:sz="1"/>
            </w:tcBorders>
            <w:vAlign w:val="top"/>
          </w:tcPr>
          <w:p>
            <w:r>
              <w:t xml:space="preserve">Revoke http extension permissions</w:t>
            </w:r>
          </w:p>
        </w:tc>
        <w:tc>
          <w:tcPr>
            <w:tcW w:type="dxa" w:w="3192"/>
            <w:tcBorders>
              <w:top w:val="single" w:sz="1"/>
              <w:left w:val="single" w:sz="1"/>
              <w:bottom w:val="single" w:sz="1"/>
              <w:right w:val="single" w:sz="1"/>
            </w:tcBorders>
            <w:vAlign w:val="top"/>
          </w:tcPr>
          <w:p>
            <w:r>
              <w:t xml:space="preserve">Supabase</w:t>
            </w:r>
          </w:p>
        </w:tc>
        <w:tc>
          <w:tcPr>
            <w:tcW w:type="dxa" w:w="3192"/>
            <w:tcBorders>
              <w:top w:val="single" w:sz="1"/>
              <w:left w:val="single" w:sz="1"/>
              <w:bottom w:val="single" w:sz="1"/>
              <w:right w:val="single" w:sz="1"/>
            </w:tcBorders>
            <w:vAlign w:val="top"/>
          </w:tcPr>
          <w:p>
            <w:r>
              <w:t xml:space="preserve">S</w:t>
            </w:r>
          </w:p>
        </w:tc>
      </w:tr>
      <w:tr>
        <w:tc>
          <w:tcPr>
            <w:tcW w:type="dxa" w:w="3192"/>
            <w:tcBorders>
              <w:top w:val="single" w:sz="1"/>
              <w:left w:val="single" w:sz="1"/>
              <w:bottom w:val="single" w:sz="1"/>
              <w:right w:val="single" w:sz="1"/>
            </w:tcBorders>
            <w:vAlign w:val="top"/>
          </w:tcPr>
          <w:p>
            <w:r>
              <w:t xml:space="preserve">Upgrade Node.js to patched version</w:t>
            </w:r>
          </w:p>
        </w:tc>
        <w:tc>
          <w:tcPr>
            <w:tcW w:type="dxa" w:w="3192"/>
            <w:tcBorders>
              <w:top w:val="single" w:sz="1"/>
              <w:left w:val="single" w:sz="1"/>
              <w:bottom w:val="single" w:sz="1"/>
              <w:right w:val="single" w:sz="1"/>
            </w:tcBorders>
            <w:vAlign w:val="top"/>
          </w:tcPr>
          <w:p>
            <w:r>
              <w:t xml:space="preserve">Express</w:t>
            </w:r>
          </w:p>
        </w:tc>
        <w:tc>
          <w:tcPr>
            <w:tcW w:type="dxa" w:w="3192"/>
            <w:tcBorders>
              <w:top w:val="single" w:sz="1"/>
              <w:left w:val="single" w:sz="1"/>
              <w:bottom w:val="single" w:sz="1"/>
              <w:right w:val="single" w:sz="1"/>
            </w:tcBorders>
            <w:vAlign w:val="top"/>
          </w:tcPr>
          <w:p>
            <w:r>
              <w:t xml:space="preserve">M</w:t>
            </w:r>
          </w:p>
        </w:tc>
      </w:tr>
      <w:tr>
        <w:tc>
          <w:tcPr>
            <w:tcW w:type="dxa" w:w="3192"/>
            <w:tcBorders>
              <w:top w:val="single" w:sz="1"/>
              <w:left w:val="single" w:sz="1"/>
              <w:bottom w:val="single" w:sz="1"/>
              <w:right w:val="single" w:sz="1"/>
            </w:tcBorders>
            <w:vAlign w:val="top"/>
          </w:tcPr>
          <w:p>
            <w:r>
              <w:t xml:space="preserve">Switch to Supavisor connection pooling</w:t>
            </w:r>
          </w:p>
        </w:tc>
        <w:tc>
          <w:tcPr>
            <w:tcW w:type="dxa" w:w="3192"/>
            <w:tcBorders>
              <w:top w:val="single" w:sz="1"/>
              <w:left w:val="single" w:sz="1"/>
              <w:bottom w:val="single" w:sz="1"/>
              <w:right w:val="single" w:sz="1"/>
            </w:tcBorders>
            <w:vAlign w:val="top"/>
          </w:tcPr>
          <w:p>
            <w:r>
              <w:t xml:space="preserve">Performance</w:t>
            </w:r>
          </w:p>
        </w:tc>
        <w:tc>
          <w:tcPr>
            <w:tcW w:type="dxa" w:w="3192"/>
            <w:tcBorders>
              <w:top w:val="single" w:sz="1"/>
              <w:left w:val="single" w:sz="1"/>
              <w:bottom w:val="single" w:sz="1"/>
              <w:right w:val="single" w:sz="1"/>
            </w:tcBorders>
            <w:vAlign w:val="top"/>
          </w:tcPr>
          <w:p>
            <w:r>
              <w:t xml:space="preserve">S</w:t>
            </w:r>
          </w:p>
        </w:tc>
      </w:tr>
      <w:tr>
        <w:tc>
          <w:tcPr>
            <w:tcW w:type="dxa" w:w="3192"/>
            <w:tcBorders>
              <w:top w:val="single" w:sz="1"/>
              <w:left w:val="single" w:sz="1"/>
              <w:bottom w:val="single" w:sz="1"/>
              <w:right w:val="single" w:sz="1"/>
            </w:tcBorders>
            <w:vAlign w:val="top"/>
          </w:tcPr>
          <w:p>
            <w:r>
              <w:t xml:space="preserve">Set `permissions: contents: read` in workflows</w:t>
            </w:r>
          </w:p>
        </w:tc>
        <w:tc>
          <w:tcPr>
            <w:tcW w:type="dxa" w:w="3192"/>
            <w:tcBorders>
              <w:top w:val="single" w:sz="1"/>
              <w:left w:val="single" w:sz="1"/>
              <w:bottom w:val="single" w:sz="1"/>
              <w:right w:val="single" w:sz="1"/>
            </w:tcBorders>
            <w:vAlign w:val="top"/>
          </w:tcPr>
          <w:p>
            <w:r>
              <w:t xml:space="preserve">CI/CD</w:t>
            </w:r>
          </w:p>
        </w:tc>
        <w:tc>
          <w:tcPr>
            <w:tcW w:type="dxa" w:w="3192"/>
            <w:tcBorders>
              <w:top w:val="single" w:sz="1"/>
              <w:left w:val="single" w:sz="1"/>
              <w:bottom w:val="single" w:sz="1"/>
              <w:right w:val="single" w:sz="1"/>
            </w:tcBorders>
            <w:vAlign w:val="top"/>
          </w:tcPr>
          <w:p>
            <w:r>
              <w:t xml:space="preserve">S</w:t>
            </w:r>
          </w:p>
        </w:tc>
      </w:tr>
    </w:tbl>
    <w:p>
      <w:pPr>
        <w:pStyle w:val="Heading3"/>
        <w:spacing w:after="120" w:before="240"/>
        <w:outlineLvl w:val="2"/>
      </w:pPr>
      <w:r>
        <w:t xml:space="preserve">Phase 2: High — Weeks 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400" w:hRule="atLeast"/>
        </w:trPr>
        <w:tc>
          <w:tcPr>
            <w:tcW w:type="dxa" w:w="3192"/>
            <w:tcBorders>
              <w:top w:val="single" w:sz="1"/>
              <w:left w:val="single" w:sz="1"/>
              <w:bottom w:val="single" w:sz="1"/>
              <w:right w:val="single" w:sz="1"/>
            </w:tcBorders>
            <w:shd w:fill="D3D3D3" w:val="clear"/>
            <w:vAlign w:val="center"/>
          </w:tcPr>
          <w:p>
            <w:r>
              <w:t xml:space="preserve">Action</w:t>
            </w:r>
          </w:p>
        </w:tc>
        <w:tc>
          <w:tcPr>
            <w:tcW w:type="dxa" w:w="3192"/>
            <w:tcBorders>
              <w:top w:val="single" w:sz="1"/>
              <w:left w:val="single" w:sz="1"/>
              <w:bottom w:val="single" w:sz="1"/>
              <w:right w:val="single" w:sz="1"/>
            </w:tcBorders>
            <w:shd w:fill="D3D3D3" w:val="clear"/>
            <w:vAlign w:val="center"/>
          </w:tcPr>
          <w:p>
            <w:r>
              <w:t xml:space="preserve">Category</w:t>
            </w:r>
          </w:p>
        </w:tc>
        <w:tc>
          <w:tcPr>
            <w:tcW w:type="dxa" w:w="3192"/>
            <w:tcBorders>
              <w:top w:val="single" w:sz="1"/>
              <w:left w:val="single" w:sz="1"/>
              <w:bottom w:val="single" w:sz="1"/>
              <w:right w:val="single" w:sz="1"/>
            </w:tcBorders>
            <w:shd w:fill="D3D3D3" w:val="clear"/>
            <w:vAlign w:val="center"/>
          </w:tcPr>
          <w:p>
            <w:r>
              <w:t xml:space="preserve">Effort</w:t>
            </w:r>
          </w:p>
        </w:tc>
      </w:tr>
      <w:tr>
        <w:tc>
          <w:tcPr>
            <w:tcW w:type="dxa" w:w="3192"/>
            <w:tcBorders>
              <w:top w:val="single" w:sz="1"/>
              <w:left w:val="single" w:sz="1"/>
              <w:bottom w:val="single" w:sz="1"/>
              <w:right w:val="single" w:sz="1"/>
            </w:tcBorders>
            <w:vAlign w:val="top"/>
          </w:tcPr>
          <w:p>
            <w:r>
              <w:t xml:space="preserve">Implement CSP headers</w:t>
            </w:r>
          </w:p>
        </w:tc>
        <w:tc>
          <w:tcPr>
            <w:tcW w:type="dxa" w:w="3192"/>
            <w:tcBorders>
              <w:top w:val="single" w:sz="1"/>
              <w:left w:val="single" w:sz="1"/>
              <w:bottom w:val="single" w:sz="1"/>
              <w:right w:val="single" w:sz="1"/>
            </w:tcBorders>
            <w:vAlign w:val="top"/>
          </w:tcPr>
          <w:p>
            <w:r>
              <w:t xml:space="preserve">Frontend</w:t>
            </w:r>
          </w:p>
        </w:tc>
        <w:tc>
          <w:tcPr>
            <w:tcW w:type="dxa" w:w="3192"/>
            <w:tcBorders>
              <w:top w:val="single" w:sz="1"/>
              <w:left w:val="single" w:sz="1"/>
              <w:bottom w:val="single" w:sz="1"/>
              <w:right w:val="single" w:sz="1"/>
            </w:tcBorders>
            <w:vAlign w:val="top"/>
          </w:tcPr>
          <w:p>
            <w:r>
              <w:t xml:space="preserve">M</w:t>
            </w:r>
          </w:p>
        </w:tc>
      </w:tr>
      <w:tr>
        <w:tc>
          <w:tcPr>
            <w:tcW w:type="dxa" w:w="3192"/>
            <w:tcBorders>
              <w:top w:val="single" w:sz="1"/>
              <w:left w:val="single" w:sz="1"/>
              <w:bottom w:val="single" w:sz="1"/>
              <w:right w:val="single" w:sz="1"/>
            </w:tcBorders>
            <w:vAlign w:val="top"/>
          </w:tcPr>
          <w:p>
            <w:r>
              <w:t xml:space="preserve">Deploy SAST (Snyk/CodeQL) in CI</w:t>
            </w:r>
          </w:p>
        </w:tc>
        <w:tc>
          <w:tcPr>
            <w:tcW w:type="dxa" w:w="3192"/>
            <w:tcBorders>
              <w:top w:val="single" w:sz="1"/>
              <w:left w:val="single" w:sz="1"/>
              <w:bottom w:val="single" w:sz="1"/>
              <w:right w:val="single" w:sz="1"/>
            </w:tcBorders>
            <w:vAlign w:val="top"/>
          </w:tcPr>
          <w:p>
            <w:r>
              <w:t xml:space="preserve">CI/CD</w:t>
            </w:r>
          </w:p>
        </w:tc>
        <w:tc>
          <w:tcPr>
            <w:tcW w:type="dxa" w:w="3192"/>
            <w:tcBorders>
              <w:top w:val="single" w:sz="1"/>
              <w:left w:val="single" w:sz="1"/>
              <w:bottom w:val="single" w:sz="1"/>
              <w:right w:val="single" w:sz="1"/>
            </w:tcBorders>
            <w:vAlign w:val="top"/>
          </w:tcPr>
          <w:p>
            <w:r>
              <w:t xml:space="preserve">M</w:t>
            </w:r>
          </w:p>
        </w:tc>
      </w:tr>
      <w:tr>
        <w:tc>
          <w:tcPr>
            <w:tcW w:type="dxa" w:w="3192"/>
            <w:tcBorders>
              <w:top w:val="single" w:sz="1"/>
              <w:left w:val="single" w:sz="1"/>
              <w:bottom w:val="single" w:sz="1"/>
              <w:right w:val="single" w:sz="1"/>
            </w:tcBorders>
            <w:vAlign w:val="top"/>
          </w:tcPr>
          <w:p>
            <w:r>
              <w:t xml:space="preserve">Add TruffleHog + Gitleaks scanning</w:t>
            </w:r>
          </w:p>
        </w:tc>
        <w:tc>
          <w:tcPr>
            <w:tcW w:type="dxa" w:w="3192"/>
            <w:tcBorders>
              <w:top w:val="single" w:sz="1"/>
              <w:left w:val="single" w:sz="1"/>
              <w:bottom w:val="single" w:sz="1"/>
              <w:right w:val="single" w:sz="1"/>
            </w:tcBorders>
            <w:vAlign w:val="top"/>
          </w:tcPr>
          <w:p>
            <w:r>
              <w:t xml:space="preserve">CI/CD</w:t>
            </w:r>
          </w:p>
        </w:tc>
        <w:tc>
          <w:tcPr>
            <w:tcW w:type="dxa" w:w="3192"/>
            <w:tcBorders>
              <w:top w:val="single" w:sz="1"/>
              <w:left w:val="single" w:sz="1"/>
              <w:bottom w:val="single" w:sz="1"/>
              <w:right w:val="single" w:sz="1"/>
            </w:tcBorders>
            <w:vAlign w:val="top"/>
          </w:tcPr>
          <w:p>
            <w:r>
              <w:t xml:space="preserve">M</w:t>
            </w:r>
          </w:p>
        </w:tc>
      </w:tr>
      <w:tr>
        <w:tc>
          <w:tcPr>
            <w:tcW w:type="dxa" w:w="3192"/>
            <w:tcBorders>
              <w:top w:val="single" w:sz="1"/>
              <w:left w:val="single" w:sz="1"/>
              <w:bottom w:val="single" w:sz="1"/>
              <w:right w:val="single" w:sz="1"/>
            </w:tcBorders>
            <w:vAlign w:val="top"/>
          </w:tcPr>
          <w:p>
            <w:r>
              <w:t xml:space="preserve">Audit RLS policies (USING/WITH CHECK)</w:t>
            </w:r>
          </w:p>
        </w:tc>
        <w:tc>
          <w:tcPr>
            <w:tcW w:type="dxa" w:w="3192"/>
            <w:tcBorders>
              <w:top w:val="single" w:sz="1"/>
              <w:left w:val="single" w:sz="1"/>
              <w:bottom w:val="single" w:sz="1"/>
              <w:right w:val="single" w:sz="1"/>
            </w:tcBorders>
            <w:vAlign w:val="top"/>
          </w:tcPr>
          <w:p>
            <w:r>
              <w:t xml:space="preserve">Supabase</w:t>
            </w:r>
          </w:p>
        </w:tc>
        <w:tc>
          <w:tcPr>
            <w:tcW w:type="dxa" w:w="3192"/>
            <w:tcBorders>
              <w:top w:val="single" w:sz="1"/>
              <w:left w:val="single" w:sz="1"/>
              <w:bottom w:val="single" w:sz="1"/>
              <w:right w:val="single" w:sz="1"/>
            </w:tcBorders>
            <w:vAlign w:val="top"/>
          </w:tcPr>
          <w:p>
            <w:r>
              <w:t xml:space="preserve">M</w:t>
            </w:r>
          </w:p>
        </w:tc>
      </w:tr>
      <w:tr>
        <w:tc>
          <w:tcPr>
            <w:tcW w:type="dxa" w:w="3192"/>
            <w:tcBorders>
              <w:top w:val="single" w:sz="1"/>
              <w:left w:val="single" w:sz="1"/>
              <w:bottom w:val="single" w:sz="1"/>
              <w:right w:val="single" w:sz="1"/>
            </w:tcBorders>
            <w:vAlign w:val="top"/>
          </w:tcPr>
          <w:p>
            <w:r>
              <w:t xml:space="preserve">Implement webhook idempotency</w:t>
            </w:r>
          </w:p>
        </w:tc>
        <w:tc>
          <w:tcPr>
            <w:tcW w:type="dxa" w:w="3192"/>
            <w:tcBorders>
              <w:top w:val="single" w:sz="1"/>
              <w:left w:val="single" w:sz="1"/>
              <w:bottom w:val="single" w:sz="1"/>
              <w:right w:val="single" w:sz="1"/>
            </w:tcBorders>
            <w:vAlign w:val="top"/>
          </w:tcPr>
          <w:p>
            <w:r>
              <w:t xml:space="preserve">Payments</w:t>
            </w:r>
          </w:p>
        </w:tc>
        <w:tc>
          <w:tcPr>
            <w:tcW w:type="dxa" w:w="3192"/>
            <w:tcBorders>
              <w:top w:val="single" w:sz="1"/>
              <w:left w:val="single" w:sz="1"/>
              <w:bottom w:val="single" w:sz="1"/>
              <w:right w:val="single" w:sz="1"/>
            </w:tcBorders>
            <w:vAlign w:val="top"/>
          </w:tcPr>
          <w:p>
            <w:r>
              <w:t xml:space="preserve">S</w:t>
            </w:r>
          </w:p>
        </w:tc>
      </w:tr>
      <w:tr>
        <w:tc>
          <w:tcPr>
            <w:tcW w:type="dxa" w:w="3192"/>
            <w:tcBorders>
              <w:top w:val="single" w:sz="1"/>
              <w:left w:val="single" w:sz="1"/>
              <w:bottom w:val="single" w:sz="1"/>
              <w:right w:val="single" w:sz="1"/>
            </w:tcBorders>
            <w:vAlign w:val="top"/>
          </w:tcPr>
          <w:p>
            <w:r>
              <w:t xml:space="preserve">Configure WAF + rate limiting on Cloudflare</w:t>
            </w:r>
          </w:p>
        </w:tc>
        <w:tc>
          <w:tcPr>
            <w:tcW w:type="dxa" w:w="3192"/>
            <w:tcBorders>
              <w:top w:val="single" w:sz="1"/>
              <w:left w:val="single" w:sz="1"/>
              <w:bottom w:val="single" w:sz="1"/>
              <w:right w:val="single" w:sz="1"/>
            </w:tcBorders>
            <w:vAlign w:val="top"/>
          </w:tcPr>
          <w:p>
            <w:r>
              <w:t xml:space="preserve">Cloudflare</w:t>
            </w:r>
          </w:p>
        </w:tc>
        <w:tc>
          <w:tcPr>
            <w:tcW w:type="dxa" w:w="3192"/>
            <w:tcBorders>
              <w:top w:val="single" w:sz="1"/>
              <w:left w:val="single" w:sz="1"/>
              <w:bottom w:val="single" w:sz="1"/>
              <w:right w:val="single" w:sz="1"/>
            </w:tcBorders>
            <w:vAlign w:val="top"/>
          </w:tcPr>
          <w:p>
            <w:r>
              <w:t xml:space="preserve">M</w:t>
            </w:r>
          </w:p>
        </w:tc>
      </w:tr>
      <w:tr>
        <w:tc>
          <w:tcPr>
            <w:tcW w:type="dxa" w:w="3192"/>
            <w:tcBorders>
              <w:top w:val="single" w:sz="1"/>
              <w:left w:val="single" w:sz="1"/>
              <w:bottom w:val="single" w:sz="1"/>
              <w:right w:val="single" w:sz="1"/>
            </w:tcBorders>
            <w:vAlign w:val="top"/>
          </w:tcPr>
          <w:p>
            <w:r>
              <w:t xml:space="preserve">Enable mTLS for Worker-to-backend</w:t>
            </w:r>
          </w:p>
        </w:tc>
        <w:tc>
          <w:tcPr>
            <w:tcW w:type="dxa" w:w="3192"/>
            <w:tcBorders>
              <w:top w:val="single" w:sz="1"/>
              <w:left w:val="single" w:sz="1"/>
              <w:bottom w:val="single" w:sz="1"/>
              <w:right w:val="single" w:sz="1"/>
            </w:tcBorders>
            <w:vAlign w:val="top"/>
          </w:tcPr>
          <w:p>
            <w:r>
              <w:t xml:space="preserve">Cloudflare</w:t>
            </w:r>
          </w:p>
        </w:tc>
        <w:tc>
          <w:tcPr>
            <w:tcW w:type="dxa" w:w="3192"/>
            <w:tcBorders>
              <w:top w:val="single" w:sz="1"/>
              <w:left w:val="single" w:sz="1"/>
              <w:bottom w:val="single" w:sz="1"/>
              <w:right w:val="single" w:sz="1"/>
            </w:tcBorders>
            <w:vAlign w:val="top"/>
          </w:tcPr>
          <w:p>
            <w:r>
              <w:t xml:space="preserve">M</w:t>
            </w:r>
          </w:p>
        </w:tc>
      </w:tr>
      <w:tr>
        <w:tc>
          <w:tcPr>
            <w:tcW w:type="dxa" w:w="3192"/>
            <w:tcBorders>
              <w:top w:val="single" w:sz="1"/>
              <w:left w:val="single" w:sz="1"/>
              <w:bottom w:val="single" w:sz="1"/>
              <w:right w:val="single" w:sz="1"/>
            </w:tcBorders>
            <w:vAlign w:val="top"/>
          </w:tcPr>
          <w:p>
            <w:r>
              <w:t xml:space="preserve">Create BRIN indexes on public_records</w:t>
            </w:r>
          </w:p>
        </w:tc>
        <w:tc>
          <w:tcPr>
            <w:tcW w:type="dxa" w:w="3192"/>
            <w:tcBorders>
              <w:top w:val="single" w:sz="1"/>
              <w:left w:val="single" w:sz="1"/>
              <w:bottom w:val="single" w:sz="1"/>
              <w:right w:val="single" w:sz="1"/>
            </w:tcBorders>
            <w:vAlign w:val="top"/>
          </w:tcPr>
          <w:p>
            <w:r>
              <w:t xml:space="preserve">Performance</w:t>
            </w:r>
          </w:p>
        </w:tc>
        <w:tc>
          <w:tcPr>
            <w:tcW w:type="dxa" w:w="3192"/>
            <w:tcBorders>
              <w:top w:val="single" w:sz="1"/>
              <w:left w:val="single" w:sz="1"/>
              <w:bottom w:val="single" w:sz="1"/>
              <w:right w:val="single" w:sz="1"/>
            </w:tcBorders>
            <w:vAlign w:val="top"/>
          </w:tcPr>
          <w:p>
            <w:r>
              <w:t xml:space="preserve">M</w:t>
            </w:r>
          </w:p>
        </w:tc>
      </w:tr>
      <w:tr>
        <w:tc>
          <w:tcPr>
            <w:tcW w:type="dxa" w:w="3192"/>
            <w:tcBorders>
              <w:top w:val="single" w:sz="1"/>
              <w:left w:val="single" w:sz="1"/>
              <w:bottom w:val="single" w:sz="1"/>
              <w:right w:val="single" w:sz="1"/>
            </w:tcBorders>
            <w:vAlign w:val="top"/>
          </w:tcPr>
          <w:p>
            <w:r>
              <w:t xml:space="preserve">Document RLS as SOC 2 evidence</w:t>
            </w:r>
          </w:p>
        </w:tc>
        <w:tc>
          <w:tcPr>
            <w:tcW w:type="dxa" w:w="3192"/>
            <w:tcBorders>
              <w:top w:val="single" w:sz="1"/>
              <w:left w:val="single" w:sz="1"/>
              <w:bottom w:val="single" w:sz="1"/>
              <w:right w:val="single" w:sz="1"/>
            </w:tcBorders>
            <w:vAlign w:val="top"/>
          </w:tcPr>
          <w:p>
            <w:r>
              <w:t xml:space="preserve">Compliance</w:t>
            </w:r>
          </w:p>
        </w:tc>
        <w:tc>
          <w:tcPr>
            <w:tcW w:type="dxa" w:w="3192"/>
            <w:tcBorders>
              <w:top w:val="single" w:sz="1"/>
              <w:left w:val="single" w:sz="1"/>
              <w:bottom w:val="single" w:sz="1"/>
              <w:right w:val="single" w:sz="1"/>
            </w:tcBorders>
            <w:vAlign w:val="top"/>
          </w:tcPr>
          <w:p>
            <w:r>
              <w:t xml:space="preserve">S</w:t>
            </w:r>
          </w:p>
        </w:tc>
      </w:tr>
    </w:tbl>
    <w:p>
      <w:pPr>
        <w:pStyle w:val="Heading3"/>
        <w:spacing w:after="120" w:before="240"/>
        <w:outlineLvl w:val="2"/>
      </w:pPr>
      <w:r>
        <w:t xml:space="preserve">Phase 3: Medium — Weeks 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400" w:hRule="atLeast"/>
        </w:trPr>
        <w:tc>
          <w:tcPr>
            <w:tcW w:type="dxa" w:w="3192"/>
            <w:tcBorders>
              <w:top w:val="single" w:sz="1"/>
              <w:left w:val="single" w:sz="1"/>
              <w:bottom w:val="single" w:sz="1"/>
              <w:right w:val="single" w:sz="1"/>
            </w:tcBorders>
            <w:shd w:fill="D3D3D3" w:val="clear"/>
            <w:vAlign w:val="center"/>
          </w:tcPr>
          <w:p>
            <w:r>
              <w:t xml:space="preserve">Action</w:t>
            </w:r>
          </w:p>
        </w:tc>
        <w:tc>
          <w:tcPr>
            <w:tcW w:type="dxa" w:w="3192"/>
            <w:tcBorders>
              <w:top w:val="single" w:sz="1"/>
              <w:left w:val="single" w:sz="1"/>
              <w:bottom w:val="single" w:sz="1"/>
              <w:right w:val="single" w:sz="1"/>
            </w:tcBorders>
            <w:shd w:fill="D3D3D3" w:val="clear"/>
            <w:vAlign w:val="center"/>
          </w:tcPr>
          <w:p>
            <w:r>
              <w:t xml:space="preserve">Category</w:t>
            </w:r>
          </w:p>
        </w:tc>
        <w:tc>
          <w:tcPr>
            <w:tcW w:type="dxa" w:w="3192"/>
            <w:tcBorders>
              <w:top w:val="single" w:sz="1"/>
              <w:left w:val="single" w:sz="1"/>
              <w:bottom w:val="single" w:sz="1"/>
              <w:right w:val="single" w:sz="1"/>
            </w:tcBorders>
            <w:shd w:fill="D3D3D3" w:val="clear"/>
            <w:vAlign w:val="center"/>
          </w:tcPr>
          <w:p>
            <w:r>
              <w:t xml:space="preserve">Effort</w:t>
            </w:r>
          </w:p>
        </w:tc>
      </w:tr>
      <w:tr>
        <w:tc>
          <w:tcPr>
            <w:tcW w:type="dxa" w:w="3192"/>
            <w:tcBorders>
              <w:top w:val="single" w:sz="1"/>
              <w:left w:val="single" w:sz="1"/>
              <w:bottom w:val="single" w:sz="1"/>
              <w:right w:val="single" w:sz="1"/>
            </w:tcBorders>
            <w:vAlign w:val="top"/>
          </w:tcPr>
          <w:p>
            <w:r>
              <w:t xml:space="preserve">Implement cryptographic bot auth for x402</w:t>
            </w:r>
          </w:p>
        </w:tc>
        <w:tc>
          <w:tcPr>
            <w:tcW w:type="dxa" w:w="3192"/>
            <w:tcBorders>
              <w:top w:val="single" w:sz="1"/>
              <w:left w:val="single" w:sz="1"/>
              <w:bottom w:val="single" w:sz="1"/>
              <w:right w:val="single" w:sz="1"/>
            </w:tcBorders>
            <w:vAlign w:val="top"/>
          </w:tcPr>
          <w:p>
            <w:r>
              <w:t xml:space="preserve">Cloudflare</w:t>
            </w:r>
          </w:p>
        </w:tc>
        <w:tc>
          <w:tcPr>
            <w:tcW w:type="dxa" w:w="3192"/>
            <w:tcBorders>
              <w:top w:val="single" w:sz="1"/>
              <w:left w:val="single" w:sz="1"/>
              <w:bottom w:val="single" w:sz="1"/>
              <w:right w:val="single" w:sz="1"/>
            </w:tcBorders>
            <w:vAlign w:val="top"/>
          </w:tcPr>
          <w:p>
            <w:r>
              <w:t xml:space="preserve">M</w:t>
            </w:r>
          </w:p>
        </w:tc>
      </w:tr>
      <w:tr>
        <w:tc>
          <w:tcPr>
            <w:tcW w:type="dxa" w:w="3192"/>
            <w:tcBorders>
              <w:top w:val="single" w:sz="1"/>
              <w:left w:val="single" w:sz="1"/>
              <w:bottom w:val="single" w:sz="1"/>
              <w:right w:val="single" w:sz="1"/>
            </w:tcBorders>
            <w:vAlign w:val="top"/>
          </w:tcPr>
          <w:p>
            <w:r>
              <w:t xml:space="preserve">Add Playwright security E2E tests</w:t>
            </w:r>
          </w:p>
        </w:tc>
        <w:tc>
          <w:tcPr>
            <w:tcW w:type="dxa" w:w="3192"/>
            <w:tcBorders>
              <w:top w:val="single" w:sz="1"/>
              <w:left w:val="single" w:sz="1"/>
              <w:bottom w:val="single" w:sz="1"/>
              <w:right w:val="single" w:sz="1"/>
            </w:tcBorders>
            <w:vAlign w:val="top"/>
          </w:tcPr>
          <w:p>
            <w:r>
              <w:t xml:space="preserve">CI/CD</w:t>
            </w:r>
          </w:p>
        </w:tc>
        <w:tc>
          <w:tcPr>
            <w:tcW w:type="dxa" w:w="3192"/>
            <w:tcBorders>
              <w:top w:val="single" w:sz="1"/>
              <w:left w:val="single" w:sz="1"/>
              <w:bottom w:val="single" w:sz="1"/>
              <w:right w:val="single" w:sz="1"/>
            </w:tcBorders>
            <w:vAlign w:val="top"/>
          </w:tcPr>
          <w:p>
            <w:r>
              <w:t xml:space="preserve">L</w:t>
            </w:r>
          </w:p>
        </w:tc>
      </w:tr>
      <w:tr>
        <w:tc>
          <w:tcPr>
            <w:tcW w:type="dxa" w:w="3192"/>
            <w:tcBorders>
              <w:top w:val="single" w:sz="1"/>
              <w:left w:val="single" w:sz="1"/>
              <w:bottom w:val="single" w:sz="1"/>
              <w:right w:val="single" w:sz="1"/>
            </w:tcBorders>
            <w:vAlign w:val="top"/>
          </w:tcPr>
          <w:p>
            <w:r>
              <w:t xml:space="preserve">Set up API fuzzing in CI</w:t>
            </w:r>
          </w:p>
        </w:tc>
        <w:tc>
          <w:tcPr>
            <w:tcW w:type="dxa" w:w="3192"/>
            <w:tcBorders>
              <w:top w:val="single" w:sz="1"/>
              <w:left w:val="single" w:sz="1"/>
              <w:bottom w:val="single" w:sz="1"/>
              <w:right w:val="single" w:sz="1"/>
            </w:tcBorders>
            <w:vAlign w:val="top"/>
          </w:tcPr>
          <w:p>
            <w:r>
              <w:t xml:space="preserve">CI/CD</w:t>
            </w:r>
          </w:p>
        </w:tc>
        <w:tc>
          <w:tcPr>
            <w:tcW w:type="dxa" w:w="3192"/>
            <w:tcBorders>
              <w:top w:val="single" w:sz="1"/>
              <w:left w:val="single" w:sz="1"/>
              <w:bottom w:val="single" w:sz="1"/>
              <w:right w:val="single" w:sz="1"/>
            </w:tcBorders>
            <w:vAlign w:val="top"/>
          </w:tcPr>
          <w:p>
            <w:r>
              <w:t xml:space="preserve">M</w:t>
            </w:r>
          </w:p>
        </w:tc>
      </w:tr>
      <w:tr>
        <w:tc>
          <w:tcPr>
            <w:tcW w:type="dxa" w:w="3192"/>
            <w:tcBorders>
              <w:top w:val="single" w:sz="1"/>
              <w:left w:val="single" w:sz="1"/>
              <w:bottom w:val="single" w:sz="1"/>
              <w:right w:val="single" w:sz="1"/>
            </w:tcBorders>
            <w:vAlign w:val="top"/>
          </w:tcPr>
          <w:p>
            <w:r>
              <w:t xml:space="preserve">Implement fee sniping prevention (nLockTime)</w:t>
            </w:r>
          </w:p>
        </w:tc>
        <w:tc>
          <w:tcPr>
            <w:tcW w:type="dxa" w:w="3192"/>
            <w:tcBorders>
              <w:top w:val="single" w:sz="1"/>
              <w:left w:val="single" w:sz="1"/>
              <w:bottom w:val="single" w:sz="1"/>
              <w:right w:val="single" w:sz="1"/>
            </w:tcBorders>
            <w:vAlign w:val="top"/>
          </w:tcPr>
          <w:p>
            <w:r>
              <w:t xml:space="preserve">Bitcoin</w:t>
            </w:r>
          </w:p>
        </w:tc>
        <w:tc>
          <w:tcPr>
            <w:tcW w:type="dxa" w:w="3192"/>
            <w:tcBorders>
              <w:top w:val="single" w:sz="1"/>
              <w:left w:val="single" w:sz="1"/>
              <w:bottom w:val="single" w:sz="1"/>
              <w:right w:val="single" w:sz="1"/>
            </w:tcBorders>
            <w:vAlign w:val="top"/>
          </w:tcPr>
          <w:p>
            <w:r>
              <w:t xml:space="preserve">M</w:t>
            </w:r>
          </w:p>
        </w:tc>
      </w:tr>
      <w:tr>
        <w:tc>
          <w:tcPr>
            <w:tcW w:type="dxa" w:w="3192"/>
            <w:tcBorders>
              <w:top w:val="single" w:sz="1"/>
              <w:left w:val="single" w:sz="1"/>
              <w:bottom w:val="single" w:sz="1"/>
              <w:right w:val="single" w:sz="1"/>
            </w:tcBorders>
            <w:vAlign w:val="top"/>
          </w:tcPr>
          <w:p>
            <w:r>
              <w:t xml:space="preserve">Harden AWS KMS configuration</w:t>
            </w:r>
          </w:p>
        </w:tc>
        <w:tc>
          <w:tcPr>
            <w:tcW w:type="dxa" w:w="3192"/>
            <w:tcBorders>
              <w:top w:val="single" w:sz="1"/>
              <w:left w:val="single" w:sz="1"/>
              <w:bottom w:val="single" w:sz="1"/>
              <w:right w:val="single" w:sz="1"/>
            </w:tcBorders>
            <w:vAlign w:val="top"/>
          </w:tcPr>
          <w:p>
            <w:r>
              <w:t xml:space="preserve">Bitcoin</w:t>
            </w:r>
          </w:p>
        </w:tc>
        <w:tc>
          <w:tcPr>
            <w:tcW w:type="dxa" w:w="3192"/>
            <w:tcBorders>
              <w:top w:val="single" w:sz="1"/>
              <w:left w:val="single" w:sz="1"/>
              <w:bottom w:val="single" w:sz="1"/>
              <w:right w:val="single" w:sz="1"/>
            </w:tcBorders>
            <w:vAlign w:val="top"/>
          </w:tcPr>
          <w:p>
            <w:r>
              <w:t xml:space="preserve">M</w:t>
            </w:r>
          </w:p>
        </w:tc>
      </w:tr>
      <w:tr>
        <w:tc>
          <w:tcPr>
            <w:tcW w:type="dxa" w:w="3192"/>
            <w:tcBorders>
              <w:top w:val="single" w:sz="1"/>
              <w:left w:val="single" w:sz="1"/>
              <w:bottom w:val="single" w:sz="1"/>
              <w:right w:val="single" w:sz="1"/>
            </w:tcBorders>
            <w:vAlign w:val="top"/>
          </w:tcPr>
          <w:p>
            <w:r>
              <w:t xml:space="preserve">React virtualization for document UIs</w:t>
            </w:r>
          </w:p>
        </w:tc>
        <w:tc>
          <w:tcPr>
            <w:tcW w:type="dxa" w:w="3192"/>
            <w:tcBorders>
              <w:top w:val="single" w:sz="1"/>
              <w:left w:val="single" w:sz="1"/>
              <w:bottom w:val="single" w:sz="1"/>
              <w:right w:val="single" w:sz="1"/>
            </w:tcBorders>
            <w:vAlign w:val="top"/>
          </w:tcPr>
          <w:p>
            <w:r>
              <w:t xml:space="preserve">Performance</w:t>
            </w:r>
          </w:p>
        </w:tc>
        <w:tc>
          <w:tcPr>
            <w:tcW w:type="dxa" w:w="3192"/>
            <w:tcBorders>
              <w:top w:val="single" w:sz="1"/>
              <w:left w:val="single" w:sz="1"/>
              <w:bottom w:val="single" w:sz="1"/>
              <w:right w:val="single" w:sz="1"/>
            </w:tcBorders>
            <w:vAlign w:val="top"/>
          </w:tcPr>
          <w:p>
            <w:r>
              <w:t xml:space="preserve">M</w:t>
            </w:r>
          </w:p>
        </w:tc>
      </w:tr>
      <w:tr>
        <w:tc>
          <w:tcPr>
            <w:tcW w:type="dxa" w:w="3192"/>
            <w:tcBorders>
              <w:top w:val="single" w:sz="1"/>
              <w:left w:val="single" w:sz="1"/>
              <w:bottom w:val="single" w:sz="1"/>
              <w:right w:val="single" w:sz="1"/>
            </w:tcBorders>
            <w:vAlign w:val="top"/>
          </w:tcPr>
          <w:p>
            <w:r>
              <w:t xml:space="preserve">Evaluate compliance monitoring platform</w:t>
            </w:r>
          </w:p>
        </w:tc>
        <w:tc>
          <w:tcPr>
            <w:tcW w:type="dxa" w:w="3192"/>
            <w:tcBorders>
              <w:top w:val="single" w:sz="1"/>
              <w:left w:val="single" w:sz="1"/>
              <w:bottom w:val="single" w:sz="1"/>
              <w:right w:val="single" w:sz="1"/>
            </w:tcBorders>
            <w:vAlign w:val="top"/>
          </w:tcPr>
          <w:p>
            <w:r>
              <w:t xml:space="preserve">Compliance</w:t>
            </w:r>
          </w:p>
        </w:tc>
        <w:tc>
          <w:tcPr>
            <w:tcW w:type="dxa" w:w="3192"/>
            <w:tcBorders>
              <w:top w:val="single" w:sz="1"/>
              <w:left w:val="single" w:sz="1"/>
              <w:bottom w:val="single" w:sz="1"/>
              <w:right w:val="single" w:sz="1"/>
            </w:tcBorders>
            <w:vAlign w:val="top"/>
          </w:tcPr>
          <w:p>
            <w:r>
              <w:t xml:space="preserve">M</w:t>
            </w:r>
          </w:p>
        </w:tc>
      </w:tr>
      <w:tr>
        <w:tc>
          <w:tcPr>
            <w:tcW w:type="dxa" w:w="3192"/>
            <w:tcBorders>
              <w:top w:val="single" w:sz="1"/>
              <w:left w:val="single" w:sz="1"/>
              <w:bottom w:val="single" w:sz="1"/>
              <w:right w:val="single" w:sz="1"/>
            </w:tcBorders>
            <w:vAlign w:val="top"/>
          </w:tcPr>
          <w:p>
            <w:r>
              <w:t xml:space="preserve">Automated credential rotation</w:t>
            </w:r>
          </w:p>
        </w:tc>
        <w:tc>
          <w:tcPr>
            <w:tcW w:type="dxa" w:w="3192"/>
            <w:tcBorders>
              <w:top w:val="single" w:sz="1"/>
              <w:left w:val="single" w:sz="1"/>
              <w:bottom w:val="single" w:sz="1"/>
              <w:right w:val="single" w:sz="1"/>
            </w:tcBorders>
            <w:vAlign w:val="top"/>
          </w:tcPr>
          <w:p>
            <w:r>
              <w:t xml:space="preserve">Cloudflare</w:t>
            </w:r>
          </w:p>
        </w:tc>
        <w:tc>
          <w:tcPr>
            <w:tcW w:type="dxa" w:w="3192"/>
            <w:tcBorders>
              <w:top w:val="single" w:sz="1"/>
              <w:left w:val="single" w:sz="1"/>
              <w:bottom w:val="single" w:sz="1"/>
              <w:right w:val="single" w:sz="1"/>
            </w:tcBorders>
            <w:vAlign w:val="top"/>
          </w:tcPr>
          <w:p>
            <w:r>
              <w:t xml:space="preserve">M</w:t>
            </w:r>
          </w:p>
        </w:tc>
      </w:tr>
      <w:tr>
        <w:tc>
          <w:tcPr>
            <w:tcW w:type="dxa" w:w="3192"/>
            <w:tcBorders>
              <w:top w:val="single" w:sz="1"/>
              <w:left w:val="single" w:sz="1"/>
              <w:bottom w:val="single" w:sz="1"/>
              <w:right w:val="single" w:sz="1"/>
            </w:tcBorders>
            <w:vAlign w:val="top"/>
          </w:tcPr>
          <w:p>
            <w:r>
              <w:t xml:space="preserve">USDC finality window enforcement</w:t>
            </w:r>
          </w:p>
        </w:tc>
        <w:tc>
          <w:tcPr>
            <w:tcW w:type="dxa" w:w="3192"/>
            <w:tcBorders>
              <w:top w:val="single" w:sz="1"/>
              <w:left w:val="single" w:sz="1"/>
              <w:bottom w:val="single" w:sz="1"/>
              <w:right w:val="single" w:sz="1"/>
            </w:tcBorders>
            <w:vAlign w:val="top"/>
          </w:tcPr>
          <w:p>
            <w:r>
              <w:t xml:space="preserve">Payments</w:t>
            </w:r>
          </w:p>
        </w:tc>
        <w:tc>
          <w:tcPr>
            <w:tcW w:type="dxa" w:w="3192"/>
            <w:tcBorders>
              <w:top w:val="single" w:sz="1"/>
              <w:left w:val="single" w:sz="1"/>
              <w:bottom w:val="single" w:sz="1"/>
              <w:right w:val="single" w:sz="1"/>
            </w:tcBorders>
            <w:vAlign w:val="top"/>
          </w:tcPr>
          <w:p>
            <w:r>
              <w:t xml:space="preserve">M</w:t>
            </w:r>
          </w:p>
        </w:tc>
      </w:tr>
    </w:tbl>
    <w:p>
      <w:pPr>
        <w:pStyle w:val="Heading3"/>
        <w:spacing w:after="120" w:before="240"/>
        <w:outlineLvl w:val="2"/>
      </w:pPr>
      <w:r>
        <w:t xml:space="preserve">Phase 4: Pre-Mainnet — Weeks 9-16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400" w:hRule="atLeast"/>
        </w:trPr>
        <w:tc>
          <w:tcPr>
            <w:tcW w:type="dxa" w:w="3192"/>
            <w:tcBorders>
              <w:top w:val="single" w:sz="1"/>
              <w:left w:val="single" w:sz="1"/>
              <w:bottom w:val="single" w:sz="1"/>
              <w:right w:val="single" w:sz="1"/>
            </w:tcBorders>
            <w:shd w:fill="D3D3D3" w:val="clear"/>
            <w:vAlign w:val="center"/>
          </w:tcPr>
          <w:p>
            <w:r>
              <w:t xml:space="preserve">Action</w:t>
            </w:r>
          </w:p>
        </w:tc>
        <w:tc>
          <w:tcPr>
            <w:tcW w:type="dxa" w:w="3192"/>
            <w:tcBorders>
              <w:top w:val="single" w:sz="1"/>
              <w:left w:val="single" w:sz="1"/>
              <w:bottom w:val="single" w:sz="1"/>
              <w:right w:val="single" w:sz="1"/>
            </w:tcBorders>
            <w:shd w:fill="D3D3D3" w:val="clear"/>
            <w:vAlign w:val="center"/>
          </w:tcPr>
          <w:p>
            <w:r>
              <w:t xml:space="preserve">Category</w:t>
            </w:r>
          </w:p>
        </w:tc>
        <w:tc>
          <w:tcPr>
            <w:tcW w:type="dxa" w:w="3192"/>
            <w:tcBorders>
              <w:top w:val="single" w:sz="1"/>
              <w:left w:val="single" w:sz="1"/>
              <w:bottom w:val="single" w:sz="1"/>
              <w:right w:val="single" w:sz="1"/>
            </w:tcBorders>
            <w:shd w:fill="D3D3D3" w:val="clear"/>
            <w:vAlign w:val="center"/>
          </w:tcPr>
          <w:p>
            <w:r>
              <w:t xml:space="preserve">Effort</w:t>
            </w:r>
          </w:p>
        </w:tc>
      </w:tr>
      <w:tr>
        <w:tc>
          <w:tcPr>
            <w:tcW w:type="dxa" w:w="3192"/>
            <w:tcBorders>
              <w:top w:val="single" w:sz="1"/>
              <w:left w:val="single" w:sz="1"/>
              <w:bottom w:val="single" w:sz="1"/>
              <w:right w:val="single" w:sz="1"/>
            </w:tcBorders>
            <w:vAlign w:val="top"/>
          </w:tcPr>
          <w:p>
            <w:r>
              <w:t xml:space="preserve">Signet-to-mainnet migration checklist</w:t>
            </w:r>
          </w:p>
        </w:tc>
        <w:tc>
          <w:tcPr>
            <w:tcW w:type="dxa" w:w="3192"/>
            <w:tcBorders>
              <w:top w:val="single" w:sz="1"/>
              <w:left w:val="single" w:sz="1"/>
              <w:bottom w:val="single" w:sz="1"/>
              <w:right w:val="single" w:sz="1"/>
            </w:tcBorders>
            <w:vAlign w:val="top"/>
          </w:tcPr>
          <w:p>
            <w:r>
              <w:t xml:space="preserve">Bitcoin</w:t>
            </w:r>
          </w:p>
        </w:tc>
        <w:tc>
          <w:tcPr>
            <w:tcW w:type="dxa" w:w="3192"/>
            <w:tcBorders>
              <w:top w:val="single" w:sz="1"/>
              <w:left w:val="single" w:sz="1"/>
              <w:bottom w:val="single" w:sz="1"/>
              <w:right w:val="single" w:sz="1"/>
            </w:tcBorders>
            <w:vAlign w:val="top"/>
          </w:tcPr>
          <w:p>
            <w:r>
              <w:t xml:space="preserve">L</w:t>
            </w:r>
          </w:p>
        </w:tc>
      </w:tr>
      <w:tr>
        <w:tc>
          <w:tcPr>
            <w:tcW w:type="dxa" w:w="3192"/>
            <w:tcBorders>
              <w:top w:val="single" w:sz="1"/>
              <w:left w:val="single" w:sz="1"/>
              <w:bottom w:val="single" w:sz="1"/>
              <w:right w:val="single" w:sz="1"/>
            </w:tcBorders>
            <w:vAlign w:val="top"/>
          </w:tcPr>
          <w:p>
            <w:r>
              <w:t xml:space="preserve">Queue-based worker scaling architecture</w:t>
            </w:r>
          </w:p>
        </w:tc>
        <w:tc>
          <w:tcPr>
            <w:tcW w:type="dxa" w:w="3192"/>
            <w:tcBorders>
              <w:top w:val="single" w:sz="1"/>
              <w:left w:val="single" w:sz="1"/>
              <w:bottom w:val="single" w:sz="1"/>
              <w:right w:val="single" w:sz="1"/>
            </w:tcBorders>
            <w:vAlign w:val="top"/>
          </w:tcPr>
          <w:p>
            <w:r>
              <w:t xml:space="preserve">Performance</w:t>
            </w:r>
          </w:p>
        </w:tc>
        <w:tc>
          <w:tcPr>
            <w:tcW w:type="dxa" w:w="3192"/>
            <w:tcBorders>
              <w:top w:val="single" w:sz="1"/>
              <w:left w:val="single" w:sz="1"/>
              <w:bottom w:val="single" w:sz="1"/>
              <w:right w:val="single" w:sz="1"/>
            </w:tcBorders>
            <w:vAlign w:val="top"/>
          </w:tcPr>
          <w:p>
            <w:r>
              <w:t xml:space="preserve">L</w:t>
            </w:r>
          </w:p>
        </w:tc>
      </w:tr>
      <w:tr>
        <w:tc>
          <w:tcPr>
            <w:tcW w:type="dxa" w:w="3192"/>
            <w:tcBorders>
              <w:top w:val="single" w:sz="1"/>
              <w:left w:val="single" w:sz="1"/>
              <w:bottom w:val="single" w:sz="1"/>
              <w:right w:val="single" w:sz="1"/>
            </w:tcBorders>
            <w:vAlign w:val="top"/>
          </w:tcPr>
          <w:p>
            <w:r>
              <w:t xml:space="preserve">x402 facilitator fallback implementation</w:t>
            </w:r>
          </w:p>
        </w:tc>
        <w:tc>
          <w:tcPr>
            <w:tcW w:type="dxa" w:w="3192"/>
            <w:tcBorders>
              <w:top w:val="single" w:sz="1"/>
              <w:left w:val="single" w:sz="1"/>
              <w:bottom w:val="single" w:sz="1"/>
              <w:right w:val="single" w:sz="1"/>
            </w:tcBorders>
            <w:vAlign w:val="top"/>
          </w:tcPr>
          <w:p>
            <w:r>
              <w:t xml:space="preserve">Payments</w:t>
            </w:r>
          </w:p>
        </w:tc>
        <w:tc>
          <w:tcPr>
            <w:tcW w:type="dxa" w:w="3192"/>
            <w:tcBorders>
              <w:top w:val="single" w:sz="1"/>
              <w:left w:val="single" w:sz="1"/>
              <w:bottom w:val="single" w:sz="1"/>
              <w:right w:val="single" w:sz="1"/>
            </w:tcBorders>
            <w:vAlign w:val="top"/>
          </w:tcPr>
          <w:p>
            <w:r>
              <w:t xml:space="preserve">L</w:t>
            </w:r>
          </w:p>
        </w:tc>
      </w:tr>
      <w:tr>
        <w:tc>
          <w:tcPr>
            <w:tcW w:type="dxa" w:w="3192"/>
            <w:tcBorders>
              <w:top w:val="single" w:sz="1"/>
              <w:left w:val="single" w:sz="1"/>
              <w:bottom w:val="single" w:sz="1"/>
              <w:right w:val="single" w:sz="1"/>
            </w:tcBorders>
            <w:vAlign w:val="top"/>
          </w:tcPr>
          <w:p>
            <w:r>
              <w:t xml:space="preserve">Crypto-fiat reconciliation quarantine state</w:t>
            </w:r>
          </w:p>
        </w:tc>
        <w:tc>
          <w:tcPr>
            <w:tcW w:type="dxa" w:w="3192"/>
            <w:tcBorders>
              <w:top w:val="single" w:sz="1"/>
              <w:left w:val="single" w:sz="1"/>
              <w:bottom w:val="single" w:sz="1"/>
              <w:right w:val="single" w:sz="1"/>
            </w:tcBorders>
            <w:vAlign w:val="top"/>
          </w:tcPr>
          <w:p>
            <w:r>
              <w:t xml:space="preserve">Payments</w:t>
            </w:r>
          </w:p>
        </w:tc>
        <w:tc>
          <w:tcPr>
            <w:tcW w:type="dxa" w:w="3192"/>
            <w:tcBorders>
              <w:top w:val="single" w:sz="1"/>
              <w:left w:val="single" w:sz="1"/>
              <w:bottom w:val="single" w:sz="1"/>
              <w:right w:val="single" w:sz="1"/>
            </w:tcBorders>
            <w:vAlign w:val="top"/>
          </w:tcPr>
          <w:p>
            <w:r>
              <w:t xml:space="preserve">L</w:t>
            </w:r>
          </w:p>
        </w:tc>
      </w:tr>
      <w:tr>
        <w:tc>
          <w:tcPr>
            <w:tcW w:type="dxa" w:w="3192"/>
            <w:tcBorders>
              <w:top w:val="single" w:sz="1"/>
              <w:left w:val="single" w:sz="1"/>
              <w:bottom w:val="single" w:sz="1"/>
              <w:right w:val="single" w:sz="1"/>
            </w:tcBorders>
            <w:vAlign w:val="top"/>
          </w:tcPr>
          <w:p>
            <w:r>
              <w:t xml:space="preserve">SOC 2 Type I preparation</w:t>
            </w:r>
          </w:p>
        </w:tc>
        <w:tc>
          <w:tcPr>
            <w:tcW w:type="dxa" w:w="3192"/>
            <w:tcBorders>
              <w:top w:val="single" w:sz="1"/>
              <w:left w:val="single" w:sz="1"/>
              <w:bottom w:val="single" w:sz="1"/>
              <w:right w:val="single" w:sz="1"/>
            </w:tcBorders>
            <w:vAlign w:val="top"/>
          </w:tcPr>
          <w:p>
            <w:r>
              <w:t xml:space="preserve">Compliance</w:t>
            </w:r>
          </w:p>
        </w:tc>
        <w:tc>
          <w:tcPr>
            <w:tcW w:type="dxa" w:w="3192"/>
            <w:tcBorders>
              <w:top w:val="single" w:sz="1"/>
              <w:left w:val="single" w:sz="1"/>
              <w:bottom w:val="single" w:sz="1"/>
              <w:right w:val="single" w:sz="1"/>
            </w:tcBorders>
            <w:vAlign w:val="top"/>
          </w:tcPr>
          <w:p>
            <w:r>
              <w:t xml:space="preserve">XL</w:t>
            </w:r>
          </w:p>
        </w:tc>
      </w:tr>
      <w:tr>
        <w:tc>
          <w:tcPr>
            <w:tcW w:type="dxa" w:w="3192"/>
            <w:tcBorders>
              <w:top w:val="single" w:sz="1"/>
              <w:left w:val="single" w:sz="1"/>
              <w:bottom w:val="single" w:sz="1"/>
              <w:right w:val="single" w:sz="1"/>
            </w:tcBorders>
            <w:vAlign w:val="top"/>
          </w:tcPr>
          <w:p>
            <w:r>
              <w:t xml:space="preserve">Container security scanning pipeline</w:t>
            </w:r>
          </w:p>
        </w:tc>
        <w:tc>
          <w:tcPr>
            <w:tcW w:type="dxa" w:w="3192"/>
            <w:tcBorders>
              <w:top w:val="single" w:sz="1"/>
              <w:left w:val="single" w:sz="1"/>
              <w:bottom w:val="single" w:sz="1"/>
              <w:right w:val="single" w:sz="1"/>
            </w:tcBorders>
            <w:vAlign w:val="top"/>
          </w:tcPr>
          <w:p>
            <w:r>
              <w:t xml:space="preserve">CI/CD</w:t>
            </w:r>
          </w:p>
        </w:tc>
        <w:tc>
          <w:tcPr>
            <w:tcW w:type="dxa" w:w="3192"/>
            <w:tcBorders>
              <w:top w:val="single" w:sz="1"/>
              <w:left w:val="single" w:sz="1"/>
              <w:bottom w:val="single" w:sz="1"/>
              <w:right w:val="single" w:sz="1"/>
            </w:tcBorders>
            <w:vAlign w:val="top"/>
          </w:tcPr>
          <w:p>
            <w:r>
              <w:t xml:space="preserve">S</w:t>
            </w:r>
          </w:p>
        </w:tc>
      </w:tr>
      <w:tr>
        <w:tc>
          <w:tcPr>
            <w:tcW w:type="dxa" w:w="3192"/>
            <w:tcBorders>
              <w:top w:val="single" w:sz="1"/>
              <w:left w:val="single" w:sz="1"/>
              <w:bottom w:val="single" w:sz="1"/>
              <w:right w:val="single" w:sz="1"/>
            </w:tcBorders>
            <w:vAlign w:val="top"/>
          </w:tcPr>
          <w:p>
            <w:r>
              <w:t xml:space="preserve">Migrate to Renovate for dependency management</w:t>
            </w:r>
          </w:p>
        </w:tc>
        <w:tc>
          <w:tcPr>
            <w:tcW w:type="dxa" w:w="3192"/>
            <w:tcBorders>
              <w:top w:val="single" w:sz="1"/>
              <w:left w:val="single" w:sz="1"/>
              <w:bottom w:val="single" w:sz="1"/>
              <w:right w:val="single" w:sz="1"/>
            </w:tcBorders>
            <w:vAlign w:val="top"/>
          </w:tcPr>
          <w:p>
            <w:r>
              <w:t xml:space="preserve">CI/CD</w:t>
            </w:r>
          </w:p>
        </w:tc>
        <w:tc>
          <w:tcPr>
            <w:tcW w:type="dxa" w:w="3192"/>
            <w:tcBorders>
              <w:top w:val="single" w:sz="1"/>
              <w:left w:val="single" w:sz="1"/>
              <w:bottom w:val="single" w:sz="1"/>
              <w:right w:val="single" w:sz="1"/>
            </w:tcBorders>
            <w:vAlign w:val="top"/>
          </w:tcPr>
          <w:p>
            <w:r>
              <w:t xml:space="preserve">M</w:t>
            </w:r>
          </w:p>
        </w:tc>
      </w:tr>
    </w:tbl>
    <w:p>
      <w:pPr>
        <w:pStyle w:val="Heading3"/>
        <w:spacing w:after="120" w:before="240"/>
        <w:outlineLvl w:val="2"/>
      </w:pPr>
      <w:r>
        <w:t xml:space="preserve">Phase 5: Ongoing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W w:type="dxa" w:w="4788"/>
            <w:tcBorders>
              <w:top w:val="single" w:sz="1"/>
              <w:left w:val="single" w:sz="1"/>
              <w:bottom w:val="single" w:sz="1"/>
              <w:right w:val="single" w:sz="1"/>
            </w:tcBorders>
            <w:shd w:fill="D3D3D3" w:val="clear"/>
            <w:vAlign w:val="center"/>
          </w:tcPr>
          <w:p>
            <w:r>
              <w:t xml:space="preserve">Action</w:t>
            </w:r>
          </w:p>
        </w:tc>
        <w:tc>
          <w:tcPr>
            <w:tcW w:type="dxa" w:w="4788"/>
            <w:tcBorders>
              <w:top w:val="single" w:sz="1"/>
              <w:left w:val="single" w:sz="1"/>
              <w:bottom w:val="single" w:sz="1"/>
              <w:right w:val="single" w:sz="1"/>
            </w:tcBorders>
            <w:shd w:fill="D3D3D3" w:val="clear"/>
            <w:vAlign w:val="center"/>
          </w:tcPr>
          <w:p>
            <w:r>
              <w:t xml:space="preserve">Frequency</w:t>
            </w:r>
          </w:p>
        </w:tc>
      </w:tr>
      <w:tr>
        <w:tc>
          <w:tcPr>
            <w:tcW w:type="dxa" w:w="4788"/>
            <w:tcBorders>
              <w:top w:val="single" w:sz="1"/>
              <w:left w:val="single" w:sz="1"/>
              <w:bottom w:val="single" w:sz="1"/>
              <w:right w:val="single" w:sz="1"/>
            </w:tcBorders>
            <w:vAlign w:val="top"/>
          </w:tcPr>
          <w:p>
            <w:r>
              <w:t xml:space="preserve">npm audit + dependency scanning</w:t>
            </w:r>
          </w:p>
        </w:tc>
        <w:tc>
          <w:tcPr>
            <w:tcW w:type="dxa" w:w="4788"/>
            <w:tcBorders>
              <w:top w:val="single" w:sz="1"/>
              <w:left w:val="single" w:sz="1"/>
              <w:bottom w:val="single" w:sz="1"/>
              <w:right w:val="single" w:sz="1"/>
            </w:tcBorders>
            <w:vAlign w:val="top"/>
          </w:tcPr>
          <w:p>
            <w:r>
              <w:t xml:space="preserve">Every PR</w:t>
            </w:r>
          </w:p>
        </w:tc>
      </w:tr>
      <w:tr>
        <w:tc>
          <w:tcPr>
            <w:tcW w:type="dxa" w:w="4788"/>
            <w:tcBorders>
              <w:top w:val="single" w:sz="1"/>
              <w:left w:val="single" w:sz="1"/>
              <w:bottom w:val="single" w:sz="1"/>
              <w:right w:val="single" w:sz="1"/>
            </w:tcBorders>
            <w:vAlign w:val="top"/>
          </w:tcPr>
          <w:p>
            <w:r>
              <w:t xml:space="preserve">Secret scanning (TruffleHog)</w:t>
            </w:r>
          </w:p>
        </w:tc>
        <w:tc>
          <w:tcPr>
            <w:tcW w:type="dxa" w:w="4788"/>
            <w:tcBorders>
              <w:top w:val="single" w:sz="1"/>
              <w:left w:val="single" w:sz="1"/>
              <w:bottom w:val="single" w:sz="1"/>
              <w:right w:val="single" w:sz="1"/>
            </w:tcBorders>
            <w:vAlign w:val="top"/>
          </w:tcPr>
          <w:p>
            <w:r>
              <w:t xml:space="preserve">Daily</w:t>
            </w:r>
          </w:p>
        </w:tc>
      </w:tr>
      <w:tr>
        <w:tc>
          <w:tcPr>
            <w:tcW w:type="dxa" w:w="4788"/>
            <w:tcBorders>
              <w:top w:val="single" w:sz="1"/>
              <w:left w:val="single" w:sz="1"/>
              <w:bottom w:val="single" w:sz="1"/>
              <w:right w:val="single" w:sz="1"/>
            </w:tcBorders>
            <w:vAlign w:val="top"/>
          </w:tcPr>
          <w:p>
            <w:r>
              <w:t xml:space="preserve">OWASP ZAP DAST scan</w:t>
            </w:r>
          </w:p>
        </w:tc>
        <w:tc>
          <w:tcPr>
            <w:tcW w:type="dxa" w:w="4788"/>
            <w:tcBorders>
              <w:top w:val="single" w:sz="1"/>
              <w:left w:val="single" w:sz="1"/>
              <w:bottom w:val="single" w:sz="1"/>
              <w:right w:val="single" w:sz="1"/>
            </w:tcBorders>
            <w:vAlign w:val="top"/>
          </w:tcPr>
          <w:p>
            <w:r>
              <w:t xml:space="preserve">Weekly</w:t>
            </w:r>
          </w:p>
        </w:tc>
      </w:tr>
      <w:tr>
        <w:tc>
          <w:tcPr>
            <w:tcW w:type="dxa" w:w="4788"/>
            <w:tcBorders>
              <w:top w:val="single" w:sz="1"/>
              <w:left w:val="single" w:sz="1"/>
              <w:bottom w:val="single" w:sz="1"/>
              <w:right w:val="single" w:sz="1"/>
            </w:tcBorders>
            <w:vAlign w:val="top"/>
          </w:tcPr>
          <w:p>
            <w:r>
              <w:t xml:space="preserve">Container image scan in registry</w:t>
            </w:r>
          </w:p>
        </w:tc>
        <w:tc>
          <w:tcPr>
            <w:tcW w:type="dxa" w:w="4788"/>
            <w:tcBorders>
              <w:top w:val="single" w:sz="1"/>
              <w:left w:val="single" w:sz="1"/>
              <w:bottom w:val="single" w:sz="1"/>
              <w:right w:val="single" w:sz="1"/>
            </w:tcBorders>
            <w:vAlign w:val="top"/>
          </w:tcPr>
          <w:p>
            <w:r>
              <w:t xml:space="preserve">Weekly</w:t>
            </w:r>
          </w:p>
        </w:tc>
      </w:tr>
      <w:tr>
        <w:tc>
          <w:tcPr>
            <w:tcW w:type="dxa" w:w="4788"/>
            <w:tcBorders>
              <w:top w:val="single" w:sz="1"/>
              <w:left w:val="single" w:sz="1"/>
              <w:bottom w:val="single" w:sz="1"/>
              <w:right w:val="single" w:sz="1"/>
            </w:tcBorders>
            <w:vAlign w:val="top"/>
          </w:tcPr>
          <w:p>
            <w:r>
              <w:t xml:space="preserve">RLS policy audit</w:t>
            </w:r>
          </w:p>
        </w:tc>
        <w:tc>
          <w:tcPr>
            <w:tcW w:type="dxa" w:w="4788"/>
            <w:tcBorders>
              <w:top w:val="single" w:sz="1"/>
              <w:left w:val="single" w:sz="1"/>
              <w:bottom w:val="single" w:sz="1"/>
              <w:right w:val="single" w:sz="1"/>
            </w:tcBorders>
            <w:vAlign w:val="top"/>
          </w:tcPr>
          <w:p>
            <w:r>
              <w:t xml:space="preserve">Monthly</w:t>
            </w:r>
          </w:p>
        </w:tc>
      </w:tr>
      <w:tr>
        <w:tc>
          <w:tcPr>
            <w:tcW w:type="dxa" w:w="4788"/>
            <w:tcBorders>
              <w:top w:val="single" w:sz="1"/>
              <w:left w:val="single" w:sz="1"/>
              <w:bottom w:val="single" w:sz="1"/>
              <w:right w:val="single" w:sz="1"/>
            </w:tcBorders>
            <w:vAlign w:val="top"/>
          </w:tcPr>
          <w:p>
            <w:r>
              <w:t xml:space="preserve">Key rotation (Stripe, x402, KMS IAM)</w:t>
            </w:r>
          </w:p>
        </w:tc>
        <w:tc>
          <w:tcPr>
            <w:tcW w:type="dxa" w:w="4788"/>
            <w:tcBorders>
              <w:top w:val="single" w:sz="1"/>
              <w:left w:val="single" w:sz="1"/>
              <w:bottom w:val="single" w:sz="1"/>
              <w:right w:val="single" w:sz="1"/>
            </w:tcBorders>
            <w:vAlign w:val="top"/>
          </w:tcPr>
          <w:p>
            <w:r>
              <w:t xml:space="preserve">Monthly</w:t>
            </w:r>
          </w:p>
        </w:tc>
      </w:tr>
      <w:tr>
        <w:tc>
          <w:tcPr>
            <w:tcW w:type="dxa" w:w="4788"/>
            <w:tcBorders>
              <w:top w:val="single" w:sz="1"/>
              <w:left w:val="single" w:sz="1"/>
              <w:bottom w:val="single" w:sz="1"/>
              <w:right w:val="single" w:sz="1"/>
            </w:tcBorders>
            <w:vAlign w:val="top"/>
          </w:tcPr>
          <w:p>
            <w:r>
              <w:t xml:space="preserve">PostgreSQL security advisory review</w:t>
            </w:r>
          </w:p>
        </w:tc>
        <w:tc>
          <w:tcPr>
            <w:tcW w:type="dxa" w:w="4788"/>
            <w:tcBorders>
              <w:top w:val="single" w:sz="1"/>
              <w:left w:val="single" w:sz="1"/>
              <w:bottom w:val="single" w:sz="1"/>
              <w:right w:val="single" w:sz="1"/>
            </w:tcBorders>
            <w:vAlign w:val="top"/>
          </w:tcPr>
          <w:p>
            <w:r>
              <w:t xml:space="preserve">Monthly</w:t>
            </w:r>
          </w:p>
        </w:tc>
      </w:tr>
      <w:tr>
        <w:tc>
          <w:tcPr>
            <w:tcW w:type="dxa" w:w="4788"/>
            <w:tcBorders>
              <w:top w:val="single" w:sz="1"/>
              <w:left w:val="single" w:sz="1"/>
              <w:bottom w:val="single" w:sz="1"/>
              <w:right w:val="single" w:sz="1"/>
            </w:tcBorders>
            <w:vAlign w:val="top"/>
          </w:tcPr>
          <w:p>
            <w:r>
              <w:t xml:space="preserve">SOC 2 evidence collection review</w:t>
            </w:r>
          </w:p>
        </w:tc>
        <w:tc>
          <w:tcPr>
            <w:tcW w:type="dxa" w:w="4788"/>
            <w:tcBorders>
              <w:top w:val="single" w:sz="1"/>
              <w:left w:val="single" w:sz="1"/>
              <w:bottom w:val="single" w:sz="1"/>
              <w:right w:val="single" w:sz="1"/>
            </w:tcBorders>
            <w:vAlign w:val="top"/>
          </w:tcPr>
          <w:p>
            <w:r>
              <w:t xml:space="preserve">Monthly</w:t>
            </w:r>
          </w:p>
        </w:tc>
      </w:tr>
      <w:tr>
        <w:tc>
          <w:tcPr>
            <w:tcW w:type="dxa" w:w="4788"/>
            <w:tcBorders>
              <w:top w:val="single" w:sz="1"/>
              <w:left w:val="single" w:sz="1"/>
              <w:bottom w:val="single" w:sz="1"/>
              <w:right w:val="single" w:sz="1"/>
            </w:tcBorders>
            <w:vAlign w:val="top"/>
          </w:tcPr>
          <w:p>
            <w:r>
              <w:t xml:space="preserve">Full penetration testing</w:t>
            </w:r>
          </w:p>
        </w:tc>
        <w:tc>
          <w:tcPr>
            <w:tcW w:type="dxa" w:w="4788"/>
            <w:tcBorders>
              <w:top w:val="single" w:sz="1"/>
              <w:left w:val="single" w:sz="1"/>
              <w:bottom w:val="single" w:sz="1"/>
              <w:right w:val="single" w:sz="1"/>
            </w:tcBorders>
            <w:vAlign w:val="top"/>
          </w:tcPr>
          <w:p>
            <w:r>
              <w:t xml:space="preserve">Quarterly</w:t>
            </w:r>
          </w:p>
        </w:tc>
      </w:tr>
    </w:tbl>
    <w:p>
      <w:pPr>
        <w:pStyle w:val="Heading2"/>
        <w:spacing w:after="120" w:before="240"/>
        <w:outlineLvl w:val="1"/>
      </w:pPr>
      <w:r>
        <w:t xml:space="preserve">Priority Summary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400" w:hRule="atLeast"/>
        </w:trPr>
        <w:tc>
          <w:tcPr>
            <w:tcW w:type="dxa" w:w="3192"/>
            <w:tcBorders>
              <w:top w:val="single" w:sz="1"/>
              <w:left w:val="single" w:sz="1"/>
              <w:bottom w:val="single" w:sz="1"/>
              <w:right w:val="single" w:sz="1"/>
            </w:tcBorders>
            <w:shd w:fill="D3D3D3" w:val="clear"/>
            <w:vAlign w:val="center"/>
          </w:tcPr>
          <w:p>
            <w:r>
              <w:t xml:space="preserve">Priority</w:t>
            </w:r>
          </w:p>
        </w:tc>
        <w:tc>
          <w:tcPr>
            <w:tcW w:type="dxa" w:w="3192"/>
            <w:tcBorders>
              <w:top w:val="single" w:sz="1"/>
              <w:left w:val="single" w:sz="1"/>
              <w:bottom w:val="single" w:sz="1"/>
              <w:right w:val="single" w:sz="1"/>
            </w:tcBorders>
            <w:shd w:fill="D3D3D3" w:val="clear"/>
            <w:vAlign w:val="center"/>
          </w:tcPr>
          <w:p>
            <w:r>
              <w:t xml:space="preserve">Count</w:t>
            </w:r>
          </w:p>
        </w:tc>
        <w:tc>
          <w:tcPr>
            <w:tcW w:type="dxa" w:w="3192"/>
            <w:tcBorders>
              <w:top w:val="single" w:sz="1"/>
              <w:left w:val="single" w:sz="1"/>
              <w:bottom w:val="single" w:sz="1"/>
              <w:right w:val="single" w:sz="1"/>
            </w:tcBorders>
            <w:shd w:fill="D3D3D3" w:val="clear"/>
            <w:vAlign w:val="center"/>
          </w:tcPr>
          <w:p>
            <w:r>
              <w:t xml:space="preserve">Key Items</w:t>
            </w:r>
          </w:p>
        </w:tc>
      </w:tr>
      <w:tr>
        <w:tc>
          <w:tcPr>
            <w:tcW w:type="dxa" w:w="3192"/>
            <w:tcBorders>
              <w:top w:val="single" w:sz="1"/>
              <w:left w:val="single" w:sz="1"/>
              <w:bottom w:val="single" w:sz="1"/>
              <w:right w:val="single" w:sz="1"/>
            </w:tcBorders>
            <w:vAlign w:val="top"/>
          </w:tcPr>
          <w:p>
            <w:r>
              <w:t xml:space="preserve">CRITICAL</w:t>
            </w:r>
          </w:p>
        </w:tc>
        <w:tc>
          <w:tcPr>
            <w:tcW w:type="dxa" w:w="3192"/>
            <w:tcBorders>
              <w:top w:val="single" w:sz="1"/>
              <w:left w:val="single" w:sz="1"/>
              <w:bottom w:val="single" w:sz="1"/>
              <w:right w:val="single" w:sz="1"/>
            </w:tcBorders>
            <w:vAlign w:val="top"/>
          </w:tcPr>
          <w:p>
            <w:r>
              <w:t xml:space="preserve">28</w:t>
            </w:r>
          </w:p>
        </w:tc>
        <w:tc>
          <w:tcPr>
            <w:tcW w:type="dxa" w:w="3192"/>
            <w:tcBorders>
              <w:top w:val="single" w:sz="1"/>
              <w:left w:val="single" w:sz="1"/>
              <w:bottom w:val="single" w:sz="1"/>
              <w:right w:val="single" w:sz="1"/>
            </w:tcBorders>
            <w:vAlign w:val="top"/>
          </w:tcPr>
          <w:p>
            <w:r>
              <w:t xml:space="preserve">PostgreSQL CVE, Vite CVEs, GH Actions supply chain, service role keys, Node.js CVE, connection pooling, BRIN indexes, webhook security, USDC finality</w:t>
            </w:r>
          </w:p>
        </w:tc>
      </w:tr>
      <w:tr>
        <w:tc>
          <w:tcPr>
            <w:tcW w:type="dxa" w:w="3192"/>
            <w:tcBorders>
              <w:top w:val="single" w:sz="1"/>
              <w:left w:val="single" w:sz="1"/>
              <w:bottom w:val="single" w:sz="1"/>
              <w:right w:val="single" w:sz="1"/>
            </w:tcBorders>
            <w:vAlign w:val="top"/>
          </w:tcPr>
          <w:p>
            <w:r>
              <w:t xml:space="preserve">HIGH</w:t>
            </w:r>
          </w:p>
        </w:tc>
        <w:tc>
          <w:tcPr>
            <w:tcW w:type="dxa" w:w="3192"/>
            <w:tcBorders>
              <w:top w:val="single" w:sz="1"/>
              <w:left w:val="single" w:sz="1"/>
              <w:bottom w:val="single" w:sz="1"/>
              <w:right w:val="single" w:sz="1"/>
            </w:tcBorders>
            <w:vAlign w:val="top"/>
          </w:tcPr>
          <w:p>
            <w:r>
              <w:t xml:space="preserve">24</w:t>
            </w:r>
          </w:p>
        </w:tc>
        <w:tc>
          <w:tcPr>
            <w:tcW w:type="dxa" w:w="3192"/>
            <w:tcBorders>
              <w:top w:val="single" w:sz="1"/>
              <w:left w:val="single" w:sz="1"/>
              <w:bottom w:val="single" w:sz="1"/>
              <w:right w:val="single" w:sz="1"/>
            </w:tcBorders>
            <w:vAlign w:val="top"/>
          </w:tcPr>
          <w:p>
            <w:r>
              <w:t xml:space="preserve">CSP, SRI, rate limiting, mTLS, secret scanning, E2E security tests, API fuzzing, compliance platform, worker isolation</w:t>
            </w:r>
          </w:p>
        </w:tc>
      </w:tr>
      <w:tr>
        <w:tc>
          <w:tcPr>
            <w:tcW w:type="dxa" w:w="3192"/>
            <w:tcBorders>
              <w:top w:val="single" w:sz="1"/>
              <w:left w:val="single" w:sz="1"/>
              <w:bottom w:val="single" w:sz="1"/>
              <w:right w:val="single" w:sz="1"/>
            </w:tcBorders>
            <w:vAlign w:val="top"/>
          </w:tcPr>
          <w:p>
            <w:r>
              <w:t xml:space="preserve">MEDIUM</w:t>
            </w:r>
          </w:p>
        </w:tc>
        <w:tc>
          <w:tcPr>
            <w:tcW w:type="dxa" w:w="3192"/>
            <w:tcBorders>
              <w:top w:val="single" w:sz="1"/>
              <w:left w:val="single" w:sz="1"/>
              <w:bottom w:val="single" w:sz="1"/>
              <w:right w:val="single" w:sz="1"/>
            </w:tcBorders>
            <w:vAlign w:val="top"/>
          </w:tcPr>
          <w:p>
            <w:r>
              <w:t xml:space="preserve">8</w:t>
            </w:r>
          </w:p>
        </w:tc>
        <w:tc>
          <w:tcPr>
            <w:tcW w:type="dxa" w:w="3192"/>
            <w:tcBorders>
              <w:top w:val="single" w:sz="1"/>
              <w:left w:val="single" w:sz="1"/>
              <w:bottom w:val="single" w:sz="1"/>
              <w:right w:val="single" w:sz="1"/>
            </w:tcBorders>
            <w:vAlign w:val="top"/>
          </w:tcPr>
          <w:p>
            <w:r>
              <w:t xml:space="preserve">Accessibility, Tailwind injection, route guards, Renovate migration, EIP-3009 limitation, multi-chain USDC</w:t>
            </w:r>
          </w:p>
        </w:tc>
      </w:tr>
    </w:tbl>
    <w:p>
      <w:pPr>
        <w:spacing w:after="120"/>
      </w:pPr>
      <w:r>
        <w:rPr>
          <w:rFonts w:ascii="Arial" w:cs="Arial" w:eastAsia="Arial" w:hAnsi="Arial"/>
          <w:b/>
          <w:bCs/>
        </w:rPr>
        <w:t xml:space="preserve">Estimated total effort for Phase 1-2 (highest impact):</w:t>
      </w:r>
      <w:r>
        <w:rPr>
          <w:rFonts w:ascii="Arial" w:cs="Arial" w:eastAsia="Arial" w:hAnsi="Arial"/>
        </w:rPr>
        <w:t xml:space="preserve"> 4-6 weeks with 1-2 engineers dedicated.</w:t>
      </w:r>
    </w:p>
    <w:p>
      <w:pPr>
        <w:spacing w:after="120"/>
      </w:pPr>
      <w:r>
        <w:rPr>
          <w:rFonts w:ascii="Arial" w:cs="Arial" w:eastAsia="Arial" w:hAnsi="Arial"/>
          <w:i/>
          <w:iCs/>
        </w:rPr>
        <w:t xml:space="preserve">Generated from research across: PostgreSQL security advisories, Supabase GitHub/Blog/Community, r/Supabase, r/reactjs, Vite GitHub issues, OWASP, Node.js Security WG, Express.js GitHub, Cloudflare Blog/Community, Stripe documentation, x402 GitHub, Bitcoin Optech, bitcoin-dev mailing list, r/devops, GitHub Actions security research, and SOC 2/compliance engineering forums.</w:t>
      </w:r>
    </w:p>
    <w:p>
      <w:pPr>
        <w:pageBreakBefore/>
      </w:pPr>
    </w:p>
    <w:p>
      <w:pPr>
        <w:pStyle w:val="Heading1"/>
        <w:spacing w:after="120" w:before="240"/>
        <w:outlineLvl w:val="0"/>
      </w:pPr>
      <w:r>
        <w:t xml:space="preserve">Part 4: Sales Leads &amp; Market Intelligence</w:t>
      </w:r>
    </w:p>
    <w:p>
      <w:pPr>
        <w:pStyle w:val="Heading1"/>
        <w:spacing w:after="120" w:before="240"/>
        <w:outlineLvl w:val="0"/>
      </w:pPr>
      <w:r>
        <w:t xml:space="preserve">Arkova Sales Intelligence &amp; Market Strategy</w:t>
      </w:r>
    </w:p>
    <w:p>
      <w:pPr>
        <w:pStyle w:val="Heading2"/>
        <w:spacing w:after="120" w:before="240"/>
        <w:outlineLvl w:val="1"/>
      </w:pPr>
      <w:r>
        <w:t xml:space="preserve">March 2026</w:t>
      </w:r>
    </w:p>
    <w:p>
      <w:pPr>
        <w:pStyle w:val="Heading2"/>
        <w:spacing w:after="120" w:before="240"/>
        <w:outlineLvl w:val="1"/>
      </w:pPr>
      <w:r>
        <w:t xml:space="preserve">1. Hot Leads — Companies &amp; Institutions Showing Buying Signals</w:t>
      </w:r>
    </w:p>
    <w:p>
      <w:pPr>
        <w:pStyle w:val="Heading3"/>
        <w:spacing w:after="120" w:before="240"/>
        <w:outlineLvl w:val="2"/>
      </w:pPr>
      <w:r>
        <w:t xml:space="preserve">Higher Education (Phase I Priority)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tLeast"/>
        </w:trPr>
        <w:tc>
          <w:tcPr>
            <w:tcW w:type="dxa" w:w="2394"/>
            <w:tcBorders>
              <w:top w:val="single" w:sz="1"/>
              <w:left w:val="single" w:sz="1"/>
              <w:bottom w:val="single" w:sz="1"/>
              <w:right w:val="single" w:sz="1"/>
            </w:tcBorders>
            <w:shd w:fill="D3D3D3" w:val="clear"/>
            <w:vAlign w:val="center"/>
          </w:tcPr>
          <w:p>
            <w:r>
              <w:t xml:space="preserve">Lead</w:t>
            </w:r>
          </w:p>
        </w:tc>
        <w:tc>
          <w:tcPr>
            <w:tcW w:type="dxa" w:w="2394"/>
            <w:tcBorders>
              <w:top w:val="single" w:sz="1"/>
              <w:left w:val="single" w:sz="1"/>
              <w:bottom w:val="single" w:sz="1"/>
              <w:right w:val="single" w:sz="1"/>
            </w:tcBorders>
            <w:shd w:fill="D3D3D3" w:val="clear"/>
            <w:vAlign w:val="center"/>
          </w:tcPr>
          <w:p>
            <w:r>
              <w:t xml:space="preserve">Signal</w:t>
            </w:r>
          </w:p>
        </w:tc>
        <w:tc>
          <w:tcPr>
            <w:tcW w:type="dxa" w:w="2394"/>
            <w:tcBorders>
              <w:top w:val="single" w:sz="1"/>
              <w:left w:val="single" w:sz="1"/>
              <w:bottom w:val="single" w:sz="1"/>
              <w:right w:val="single" w:sz="1"/>
            </w:tcBorders>
            <w:shd w:fill="D3D3D3" w:val="clear"/>
            <w:vAlign w:val="center"/>
          </w:tcPr>
          <w:p>
            <w:r>
              <w:t xml:space="preserve">Why Now</w:t>
            </w:r>
          </w:p>
        </w:tc>
        <w:tc>
          <w:tcPr>
            <w:tcW w:type="dxa" w:w="2394"/>
            <w:tcBorders>
              <w:top w:val="single" w:sz="1"/>
              <w:left w:val="single" w:sz="1"/>
              <w:bottom w:val="single" w:sz="1"/>
              <w:right w:val="single" w:sz="1"/>
            </w:tcBorders>
            <w:shd w:fill="D3D3D3" w:val="clear"/>
            <w:vAlign w:val="center"/>
          </w:tcPr>
          <w:p>
            <w:r>
              <w:t xml:space="preserve">Entry Point</w:t>
            </w:r>
          </w:p>
        </w:tc>
      </w:tr>
      <w:tr>
        <w:tc>
          <w:tcPr>
            <w:tcW w:type="dxa" w:w="2394"/>
            <w:tcBorders>
              <w:top w:val="single" w:sz="1"/>
              <w:left w:val="single" w:sz="1"/>
              <w:bottom w:val="single" w:sz="1"/>
              <w:right w:val="single" w:sz="1"/>
            </w:tcBorders>
            <w:vAlign w:val="top"/>
          </w:tcPr>
          <w:p>
            <w:r>
              <w:t xml:space="preserve">**Tennessee Board of Regents (37 institutions)**</w:t>
            </w:r>
          </w:p>
        </w:tc>
        <w:tc>
          <w:tcPr>
            <w:tcW w:type="dxa" w:w="2394"/>
            <w:tcBorders>
              <w:top w:val="single" w:sz="1"/>
              <w:left w:val="single" w:sz="1"/>
              <w:bottom w:val="single" w:sz="1"/>
              <w:right w:val="single" w:sz="1"/>
            </w:tcBorders>
            <w:vAlign w:val="top"/>
          </w:tcPr>
          <w:p>
            <w:r>
              <w:t xml:space="preserve">Deployed CLR across all TBR community colleges; 124 competency frameworks published to Credential Registry</w:t>
            </w:r>
          </w:p>
        </w:tc>
        <w:tc>
          <w:tcPr>
            <w:tcW w:type="dxa" w:w="2394"/>
            <w:tcBorders>
              <w:top w:val="single" w:sz="1"/>
              <w:left w:val="single" w:sz="1"/>
              <w:bottom w:val="single" w:sz="1"/>
              <w:right w:val="single" w:sz="1"/>
            </w:tcBorders>
            <w:vAlign w:val="top"/>
          </w:tcPr>
          <w:p>
            <w:r>
              <w:t xml:space="preserve">Largest statewide active deployment — needs verification/compliance infrastructure layer</w:t>
            </w:r>
          </w:p>
        </w:tc>
        <w:tc>
          <w:tcPr>
            <w:tcW w:type="dxa" w:w="2394"/>
            <w:tcBorders>
              <w:top w:val="single" w:sz="1"/>
              <w:left w:val="single" w:sz="1"/>
              <w:bottom w:val="single" w:sz="1"/>
              <w:right w:val="single" w:sz="1"/>
            </w:tcBorders>
            <w:vAlign w:val="top"/>
          </w:tcPr>
          <w:p>
            <w:r>
              <w:t xml:space="preserve">Position as verification layer for TBR CRED system</w:t>
            </w:r>
          </w:p>
        </w:tc>
      </w:tr>
      <w:tr>
        <w:tc>
          <w:tcPr>
            <w:tcW w:type="dxa" w:w="2394"/>
            <w:tcBorders>
              <w:top w:val="single" w:sz="1"/>
              <w:left w:val="single" w:sz="1"/>
              <w:bottom w:val="single" w:sz="1"/>
              <w:right w:val="single" w:sz="1"/>
            </w:tcBorders>
            <w:vAlign w:val="top"/>
          </w:tcPr>
          <w:p>
            <w:r>
              <w:t xml:space="preserve">**Digital Credentials Consortium (MIT-led)**</w:t>
            </w:r>
          </w:p>
        </w:tc>
        <w:tc>
          <w:tcPr>
            <w:tcW w:type="dxa" w:w="2394"/>
            <w:tcBorders>
              <w:top w:val="single" w:sz="1"/>
              <w:left w:val="single" w:sz="1"/>
              <w:bottom w:val="single" w:sz="1"/>
              <w:right w:val="single" w:sz="1"/>
            </w:tcBorders>
            <w:vAlign w:val="top"/>
          </w:tcPr>
          <w:p>
            <w:r>
              <w:t xml:space="preserve">MIT, Harvard, Georgia Tech, UC Berkeley designing shared credential infrastructure; open to new members</w:t>
            </w:r>
          </w:p>
        </w:tc>
        <w:tc>
          <w:tcPr>
            <w:tcW w:type="dxa" w:w="2394"/>
            <w:tcBorders>
              <w:top w:val="single" w:sz="1"/>
              <w:left w:val="single" w:sz="1"/>
              <w:bottom w:val="single" w:sz="1"/>
              <w:right w:val="single" w:sz="1"/>
            </w:tcBorders>
            <w:vAlign w:val="top"/>
          </w:tcPr>
          <w:p>
            <w:r>
              <w:t xml:space="preserve">Actively building infrastructure; standards-setting body</w:t>
            </w:r>
          </w:p>
        </w:tc>
        <w:tc>
          <w:tcPr>
            <w:tcW w:type="dxa" w:w="2394"/>
            <w:tcBorders>
              <w:top w:val="single" w:sz="1"/>
              <w:left w:val="single" w:sz="1"/>
              <w:bottom w:val="single" w:sz="1"/>
              <w:right w:val="single" w:sz="1"/>
            </w:tcBorders>
            <w:vAlign w:val="top"/>
          </w:tcPr>
          <w:p>
            <w:r>
              <w:t xml:space="preserve">Apply for membership; propose Bitcoin timestamping as immutability layer</w:t>
            </w:r>
          </w:p>
        </w:tc>
      </w:tr>
      <w:tr>
        <w:tc>
          <w:tcPr>
            <w:tcW w:type="dxa" w:w="2394"/>
            <w:tcBorders>
              <w:top w:val="single" w:sz="1"/>
              <w:left w:val="single" w:sz="1"/>
              <w:bottom w:val="single" w:sz="1"/>
              <w:right w:val="single" w:sz="1"/>
            </w:tcBorders>
            <w:vAlign w:val="top"/>
          </w:tcPr>
          <w:p>
            <w:r>
              <w:t xml:space="preserve">**Maryville University**</w:t>
            </w:r>
          </w:p>
        </w:tc>
        <w:tc>
          <w:tcPr>
            <w:tcW w:type="dxa" w:w="2394"/>
            <w:tcBorders>
              <w:top w:val="single" w:sz="1"/>
              <w:left w:val="single" w:sz="1"/>
              <w:bottom w:val="single" w:sz="1"/>
              <w:right w:val="single" w:sz="1"/>
            </w:tcBorders>
            <w:vAlign w:val="top"/>
          </w:tcPr>
          <w:p>
            <w:r>
              <w:t xml:space="preserve">Issuing blockchain diplomas since 2019 via Blockcerts; 5+ years operational</w:t>
            </w:r>
          </w:p>
        </w:tc>
        <w:tc>
          <w:tcPr>
            <w:tcW w:type="dxa" w:w="2394"/>
            <w:tcBorders>
              <w:top w:val="single" w:sz="1"/>
              <w:left w:val="single" w:sz="1"/>
              <w:bottom w:val="single" w:sz="1"/>
              <w:right w:val="single" w:sz="1"/>
            </w:tcBorders>
            <w:vAlign w:val="top"/>
          </w:tcPr>
          <w:p>
            <w:r>
              <w:t xml:space="preserve">Proven blockchain adopter; likely ready for next-gen verification</w:t>
            </w:r>
          </w:p>
        </w:tc>
        <w:tc>
          <w:tcPr>
            <w:tcW w:type="dxa" w:w="2394"/>
            <w:tcBorders>
              <w:top w:val="single" w:sz="1"/>
              <w:left w:val="single" w:sz="1"/>
              <w:bottom w:val="single" w:sz="1"/>
              <w:right w:val="single" w:sz="1"/>
            </w:tcBorders>
            <w:vAlign w:val="top"/>
          </w:tcPr>
          <w:p>
            <w:r>
              <w:t xml:space="preserve">Direct outreach to registrar; upgrade path from Blockcerts</w:t>
            </w:r>
          </w:p>
        </w:tc>
      </w:tr>
      <w:tr>
        <w:tc>
          <w:tcPr>
            <w:tcW w:type="dxa" w:w="2394"/>
            <w:tcBorders>
              <w:top w:val="single" w:sz="1"/>
              <w:left w:val="single" w:sz="1"/>
              <w:bottom w:val="single" w:sz="1"/>
              <w:right w:val="single" w:sz="1"/>
            </w:tcBorders>
            <w:vAlign w:val="top"/>
          </w:tcPr>
          <w:p>
            <w:r>
              <w:t xml:space="preserve">**Arizona State University**</w:t>
            </w:r>
          </w:p>
        </w:tc>
        <w:tc>
          <w:tcPr>
            <w:tcW w:type="dxa" w:w="2394"/>
            <w:tcBorders>
              <w:top w:val="single" w:sz="1"/>
              <w:left w:val="single" w:sz="1"/>
              <w:bottom w:val="single" w:sz="1"/>
              <w:right w:val="single" w:sz="1"/>
            </w:tcBorders>
            <w:vAlign w:val="top"/>
          </w:tcPr>
          <w:p>
            <w:r>
              <w:t xml:space="preserve">Multiple digital credential pathways; serving thousands via ASU Online</w:t>
            </w:r>
          </w:p>
        </w:tc>
        <w:tc>
          <w:tcPr>
            <w:tcW w:type="dxa" w:w="2394"/>
            <w:tcBorders>
              <w:top w:val="single" w:sz="1"/>
              <w:left w:val="single" w:sz="1"/>
              <w:bottom w:val="single" w:sz="1"/>
              <w:right w:val="single" w:sz="1"/>
            </w:tcBorders>
            <w:vAlign w:val="top"/>
          </w:tcPr>
          <w:p>
            <w:r>
              <w:t xml:space="preserve">Scale player with digital delivery infrastructure</w:t>
            </w:r>
          </w:p>
        </w:tc>
        <w:tc>
          <w:tcPr>
            <w:tcW w:type="dxa" w:w="2394"/>
            <w:tcBorders>
              <w:top w:val="single" w:sz="1"/>
              <w:left w:val="single" w:sz="1"/>
              <w:bottom w:val="single" w:sz="1"/>
              <w:right w:val="single" w:sz="1"/>
            </w:tcBorders>
            <w:vAlign w:val="top"/>
          </w:tcPr>
          <w:p>
            <w:r>
              <w:t xml:space="preserve">API integration for credential verification at scale</w:t>
            </w:r>
          </w:p>
        </w:tc>
      </w:tr>
      <w:tr>
        <w:tc>
          <w:tcPr>
            <w:tcW w:type="dxa" w:w="2394"/>
            <w:tcBorders>
              <w:top w:val="single" w:sz="1"/>
              <w:left w:val="single" w:sz="1"/>
              <w:bottom w:val="single" w:sz="1"/>
              <w:right w:val="single" w:sz="1"/>
            </w:tcBorders>
            <w:vAlign w:val="top"/>
          </w:tcPr>
          <w:p>
            <w:r>
              <w:t xml:space="preserve">**National Student Clearinghouse + Credivera**</w:t>
            </w:r>
          </w:p>
        </w:tc>
        <w:tc>
          <w:tcPr>
            <w:tcW w:type="dxa" w:w="2394"/>
            <w:tcBorders>
              <w:top w:val="single" w:sz="1"/>
              <w:left w:val="single" w:sz="1"/>
              <w:bottom w:val="single" w:sz="1"/>
              <w:right w:val="single" w:sz="1"/>
            </w:tcBorders>
            <w:vAlign w:val="top"/>
          </w:tcPr>
          <w:p>
            <w:r>
              <w:t xml:space="preserve">April 2025 partnership for VC-based near-instant verification; new CTO Tony Chiles leading digital transformation</w:t>
            </w:r>
          </w:p>
        </w:tc>
        <w:tc>
          <w:tcPr>
            <w:tcW w:type="dxa" w:w="2394"/>
            <w:tcBorders>
              <w:top w:val="single" w:sz="1"/>
              <w:left w:val="single" w:sz="1"/>
              <w:bottom w:val="single" w:sz="1"/>
              <w:right w:val="single" w:sz="1"/>
            </w:tcBorders>
            <w:vAlign w:val="top"/>
          </w:tcPr>
          <w:p>
            <w:r>
              <w:t xml:space="preserve">Legacy infrastructure moving to verifiable credentials = transition window</w:t>
            </w:r>
          </w:p>
        </w:tc>
        <w:tc>
          <w:tcPr>
            <w:tcW w:type="dxa" w:w="2394"/>
            <w:tcBorders>
              <w:top w:val="single" w:sz="1"/>
              <w:left w:val="single" w:sz="1"/>
              <w:bottom w:val="single" w:sz="1"/>
              <w:right w:val="single" w:sz="1"/>
            </w:tcBorders>
            <w:vAlign w:val="top"/>
          </w:tcPr>
          <w:p>
            <w:r>
              <w:t xml:space="preserve">Position as verification/timestamping layer underneath Credivera's VC PaaS</w:t>
            </w:r>
          </w:p>
        </w:tc>
      </w:tr>
      <w:tr>
        <w:tc>
          <w:tcPr>
            <w:tcW w:type="dxa" w:w="2394"/>
            <w:tcBorders>
              <w:top w:val="single" w:sz="1"/>
              <w:left w:val="single" w:sz="1"/>
              <w:bottom w:val="single" w:sz="1"/>
              <w:right w:val="single" w:sz="1"/>
            </w:tcBorders>
            <w:vAlign w:val="top"/>
          </w:tcPr>
          <w:p>
            <w:r>
              <w:t xml:space="preserve">**Education Design Lab**</w:t>
            </w:r>
          </w:p>
        </w:tc>
        <w:tc>
          <w:tcPr>
            <w:tcW w:type="dxa" w:w="2394"/>
            <w:tcBorders>
              <w:top w:val="single" w:sz="1"/>
              <w:left w:val="single" w:sz="1"/>
              <w:bottom w:val="single" w:sz="1"/>
              <w:right w:val="single" w:sz="1"/>
            </w:tcBorders>
            <w:vAlign w:val="top"/>
          </w:tcPr>
          <w:p>
            <w:r>
              <w:t xml:space="preserve">$3.5M Walmart-funded RFP for credential transparency (7-12 grants, $250K-$600K each)</w:t>
            </w:r>
          </w:p>
        </w:tc>
        <w:tc>
          <w:tcPr>
            <w:tcW w:type="dxa" w:w="2394"/>
            <w:tcBorders>
              <w:top w:val="single" w:sz="1"/>
              <w:left w:val="single" w:sz="1"/>
              <w:bottom w:val="single" w:sz="1"/>
              <w:right w:val="single" w:sz="1"/>
            </w:tcBorders>
            <w:vAlign w:val="top"/>
          </w:tcPr>
          <w:p>
            <w:r>
              <w:t xml:space="preserve">Deadline was Feb 20, 2026 — check if still open or if next round coming</w:t>
            </w:r>
          </w:p>
        </w:tc>
        <w:tc>
          <w:tcPr>
            <w:tcW w:type="dxa" w:w="2394"/>
            <w:tcBorders>
              <w:top w:val="single" w:sz="1"/>
              <w:left w:val="single" w:sz="1"/>
              <w:bottom w:val="single" w:sz="1"/>
              <w:right w:val="single" w:sz="1"/>
            </w:tcBorders>
            <w:vAlign w:val="top"/>
          </w:tcPr>
          <w:p>
            <w:r>
              <w:t xml:space="preserve">RFP response or partnership with Credential Engine</w:t>
            </w:r>
          </w:p>
        </w:tc>
      </w:tr>
      <w:tr>
        <w:tc>
          <w:tcPr>
            <w:tcW w:type="dxa" w:w="2394"/>
            <w:tcBorders>
              <w:top w:val="single" w:sz="1"/>
              <w:left w:val="single" w:sz="1"/>
              <w:bottom w:val="single" w:sz="1"/>
              <w:right w:val="single" w:sz="1"/>
            </w:tcBorders>
            <w:vAlign w:val="top"/>
          </w:tcPr>
          <w:p>
            <w:r>
              <w:t xml:space="preserve">**Universities hiring for digital credential roles**</w:t>
            </w:r>
          </w:p>
        </w:tc>
        <w:tc>
          <w:tcPr>
            <w:tcW w:type="dxa" w:w="2394"/>
            <w:tcBorders>
              <w:top w:val="single" w:sz="1"/>
              <w:left w:val="single" w:sz="1"/>
              <w:bottom w:val="single" w:sz="1"/>
              <w:right w:val="single" w:sz="1"/>
            </w:tcBorders>
            <w:vAlign w:val="top"/>
          </w:tcPr>
          <w:p>
            <w:r>
              <w:t xml:space="preserve">NC A&amp;T State, Shepherd University, multiple via AACRAO Jobs board</w:t>
            </w:r>
          </w:p>
        </w:tc>
        <w:tc>
          <w:tcPr>
            <w:tcW w:type="dxa" w:w="2394"/>
            <w:tcBorders>
              <w:top w:val="single" w:sz="1"/>
              <w:left w:val="single" w:sz="1"/>
              <w:bottom w:val="single" w:sz="1"/>
              <w:right w:val="single" w:sz="1"/>
            </w:tcBorders>
            <w:vAlign w:val="top"/>
          </w:tcPr>
          <w:p>
            <w:r>
              <w:t xml:space="preserve">Budget allocated, implementation in progress</w:t>
            </w:r>
          </w:p>
        </w:tc>
        <w:tc>
          <w:tcPr>
            <w:tcW w:type="dxa" w:w="2394"/>
            <w:tcBorders>
              <w:top w:val="single" w:sz="1"/>
              <w:left w:val="single" w:sz="1"/>
              <w:bottom w:val="single" w:sz="1"/>
              <w:right w:val="single" w:sz="1"/>
            </w:tcBorders>
            <w:vAlign w:val="top"/>
          </w:tcPr>
          <w:p>
            <w:r>
              <w:t xml:space="preserve">Target registrars during onboarding; offer pilot</w:t>
            </w:r>
          </w:p>
        </w:tc>
      </w:tr>
    </w:tbl>
    <w:p>
      <w:pPr>
        <w:pStyle w:val="Heading3"/>
        <w:spacing w:after="120" w:before="240"/>
        <w:outlineLvl w:val="2"/>
      </w:pPr>
      <w:r>
        <w:t xml:space="preserve">Compliance / RegTech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tLeast"/>
        </w:trPr>
        <w:tc>
          <w:tcPr>
            <w:tcW w:type="dxa" w:w="2394"/>
            <w:tcBorders>
              <w:top w:val="single" w:sz="1"/>
              <w:left w:val="single" w:sz="1"/>
              <w:bottom w:val="single" w:sz="1"/>
              <w:right w:val="single" w:sz="1"/>
            </w:tcBorders>
            <w:shd w:fill="D3D3D3" w:val="clear"/>
            <w:vAlign w:val="center"/>
          </w:tcPr>
          <w:p>
            <w:r>
              <w:t xml:space="preserve">Lead</w:t>
            </w:r>
          </w:p>
        </w:tc>
        <w:tc>
          <w:tcPr>
            <w:tcW w:type="dxa" w:w="2394"/>
            <w:tcBorders>
              <w:top w:val="single" w:sz="1"/>
              <w:left w:val="single" w:sz="1"/>
              <w:bottom w:val="single" w:sz="1"/>
              <w:right w:val="single" w:sz="1"/>
            </w:tcBorders>
            <w:shd w:fill="D3D3D3" w:val="clear"/>
            <w:vAlign w:val="center"/>
          </w:tcPr>
          <w:p>
            <w:r>
              <w:t xml:space="preserve">Signal</w:t>
            </w:r>
          </w:p>
        </w:tc>
        <w:tc>
          <w:tcPr>
            <w:tcW w:type="dxa" w:w="2394"/>
            <w:tcBorders>
              <w:top w:val="single" w:sz="1"/>
              <w:left w:val="single" w:sz="1"/>
              <w:bottom w:val="single" w:sz="1"/>
              <w:right w:val="single" w:sz="1"/>
            </w:tcBorders>
            <w:shd w:fill="D3D3D3" w:val="clear"/>
            <w:vAlign w:val="center"/>
          </w:tcPr>
          <w:p>
            <w:r>
              <w:t xml:space="preserve">Why Now</w:t>
            </w:r>
          </w:p>
        </w:tc>
        <w:tc>
          <w:tcPr>
            <w:tcW w:type="dxa" w:w="2394"/>
            <w:tcBorders>
              <w:top w:val="single" w:sz="1"/>
              <w:left w:val="single" w:sz="1"/>
              <w:bottom w:val="single" w:sz="1"/>
              <w:right w:val="single" w:sz="1"/>
            </w:tcBorders>
            <w:shd w:fill="D3D3D3" w:val="clear"/>
            <w:vAlign w:val="center"/>
          </w:tcPr>
          <w:p>
            <w:r>
              <w:t xml:space="preserve">Entry Point</w:t>
            </w:r>
          </w:p>
        </w:tc>
      </w:tr>
      <w:tr>
        <w:tc>
          <w:tcPr>
            <w:tcW w:type="dxa" w:w="2394"/>
            <w:tcBorders>
              <w:top w:val="single" w:sz="1"/>
              <w:left w:val="single" w:sz="1"/>
              <w:bottom w:val="single" w:sz="1"/>
              <w:right w:val="single" w:sz="1"/>
            </w:tcBorders>
            <w:vAlign w:val="top"/>
          </w:tcPr>
          <w:p>
            <w:r>
              <w:t xml:space="preserve">**Financial institutions (broad)**</w:t>
            </w:r>
          </w:p>
        </w:tc>
        <w:tc>
          <w:tcPr>
            <w:tcW w:type="dxa" w:w="2394"/>
            <w:tcBorders>
              <w:top w:val="single" w:sz="1"/>
              <w:left w:val="single" w:sz="1"/>
              <w:bottom w:val="single" w:sz="1"/>
              <w:right w:val="single" w:sz="1"/>
            </w:tcBorders>
            <w:vAlign w:val="top"/>
          </w:tcPr>
          <w:p>
            <w:r>
              <w:t xml:space="preserve">80% plan to invest in AI compliance by 2026; 82% (PwC survey) plan more compliance tech spend</w:t>
            </w:r>
          </w:p>
        </w:tc>
        <w:tc>
          <w:tcPr>
            <w:tcW w:type="dxa" w:w="2394"/>
            <w:tcBorders>
              <w:top w:val="single" w:sz="1"/>
              <w:left w:val="single" w:sz="1"/>
              <w:bottom w:val="single" w:sz="1"/>
              <w:right w:val="single" w:sz="1"/>
            </w:tcBorders>
            <w:vAlign w:val="top"/>
          </w:tcPr>
          <w:p>
            <w:r>
              <w:t xml:space="preserve">Budget cycles opening; 77% still manual</w:t>
            </w:r>
          </w:p>
        </w:tc>
        <w:tc>
          <w:tcPr>
            <w:tcW w:type="dxa" w:w="2394"/>
            <w:tcBorders>
              <w:top w:val="single" w:sz="1"/>
              <w:left w:val="single" w:sz="1"/>
              <w:bottom w:val="single" w:sz="1"/>
              <w:right w:val="single" w:sz="1"/>
            </w:tcBorders>
            <w:vAlign w:val="top"/>
          </w:tcPr>
          <w:p>
            <w:r>
              <w:t xml:space="preserve">CCO/CTO outreach with ROI calculator</w:t>
            </w:r>
          </w:p>
        </w:tc>
      </w:tr>
      <w:tr>
        <w:tc>
          <w:tcPr>
            <w:tcW w:type="dxa" w:w="2394"/>
            <w:tcBorders>
              <w:top w:val="single" w:sz="1"/>
              <w:left w:val="single" w:sz="1"/>
              <w:bottom w:val="single" w:sz="1"/>
              <w:right w:val="single" w:sz="1"/>
            </w:tcBorders>
            <w:vAlign w:val="top"/>
          </w:tcPr>
          <w:p>
            <w:r>
              <w:t xml:space="preserve">**BNY Mellon**</w:t>
            </w:r>
          </w:p>
        </w:tc>
        <w:tc>
          <w:tcPr>
            <w:tcW w:type="dxa" w:w="2394"/>
            <w:tcBorders>
              <w:top w:val="single" w:sz="1"/>
              <w:left w:val="single" w:sz="1"/>
              <w:bottom w:val="single" w:sz="1"/>
              <w:right w:val="single" w:sz="1"/>
            </w:tcBorders>
            <w:vAlign w:val="top"/>
          </w:tcPr>
          <w:p>
            <w:r>
              <w:t xml:space="preserve">Completed Behavox Quantum AI implementation (2025)</w:t>
            </w:r>
          </w:p>
        </w:tc>
        <w:tc>
          <w:tcPr>
            <w:tcW w:type="dxa" w:w="2394"/>
            <w:tcBorders>
              <w:top w:val="single" w:sz="1"/>
              <w:left w:val="single" w:sz="1"/>
              <w:bottom w:val="single" w:sz="1"/>
              <w:right w:val="single" w:sz="1"/>
            </w:tcBorders>
            <w:vAlign w:val="top"/>
          </w:tcPr>
          <w:p>
            <w:r>
              <w:t xml:space="preserve">Proven AI buyer; likely evaluating adjacent compliance tools</w:t>
            </w:r>
          </w:p>
        </w:tc>
        <w:tc>
          <w:tcPr>
            <w:tcW w:type="dxa" w:w="2394"/>
            <w:tcBorders>
              <w:top w:val="single" w:sz="1"/>
              <w:left w:val="single" w:sz="1"/>
              <w:bottom w:val="single" w:sz="1"/>
              <w:right w:val="single" w:sz="1"/>
            </w:tcBorders>
            <w:vAlign w:val="top"/>
          </w:tcPr>
          <w:p>
            <w:r>
              <w:t xml:space="preserve">Pitch timestamped verification layer for Behavox outputs</w:t>
            </w:r>
          </w:p>
        </w:tc>
      </w:tr>
      <w:tr>
        <w:tc>
          <w:tcPr>
            <w:tcW w:type="dxa" w:w="2394"/>
            <w:tcBorders>
              <w:top w:val="single" w:sz="1"/>
              <w:left w:val="single" w:sz="1"/>
              <w:bottom w:val="single" w:sz="1"/>
              <w:right w:val="single" w:sz="1"/>
            </w:tcBorders>
            <w:vAlign w:val="top"/>
          </w:tcPr>
          <w:p>
            <w:r>
              <w:t xml:space="preserve">**AscentAI (formerly Ascent RegTech)**</w:t>
            </w:r>
          </w:p>
        </w:tc>
        <w:tc>
          <w:tcPr>
            <w:tcW w:type="dxa" w:w="2394"/>
            <w:tcBorders>
              <w:top w:val="single" w:sz="1"/>
              <w:left w:val="single" w:sz="1"/>
              <w:bottom w:val="single" w:sz="1"/>
              <w:right w:val="single" w:sz="1"/>
            </w:tcBorders>
            <w:vAlign w:val="top"/>
          </w:tcPr>
          <w:p>
            <w:r>
              <w:t xml:space="preserve">Rebranded March 2025; regulatory lifecycle management; clients include ING, Commonwealth Bank of Australia</w:t>
            </w:r>
          </w:p>
        </w:tc>
        <w:tc>
          <w:tcPr>
            <w:tcW w:type="dxa" w:w="2394"/>
            <w:tcBorders>
              <w:top w:val="single" w:sz="1"/>
              <w:left w:val="single" w:sz="1"/>
              <w:bottom w:val="single" w:sz="1"/>
              <w:right w:val="single" w:sz="1"/>
            </w:tcBorders>
            <w:vAlign w:val="top"/>
          </w:tcPr>
          <w:p>
            <w:r>
              <w:t xml:space="preserve">Closest competitor but no blockchain/timestamping; partnership or displacement play</w:t>
            </w:r>
          </w:p>
        </w:tc>
        <w:tc>
          <w:tcPr>
            <w:tcW w:type="dxa" w:w="2394"/>
            <w:tcBorders>
              <w:top w:val="single" w:sz="1"/>
              <w:left w:val="single" w:sz="1"/>
              <w:bottom w:val="single" w:sz="1"/>
              <w:right w:val="single" w:sz="1"/>
            </w:tcBorders>
            <w:vAlign w:val="top"/>
          </w:tcPr>
          <w:p>
            <w:r>
              <w:t xml:space="preserve">Contact ING/CBA compliance teams directly with differentiated pitch</w:t>
            </w:r>
          </w:p>
        </w:tc>
      </w:tr>
      <w:tr>
        <w:tc>
          <w:tcPr>
            <w:tcW w:type="dxa" w:w="2394"/>
            <w:tcBorders>
              <w:top w:val="single" w:sz="1"/>
              <w:left w:val="single" w:sz="1"/>
              <w:bottom w:val="single" w:sz="1"/>
              <w:right w:val="single" w:sz="1"/>
            </w:tcBorders>
            <w:vAlign w:val="top"/>
          </w:tcPr>
          <w:p>
            <w:r>
              <w:t xml:space="preserve">**Companies hiring 3,000+ fintech compliance roles**</w:t>
            </w:r>
          </w:p>
        </w:tc>
        <w:tc>
          <w:tcPr>
            <w:tcW w:type="dxa" w:w="2394"/>
            <w:tcBorders>
              <w:top w:val="single" w:sz="1"/>
              <w:left w:val="single" w:sz="1"/>
              <w:bottom w:val="single" w:sz="1"/>
              <w:right w:val="single" w:sz="1"/>
            </w:tcBorders>
            <w:vAlign w:val="top"/>
          </w:tcPr>
          <w:p>
            <w:r>
              <w:t xml:space="preserve">ZipRecruiter shows massive hiring; $61K-$215K salary range</w:t>
            </w:r>
          </w:p>
        </w:tc>
        <w:tc>
          <w:tcPr>
            <w:tcW w:type="dxa" w:w="2394"/>
            <w:tcBorders>
              <w:top w:val="single" w:sz="1"/>
              <w:left w:val="single" w:sz="1"/>
              <w:bottom w:val="single" w:sz="1"/>
              <w:right w:val="single" w:sz="1"/>
            </w:tcBorders>
            <w:vAlign w:val="top"/>
          </w:tcPr>
          <w:p>
            <w:r>
              <w:t xml:space="preserve">Organizations scaling compliance teams = budget exists for automation</w:t>
            </w:r>
          </w:p>
        </w:tc>
        <w:tc>
          <w:tcPr>
            <w:tcW w:type="dxa" w:w="2394"/>
            <w:tcBorders>
              <w:top w:val="single" w:sz="1"/>
              <w:left w:val="single" w:sz="1"/>
              <w:bottom w:val="single" w:sz="1"/>
              <w:right w:val="single" w:sz="1"/>
            </w:tcBorders>
            <w:vAlign w:val="top"/>
          </w:tcPr>
          <w:p>
            <w:r>
              <w:t xml:space="preserve">Target companies with 5+ open compliance roles as likely buyers</w:t>
            </w:r>
          </w:p>
        </w:tc>
      </w:tr>
    </w:tbl>
    <w:p>
      <w:pPr>
        <w:pStyle w:val="Heading3"/>
        <w:spacing w:after="120" w:before="240"/>
        <w:outlineLvl w:val="2"/>
      </w:pPr>
      <w:r>
        <w:t xml:space="preserve">AI Agent / Developer Market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tLeast"/>
        </w:trPr>
        <w:tc>
          <w:tcPr>
            <w:tcW w:type="dxa" w:w="2394"/>
            <w:tcBorders>
              <w:top w:val="single" w:sz="1"/>
              <w:left w:val="single" w:sz="1"/>
              <w:bottom w:val="single" w:sz="1"/>
              <w:right w:val="single" w:sz="1"/>
            </w:tcBorders>
            <w:shd w:fill="D3D3D3" w:val="clear"/>
            <w:vAlign w:val="center"/>
          </w:tcPr>
          <w:p>
            <w:r>
              <w:t xml:space="preserve">Lead</w:t>
            </w:r>
          </w:p>
        </w:tc>
        <w:tc>
          <w:tcPr>
            <w:tcW w:type="dxa" w:w="2394"/>
            <w:tcBorders>
              <w:top w:val="single" w:sz="1"/>
              <w:left w:val="single" w:sz="1"/>
              <w:bottom w:val="single" w:sz="1"/>
              <w:right w:val="single" w:sz="1"/>
            </w:tcBorders>
            <w:shd w:fill="D3D3D3" w:val="clear"/>
            <w:vAlign w:val="center"/>
          </w:tcPr>
          <w:p>
            <w:r>
              <w:t xml:space="preserve">Signal</w:t>
            </w:r>
          </w:p>
        </w:tc>
        <w:tc>
          <w:tcPr>
            <w:tcW w:type="dxa" w:w="2394"/>
            <w:tcBorders>
              <w:top w:val="single" w:sz="1"/>
              <w:left w:val="single" w:sz="1"/>
              <w:bottom w:val="single" w:sz="1"/>
              <w:right w:val="single" w:sz="1"/>
            </w:tcBorders>
            <w:shd w:fill="D3D3D3" w:val="clear"/>
            <w:vAlign w:val="center"/>
          </w:tcPr>
          <w:p>
            <w:r>
              <w:t xml:space="preserve">Why Now</w:t>
            </w:r>
          </w:p>
        </w:tc>
        <w:tc>
          <w:tcPr>
            <w:tcW w:type="dxa" w:w="2394"/>
            <w:tcBorders>
              <w:top w:val="single" w:sz="1"/>
              <w:left w:val="single" w:sz="1"/>
              <w:bottom w:val="single" w:sz="1"/>
              <w:right w:val="single" w:sz="1"/>
            </w:tcBorders>
            <w:shd w:fill="D3D3D3" w:val="clear"/>
            <w:vAlign w:val="center"/>
          </w:tcPr>
          <w:p>
            <w:r>
              <w:t xml:space="preserve">Entry Point</w:t>
            </w:r>
          </w:p>
        </w:tc>
      </w:tr>
      <w:tr>
        <w:tc>
          <w:tcPr>
            <w:tcW w:type="dxa" w:w="2394"/>
            <w:tcBorders>
              <w:top w:val="single" w:sz="1"/>
              <w:left w:val="single" w:sz="1"/>
              <w:bottom w:val="single" w:sz="1"/>
              <w:right w:val="single" w:sz="1"/>
            </w:tcBorders>
            <w:vAlign w:val="top"/>
          </w:tcPr>
          <w:p>
            <w:r>
              <w:t xml:space="preserve">**Stripe Agentic Commerce**</w:t>
            </w:r>
          </w:p>
        </w:tc>
        <w:tc>
          <w:tcPr>
            <w:tcW w:type="dxa" w:w="2394"/>
            <w:tcBorders>
              <w:top w:val="single" w:sz="1"/>
              <w:left w:val="single" w:sz="1"/>
              <w:bottom w:val="single" w:sz="1"/>
              <w:right w:val="single" w:sz="1"/>
            </w:tcBorders>
            <w:vAlign w:val="top"/>
          </w:tcPr>
          <w:p>
            <w:r>
              <w:t xml:space="preserve">Live Feb 2026; Shared Payment Tokens; integrating with Wix, WooCommerce, BigCommerce</w:t>
            </w:r>
          </w:p>
        </w:tc>
        <w:tc>
          <w:tcPr>
            <w:tcW w:type="dxa" w:w="2394"/>
            <w:tcBorders>
              <w:top w:val="single" w:sz="1"/>
              <w:left w:val="single" w:sz="1"/>
              <w:bottom w:val="single" w:sz="1"/>
              <w:right w:val="single" w:sz="1"/>
            </w:tcBorders>
            <w:vAlign w:val="top"/>
          </w:tcPr>
          <w:p>
            <w:r>
              <w:t xml:space="preserve">Merchants onboarding for agent payments; need verification layer upstream</w:t>
            </w:r>
          </w:p>
        </w:tc>
        <w:tc>
          <w:tcPr>
            <w:tcW w:type="dxa" w:w="2394"/>
            <w:tcBorders>
              <w:top w:val="single" w:sz="1"/>
              <w:left w:val="single" w:sz="1"/>
              <w:bottom w:val="single" w:sz="1"/>
              <w:right w:val="single" w:sz="1"/>
            </w:tcBorders>
            <w:vAlign w:val="top"/>
          </w:tcPr>
          <w:p>
            <w:r>
              <w:t xml:space="preserve">Stripe partnerships team; position as verification for SPTs</w:t>
            </w:r>
          </w:p>
        </w:tc>
      </w:tr>
      <w:tr>
        <w:tc>
          <w:tcPr>
            <w:tcW w:type="dxa" w:w="2394"/>
            <w:tcBorders>
              <w:top w:val="single" w:sz="1"/>
              <w:left w:val="single" w:sz="1"/>
              <w:bottom w:val="single" w:sz="1"/>
              <w:right w:val="single" w:sz="1"/>
            </w:tcBorders>
            <w:vAlign w:val="top"/>
          </w:tcPr>
          <w:p>
            <w:r>
              <w:t xml:space="preserve">**Circle / Coinbase (x402 Foundation)**</w:t>
            </w:r>
          </w:p>
        </w:tc>
        <w:tc>
          <w:tcPr>
            <w:tcW w:type="dxa" w:w="2394"/>
            <w:tcBorders>
              <w:top w:val="single" w:sz="1"/>
              <w:left w:val="single" w:sz="1"/>
              <w:bottom w:val="single" w:sz="1"/>
              <w:right w:val="single" w:sz="1"/>
            </w:tcBorders>
            <w:vAlign w:val="top"/>
          </w:tcPr>
          <w:p>
            <w:r>
              <w:t xml:space="preserve">75M+ x402 transactions settled; $25M monthly volume; co-founded x402 Foundation with Cloudflare, Google, Visa</w:t>
            </w:r>
          </w:p>
        </w:tc>
        <w:tc>
          <w:tcPr>
            <w:tcW w:type="dxa" w:w="2394"/>
            <w:tcBorders>
              <w:top w:val="single" w:sz="1"/>
              <w:left w:val="single" w:sz="1"/>
              <w:bottom w:val="single" w:sz="1"/>
              <w:right w:val="single" w:sz="1"/>
            </w:tcBorders>
            <w:vAlign w:val="top"/>
          </w:tcPr>
          <w:p>
            <w:r>
              <w:t xml:space="preserve">x402 is production-proven; Arkova's $0.002/call pricing aligns</w:t>
            </w:r>
          </w:p>
        </w:tc>
        <w:tc>
          <w:tcPr>
            <w:tcW w:type="dxa" w:w="2394"/>
            <w:tcBorders>
              <w:top w:val="single" w:sz="1"/>
              <w:left w:val="single" w:sz="1"/>
              <w:bottom w:val="single" w:sz="1"/>
              <w:right w:val="single" w:sz="1"/>
            </w:tcBorders>
            <w:vAlign w:val="top"/>
          </w:tcPr>
          <w:p>
            <w:r>
              <w:t xml:space="preserve">Propose Arkova as verification standard within x402 Foundation</w:t>
            </w:r>
          </w:p>
        </w:tc>
      </w:tr>
      <w:tr>
        <w:tc>
          <w:tcPr>
            <w:tcW w:type="dxa" w:w="2394"/>
            <w:tcBorders>
              <w:top w:val="single" w:sz="1"/>
              <w:left w:val="single" w:sz="1"/>
              <w:bottom w:val="single" w:sz="1"/>
              <w:right w:val="single" w:sz="1"/>
            </w:tcBorders>
            <w:vAlign w:val="top"/>
          </w:tcPr>
          <w:p>
            <w:r>
              <w:t xml:space="preserve">**Google Cloud AP2**</w:t>
            </w:r>
          </w:p>
        </w:tc>
        <w:tc>
          <w:tcPr>
            <w:tcW w:type="dxa" w:w="2394"/>
            <w:tcBorders>
              <w:top w:val="single" w:sz="1"/>
              <w:left w:val="single" w:sz="1"/>
              <w:bottom w:val="single" w:sz="1"/>
              <w:right w:val="single" w:sz="1"/>
            </w:tcBorders>
            <w:vAlign w:val="top"/>
          </w:tcPr>
          <w:p>
            <w:r>
              <w:t xml:space="preserve">Integrated x402 into Agent Payments Protocol; cryptographic signatures for agent-authorized payments</w:t>
            </w:r>
          </w:p>
        </w:tc>
        <w:tc>
          <w:tcPr>
            <w:tcW w:type="dxa" w:w="2394"/>
            <w:tcBorders>
              <w:top w:val="single" w:sz="1"/>
              <w:left w:val="single" w:sz="1"/>
              <w:bottom w:val="single" w:sz="1"/>
              <w:right w:val="single" w:sz="1"/>
            </w:tcBorders>
            <w:vAlign w:val="top"/>
          </w:tcPr>
          <w:p>
            <w:r>
              <w:t xml:space="preserve">Google backing = enterprise adoption wave coming</w:t>
            </w:r>
          </w:p>
        </w:tc>
        <w:tc>
          <w:tcPr>
            <w:tcW w:type="dxa" w:w="2394"/>
            <w:tcBorders>
              <w:top w:val="single" w:sz="1"/>
              <w:left w:val="single" w:sz="1"/>
              <w:bottom w:val="single" w:sz="1"/>
              <w:right w:val="single" w:sz="1"/>
            </w:tcBorders>
            <w:vAlign w:val="top"/>
          </w:tcPr>
          <w:p>
            <w:r>
              <w:t xml:space="preserve">Google Cloud partner program; AP2 protocol team</w:t>
            </w:r>
          </w:p>
        </w:tc>
      </w:tr>
      <w:tr>
        <w:tc>
          <w:tcPr>
            <w:tcW w:type="dxa" w:w="2394"/>
            <w:tcBorders>
              <w:top w:val="single" w:sz="1"/>
              <w:left w:val="single" w:sz="1"/>
              <w:bottom w:val="single" w:sz="1"/>
              <w:right w:val="single" w:sz="1"/>
            </w:tcBorders>
            <w:vAlign w:val="top"/>
          </w:tcPr>
          <w:p>
            <w:r>
              <w:t xml:space="preserve">**Anthropic Claude Partner Network**</w:t>
            </w:r>
          </w:p>
        </w:tc>
        <w:tc>
          <w:tcPr>
            <w:tcW w:type="dxa" w:w="2394"/>
            <w:tcBorders>
              <w:top w:val="single" w:sz="1"/>
              <w:left w:val="single" w:sz="1"/>
              <w:bottom w:val="single" w:sz="1"/>
              <w:right w:val="single" w:sz="1"/>
            </w:tcBorders>
            <w:vAlign w:val="top"/>
          </w:tcPr>
          <w:p>
            <w:r>
              <w:t xml:space="preserve">$100M commitment to partner ecosystem (March 2026); certifications available</w:t>
            </w:r>
          </w:p>
        </w:tc>
        <w:tc>
          <w:tcPr>
            <w:tcW w:type="dxa" w:w="2394"/>
            <w:tcBorders>
              <w:top w:val="single" w:sz="1"/>
              <w:left w:val="single" w:sz="1"/>
              <w:bottom w:val="single" w:sz="1"/>
              <w:right w:val="single" w:sz="1"/>
            </w:tcBorders>
            <w:vAlign w:val="top"/>
          </w:tcPr>
          <w:p>
            <w:r>
              <w:t xml:space="preserve">Growing ecosystem needs compliance/verification tools</w:t>
            </w:r>
          </w:p>
        </w:tc>
        <w:tc>
          <w:tcPr>
            <w:tcW w:type="dxa" w:w="2394"/>
            <w:tcBorders>
              <w:top w:val="single" w:sz="1"/>
              <w:left w:val="single" w:sz="1"/>
              <w:bottom w:val="single" w:sz="1"/>
              <w:right w:val="single" w:sz="1"/>
            </w:tcBorders>
            <w:vAlign w:val="top"/>
          </w:tcPr>
          <w:p>
            <w:r>
              <w:t xml:space="preserve">Apply to partner network; build Arkova as MCP server</w:t>
            </w:r>
          </w:p>
        </w:tc>
      </w:tr>
      <w:tr>
        <w:tc>
          <w:tcPr>
            <w:tcW w:type="dxa" w:w="2394"/>
            <w:tcBorders>
              <w:top w:val="single" w:sz="1"/>
              <w:left w:val="single" w:sz="1"/>
              <w:bottom w:val="single" w:sz="1"/>
              <w:right w:val="single" w:sz="1"/>
            </w:tcBorders>
            <w:vAlign w:val="top"/>
          </w:tcPr>
          <w:p>
            <w:r>
              <w:t xml:space="preserve">**LangChain**</w:t>
            </w:r>
          </w:p>
        </w:tc>
        <w:tc>
          <w:tcPr>
            <w:tcW w:type="dxa" w:w="2394"/>
            <w:tcBorders>
              <w:top w:val="single" w:sz="1"/>
              <w:left w:val="single" w:sz="1"/>
              <w:bottom w:val="single" w:sz="1"/>
              <w:right w:val="single" w:sz="1"/>
            </w:tcBorders>
            <w:vAlign w:val="top"/>
          </w:tcPr>
          <w:p>
            <w:r>
              <w:t xml:space="preserve">47M+ PyPI downloads; dominant agent framework</w:t>
            </w:r>
          </w:p>
        </w:tc>
        <w:tc>
          <w:tcPr>
            <w:tcW w:type="dxa" w:w="2394"/>
            <w:tcBorders>
              <w:top w:val="single" w:sz="1"/>
              <w:left w:val="single" w:sz="1"/>
              <w:bottom w:val="single" w:sz="1"/>
              <w:right w:val="single" w:sz="1"/>
            </w:tcBorders>
            <w:vAlign w:val="top"/>
          </w:tcPr>
          <w:p>
            <w:r>
              <w:t xml:space="preserve">Largest ecosystem; tool marketplace for verification</w:t>
            </w:r>
          </w:p>
        </w:tc>
        <w:tc>
          <w:tcPr>
            <w:tcW w:type="dxa" w:w="2394"/>
            <w:tcBorders>
              <w:top w:val="single" w:sz="1"/>
              <w:left w:val="single" w:sz="1"/>
              <w:bottom w:val="single" w:sz="1"/>
              <w:right w:val="single" w:sz="1"/>
            </w:tcBorders>
            <w:vAlign w:val="top"/>
          </w:tcPr>
          <w:p>
            <w:r>
              <w:t xml:space="preserve">LangChain tool integration; sponsor Interrupt 2026 (May 13-14)</w:t>
            </w:r>
          </w:p>
        </w:tc>
      </w:tr>
      <w:tr>
        <w:tc>
          <w:tcPr>
            <w:tcW w:type="dxa" w:w="2394"/>
            <w:tcBorders>
              <w:top w:val="single" w:sz="1"/>
              <w:left w:val="single" w:sz="1"/>
              <w:bottom w:val="single" w:sz="1"/>
              <w:right w:val="single" w:sz="1"/>
            </w:tcBorders>
            <w:vAlign w:val="top"/>
          </w:tcPr>
          <w:p>
            <w:r>
              <w:t xml:space="preserve">**AgentFacts / KYA Standard**</w:t>
            </w:r>
          </w:p>
        </w:tc>
        <w:tc>
          <w:tcPr>
            <w:tcW w:type="dxa" w:w="2394"/>
            <w:tcBorders>
              <w:top w:val="single" w:sz="1"/>
              <w:left w:val="single" w:sz="1"/>
              <w:bottom w:val="single" w:sz="1"/>
              <w:right w:val="single" w:sz="1"/>
            </w:tcBorders>
            <w:vAlign w:val="top"/>
          </w:tcPr>
          <w:p>
            <w:r>
              <w:t xml:space="preserve">Universal Know Your Agent standard; supports OpenAI, Anthropic, LangChain, CrewAI</w:t>
            </w:r>
          </w:p>
        </w:tc>
        <w:tc>
          <w:tcPr>
            <w:tcW w:type="dxa" w:w="2394"/>
            <w:tcBorders>
              <w:top w:val="single" w:sz="1"/>
              <w:left w:val="single" w:sz="1"/>
              <w:bottom w:val="single" w:sz="1"/>
              <w:right w:val="single" w:sz="1"/>
            </w:tcBorders>
            <w:vAlign w:val="top"/>
          </w:tcPr>
          <w:p>
            <w:r>
              <w:t xml:space="preserve">Identity verification exists but transaction-level verification gap</w:t>
            </w:r>
          </w:p>
        </w:tc>
        <w:tc>
          <w:tcPr>
            <w:tcW w:type="dxa" w:w="2394"/>
            <w:tcBorders>
              <w:top w:val="single" w:sz="1"/>
              <w:left w:val="single" w:sz="1"/>
              <w:bottom w:val="single" w:sz="1"/>
              <w:right w:val="single" w:sz="1"/>
            </w:tcBorders>
            <w:vAlign w:val="top"/>
          </w:tcPr>
          <w:p>
            <w:r>
              <w:t xml:space="preserve">Complement KYA with behavioral/transaction verification</w:t>
            </w:r>
          </w:p>
        </w:tc>
      </w:tr>
      <w:tr>
        <w:tc>
          <w:tcPr>
            <w:tcW w:type="dxa" w:w="2394"/>
            <w:tcBorders>
              <w:top w:val="single" w:sz="1"/>
              <w:left w:val="single" w:sz="1"/>
              <w:bottom w:val="single" w:sz="1"/>
              <w:right w:val="single" w:sz="1"/>
            </w:tcBorders>
            <w:vAlign w:val="top"/>
          </w:tcPr>
          <w:p>
            <w:r>
              <w:t xml:space="preserve">**Mastercard Verifiable Intent**</w:t>
            </w:r>
          </w:p>
        </w:tc>
        <w:tc>
          <w:tcPr>
            <w:tcW w:type="dxa" w:w="2394"/>
            <w:tcBorders>
              <w:top w:val="single" w:sz="1"/>
              <w:left w:val="single" w:sz="1"/>
              <w:bottom w:val="single" w:sz="1"/>
              <w:right w:val="single" w:sz="1"/>
            </w:tcBorders>
            <w:vAlign w:val="top"/>
          </w:tcPr>
          <w:p>
            <w:r>
              <w:t xml:space="preserve">Cryptographic tamper-resistant records of agent authorization (2026)</w:t>
            </w:r>
          </w:p>
        </w:tc>
        <w:tc>
          <w:tcPr>
            <w:tcW w:type="dxa" w:w="2394"/>
            <w:tcBorders>
              <w:top w:val="single" w:sz="1"/>
              <w:left w:val="single" w:sz="1"/>
              <w:bottom w:val="single" w:sz="1"/>
              <w:right w:val="single" w:sz="1"/>
            </w:tcBorders>
            <w:vAlign w:val="top"/>
          </w:tcPr>
          <w:p>
            <w:r>
              <w:t xml:space="preserve">Payment + compliance verification converging</w:t>
            </w:r>
          </w:p>
        </w:tc>
        <w:tc>
          <w:tcPr>
            <w:tcW w:type="dxa" w:w="2394"/>
            <w:tcBorders>
              <w:top w:val="single" w:sz="1"/>
              <w:left w:val="single" w:sz="1"/>
              <w:bottom w:val="single" w:sz="1"/>
              <w:right w:val="single" w:sz="1"/>
            </w:tcBorders>
            <w:vAlign w:val="top"/>
          </w:tcPr>
          <w:p>
            <w:r>
              <w:t xml:space="preserve">Partnership for verification layer</w:t>
            </w:r>
          </w:p>
        </w:tc>
      </w:tr>
    </w:tbl>
    <w:p>
      <w:pPr>
        <w:pStyle w:val="Heading3"/>
        <w:spacing w:after="120" w:before="240"/>
        <w:outlineLvl w:val="2"/>
      </w:pPr>
      <w:r>
        <w:t xml:space="preserve">Legal Tech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tLeast"/>
        </w:trPr>
        <w:tc>
          <w:tcPr>
            <w:tcW w:type="dxa" w:w="2394"/>
            <w:tcBorders>
              <w:top w:val="single" w:sz="1"/>
              <w:left w:val="single" w:sz="1"/>
              <w:bottom w:val="single" w:sz="1"/>
              <w:right w:val="single" w:sz="1"/>
            </w:tcBorders>
            <w:shd w:fill="D3D3D3" w:val="clear"/>
            <w:vAlign w:val="center"/>
          </w:tcPr>
          <w:p>
            <w:r>
              <w:t xml:space="preserve">Lead</w:t>
            </w:r>
          </w:p>
        </w:tc>
        <w:tc>
          <w:tcPr>
            <w:tcW w:type="dxa" w:w="2394"/>
            <w:tcBorders>
              <w:top w:val="single" w:sz="1"/>
              <w:left w:val="single" w:sz="1"/>
              <w:bottom w:val="single" w:sz="1"/>
              <w:right w:val="single" w:sz="1"/>
            </w:tcBorders>
            <w:shd w:fill="D3D3D3" w:val="clear"/>
            <w:vAlign w:val="center"/>
          </w:tcPr>
          <w:p>
            <w:r>
              <w:t xml:space="preserve">Signal</w:t>
            </w:r>
          </w:p>
        </w:tc>
        <w:tc>
          <w:tcPr>
            <w:tcW w:type="dxa" w:w="2394"/>
            <w:tcBorders>
              <w:top w:val="single" w:sz="1"/>
              <w:left w:val="single" w:sz="1"/>
              <w:bottom w:val="single" w:sz="1"/>
              <w:right w:val="single" w:sz="1"/>
            </w:tcBorders>
            <w:shd w:fill="D3D3D3" w:val="clear"/>
            <w:vAlign w:val="center"/>
          </w:tcPr>
          <w:p>
            <w:r>
              <w:t xml:space="preserve">Why Now</w:t>
            </w:r>
          </w:p>
        </w:tc>
        <w:tc>
          <w:tcPr>
            <w:tcW w:type="dxa" w:w="2394"/>
            <w:tcBorders>
              <w:top w:val="single" w:sz="1"/>
              <w:left w:val="single" w:sz="1"/>
              <w:bottom w:val="single" w:sz="1"/>
              <w:right w:val="single" w:sz="1"/>
            </w:tcBorders>
            <w:shd w:fill="D3D3D3" w:val="clear"/>
            <w:vAlign w:val="center"/>
          </w:tcPr>
          <w:p>
            <w:r>
              <w:t xml:space="preserve">Entry Point</w:t>
            </w:r>
          </w:p>
        </w:tc>
      </w:tr>
      <w:tr>
        <w:tc>
          <w:tcPr>
            <w:tcW w:type="dxa" w:w="2394"/>
            <w:tcBorders>
              <w:top w:val="single" w:sz="1"/>
              <w:left w:val="single" w:sz="1"/>
              <w:bottom w:val="single" w:sz="1"/>
              <w:right w:val="single" w:sz="1"/>
            </w:tcBorders>
            <w:vAlign w:val="top"/>
          </w:tcPr>
          <w:p>
            <w:r>
              <w:t xml:space="preserve">**Harvey AI**</w:t>
            </w:r>
          </w:p>
        </w:tc>
        <w:tc>
          <w:tcPr>
            <w:tcW w:type="dxa" w:w="2394"/>
            <w:tcBorders>
              <w:top w:val="single" w:sz="1"/>
              <w:left w:val="single" w:sz="1"/>
              <w:bottom w:val="single" w:sz="1"/>
              <w:right w:val="single" w:sz="1"/>
            </w:tcBorders>
            <w:vAlign w:val="top"/>
          </w:tcPr>
          <w:p>
            <w:r>
              <w:t xml:space="preserve">$11B valuation (Feb 2026); 700 clients; HSBC adopted March 2026</w:t>
            </w:r>
          </w:p>
        </w:tc>
        <w:tc>
          <w:tcPr>
            <w:tcW w:type="dxa" w:w="2394"/>
            <w:tcBorders>
              <w:top w:val="single" w:sz="1"/>
              <w:left w:val="single" w:sz="1"/>
              <w:bottom w:val="single" w:sz="1"/>
              <w:right w:val="single" w:sz="1"/>
            </w:tcBorders>
            <w:vAlign w:val="top"/>
          </w:tcPr>
          <w:p>
            <w:r>
              <w:t xml:space="preserve">Massive growth; customers need document verification across contracts</w:t>
            </w:r>
          </w:p>
        </w:tc>
        <w:tc>
          <w:tcPr>
            <w:tcW w:type="dxa" w:w="2394"/>
            <w:tcBorders>
              <w:top w:val="single" w:sz="1"/>
              <w:left w:val="single" w:sz="1"/>
              <w:bottom w:val="single" w:sz="1"/>
              <w:right w:val="single" w:sz="1"/>
            </w:tcBorders>
            <w:vAlign w:val="top"/>
          </w:tcPr>
          <w:p>
            <w:r>
              <w:t xml:space="preserve">VP Product/Enterprise Sales; verification API for Harvey-processed docs</w:t>
            </w:r>
          </w:p>
        </w:tc>
      </w:tr>
      <w:tr>
        <w:tc>
          <w:tcPr>
            <w:tcW w:type="dxa" w:w="2394"/>
            <w:tcBorders>
              <w:top w:val="single" w:sz="1"/>
              <w:left w:val="single" w:sz="1"/>
              <w:bottom w:val="single" w:sz="1"/>
              <w:right w:val="single" w:sz="1"/>
            </w:tcBorders>
            <w:vAlign w:val="top"/>
          </w:tcPr>
          <w:p>
            <w:r>
              <w:t xml:space="preserve">**Ironclad**</w:t>
            </w:r>
          </w:p>
        </w:tc>
        <w:tc>
          <w:tcPr>
            <w:tcW w:type="dxa" w:w="2394"/>
            <w:tcBorders>
              <w:top w:val="single" w:sz="1"/>
              <w:left w:val="single" w:sz="1"/>
              <w:bottom w:val="single" w:sz="1"/>
              <w:right w:val="single" w:sz="1"/>
            </w:tcBorders>
            <w:vAlign w:val="top"/>
          </w:tcPr>
          <w:p>
            <w:r>
              <w:t xml:space="preserve">$200M+ ARR; Gartner Leader CLM 2025; new CTO Sunita Verma</w:t>
            </w:r>
          </w:p>
        </w:tc>
        <w:tc>
          <w:tcPr>
            <w:tcW w:type="dxa" w:w="2394"/>
            <w:tcBorders>
              <w:top w:val="single" w:sz="1"/>
              <w:left w:val="single" w:sz="1"/>
              <w:bottom w:val="single" w:sz="1"/>
              <w:right w:val="single" w:sz="1"/>
            </w:tcBorders>
            <w:vAlign w:val="top"/>
          </w:tcPr>
          <w:p>
            <w:r>
              <w:t xml:space="preserve">Agentic AI agents for contracts; no timestamping capability</w:t>
            </w:r>
          </w:p>
        </w:tc>
        <w:tc>
          <w:tcPr>
            <w:tcW w:type="dxa" w:w="2394"/>
            <w:tcBorders>
              <w:top w:val="single" w:sz="1"/>
              <w:left w:val="single" w:sz="1"/>
              <w:bottom w:val="single" w:sz="1"/>
              <w:right w:val="single" w:sz="1"/>
            </w:tcBorders>
            <w:vAlign w:val="top"/>
          </w:tcPr>
          <w:p>
            <w:r>
              <w:t xml:space="preserve">CTO outreach; blockchain-timestamped contract authenticity</w:t>
            </w:r>
          </w:p>
        </w:tc>
      </w:tr>
      <w:tr>
        <w:tc>
          <w:tcPr>
            <w:tcW w:type="dxa" w:w="2394"/>
            <w:tcBorders>
              <w:top w:val="single" w:sz="1"/>
              <w:left w:val="single" w:sz="1"/>
              <w:bottom w:val="single" w:sz="1"/>
              <w:right w:val="single" w:sz="1"/>
            </w:tcBorders>
            <w:vAlign w:val="top"/>
          </w:tcPr>
          <w:p>
            <w:r>
              <w:t xml:space="preserve">**Shift Technology**</w:t>
            </w:r>
          </w:p>
        </w:tc>
        <w:tc>
          <w:tcPr>
            <w:tcW w:type="dxa" w:w="2394"/>
            <w:tcBorders>
              <w:top w:val="single" w:sz="1"/>
              <w:left w:val="single" w:sz="1"/>
              <w:bottom w:val="single" w:sz="1"/>
              <w:right w:val="single" w:sz="1"/>
            </w:tcBorders>
            <w:vAlign w:val="top"/>
          </w:tcPr>
          <w:p>
            <w:r>
              <w:t xml:space="preserve">$1B+ valuation; acquired by Predictiv AI; renewed AXA for 5 years (March 2026)</w:t>
            </w:r>
          </w:p>
        </w:tc>
        <w:tc>
          <w:tcPr>
            <w:tcW w:type="dxa" w:w="2394"/>
            <w:tcBorders>
              <w:top w:val="single" w:sz="1"/>
              <w:left w:val="single" w:sz="1"/>
              <w:bottom w:val="single" w:sz="1"/>
              <w:right w:val="single" w:sz="1"/>
            </w:tcBorders>
            <w:vAlign w:val="top"/>
          </w:tcPr>
          <w:p>
            <w:r>
              <w:t xml:space="preserve">Insurance claims need immutable proof of when documents were verified</w:t>
            </w:r>
          </w:p>
        </w:tc>
        <w:tc>
          <w:tcPr>
            <w:tcW w:type="dxa" w:w="2394"/>
            <w:tcBorders>
              <w:top w:val="single" w:sz="1"/>
              <w:left w:val="single" w:sz="1"/>
              <w:bottom w:val="single" w:sz="1"/>
              <w:right w:val="single" w:sz="1"/>
            </w:tcBorders>
            <w:vAlign w:val="top"/>
          </w:tcPr>
          <w:p>
            <w:r>
              <w:t xml:space="preserve">VP Product; timestamp verification for claim disputes</w:t>
            </w:r>
          </w:p>
        </w:tc>
      </w:tr>
      <w:tr>
        <w:tc>
          <w:tcPr>
            <w:tcW w:type="dxa" w:w="2394"/>
            <w:tcBorders>
              <w:top w:val="single" w:sz="1"/>
              <w:left w:val="single" w:sz="1"/>
              <w:bottom w:val="single" w:sz="1"/>
              <w:right w:val="single" w:sz="1"/>
            </w:tcBorders>
            <w:vAlign w:val="top"/>
          </w:tcPr>
          <w:p>
            <w:r>
              <w:t xml:space="preserve">**EY Audit**</w:t>
            </w:r>
          </w:p>
        </w:tc>
        <w:tc>
          <w:tcPr>
            <w:tcW w:type="dxa" w:w="2394"/>
            <w:tcBorders>
              <w:top w:val="single" w:sz="1"/>
              <w:left w:val="single" w:sz="1"/>
              <w:bottom w:val="single" w:sz="1"/>
              <w:right w:val="single" w:sz="1"/>
            </w:tcBorders>
            <w:vAlign w:val="top"/>
          </w:tcPr>
          <w:p>
            <w:r>
              <w:t xml:space="preserve">Already using blockchain-based audit confirmation</w:t>
            </w:r>
          </w:p>
        </w:tc>
        <w:tc>
          <w:tcPr>
            <w:tcW w:type="dxa" w:w="2394"/>
            <w:tcBorders>
              <w:top w:val="single" w:sz="1"/>
              <w:left w:val="single" w:sz="1"/>
              <w:bottom w:val="single" w:sz="1"/>
              <w:right w:val="single" w:sz="1"/>
            </w:tcBorders>
            <w:vAlign w:val="top"/>
          </w:tcPr>
          <w:p>
            <w:r>
              <w:t xml:space="preserve">Tech-forward Big 4; open to integration</w:t>
            </w:r>
          </w:p>
        </w:tc>
        <w:tc>
          <w:tcPr>
            <w:tcW w:type="dxa" w:w="2394"/>
            <w:tcBorders>
              <w:top w:val="single" w:sz="1"/>
              <w:left w:val="single" w:sz="1"/>
              <w:bottom w:val="single" w:sz="1"/>
              <w:right w:val="single" w:sz="1"/>
            </w:tcBorders>
            <w:vAlign w:val="top"/>
          </w:tcPr>
          <w:p>
            <w:r>
              <w:t xml:space="preserve">Blockchain team lead; immutable audit trail integration</w:t>
            </w:r>
          </w:p>
        </w:tc>
      </w:tr>
    </w:tbl>
    <w:p>
      <w:pPr>
        <w:pStyle w:val="Heading3"/>
        <w:spacing w:after="120" w:before="240"/>
        <w:outlineLvl w:val="2"/>
      </w:pPr>
      <w:r>
        <w:t xml:space="preserve">Financial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tLeast"/>
        </w:trPr>
        <w:tc>
          <w:tcPr>
            <w:tcW w:type="dxa" w:w="2394"/>
            <w:tcBorders>
              <w:top w:val="single" w:sz="1"/>
              <w:left w:val="single" w:sz="1"/>
              <w:bottom w:val="single" w:sz="1"/>
              <w:right w:val="single" w:sz="1"/>
            </w:tcBorders>
            <w:shd w:fill="D3D3D3" w:val="clear"/>
            <w:vAlign w:val="center"/>
          </w:tcPr>
          <w:p>
            <w:r>
              <w:t xml:space="preserve">Lead</w:t>
            </w:r>
          </w:p>
        </w:tc>
        <w:tc>
          <w:tcPr>
            <w:tcW w:type="dxa" w:w="2394"/>
            <w:tcBorders>
              <w:top w:val="single" w:sz="1"/>
              <w:left w:val="single" w:sz="1"/>
              <w:bottom w:val="single" w:sz="1"/>
              <w:right w:val="single" w:sz="1"/>
            </w:tcBorders>
            <w:shd w:fill="D3D3D3" w:val="clear"/>
            <w:vAlign w:val="center"/>
          </w:tcPr>
          <w:p>
            <w:r>
              <w:t xml:space="preserve">Signal</w:t>
            </w:r>
          </w:p>
        </w:tc>
        <w:tc>
          <w:tcPr>
            <w:tcW w:type="dxa" w:w="2394"/>
            <w:tcBorders>
              <w:top w:val="single" w:sz="1"/>
              <w:left w:val="single" w:sz="1"/>
              <w:bottom w:val="single" w:sz="1"/>
              <w:right w:val="single" w:sz="1"/>
            </w:tcBorders>
            <w:shd w:fill="D3D3D3" w:val="clear"/>
            <w:vAlign w:val="center"/>
          </w:tcPr>
          <w:p>
            <w:r>
              <w:t xml:space="preserve">Why Now</w:t>
            </w:r>
          </w:p>
        </w:tc>
        <w:tc>
          <w:tcPr>
            <w:tcW w:type="dxa" w:w="2394"/>
            <w:tcBorders>
              <w:top w:val="single" w:sz="1"/>
              <w:left w:val="single" w:sz="1"/>
              <w:bottom w:val="single" w:sz="1"/>
              <w:right w:val="single" w:sz="1"/>
            </w:tcBorders>
            <w:shd w:fill="D3D3D3" w:val="clear"/>
            <w:vAlign w:val="center"/>
          </w:tcPr>
          <w:p>
            <w:r>
              <w:t xml:space="preserve">Entry Point</w:t>
            </w:r>
          </w:p>
        </w:tc>
      </w:tr>
      <w:tr>
        <w:tc>
          <w:tcPr>
            <w:tcW w:type="dxa" w:w="2394"/>
            <w:tcBorders>
              <w:top w:val="single" w:sz="1"/>
              <w:left w:val="single" w:sz="1"/>
              <w:bottom w:val="single" w:sz="1"/>
              <w:right w:val="single" w:sz="1"/>
            </w:tcBorders>
            <w:vAlign w:val="top"/>
          </w:tcPr>
          <w:p>
            <w:r>
              <w:t xml:space="preserve">**SymphonyAI**</w:t>
            </w:r>
          </w:p>
        </w:tc>
        <w:tc>
          <w:tcPr>
            <w:tcW w:type="dxa" w:w="2394"/>
            <w:tcBorders>
              <w:top w:val="single" w:sz="1"/>
              <w:left w:val="single" w:sz="1"/>
              <w:bottom w:val="single" w:sz="1"/>
              <w:right w:val="single" w:sz="1"/>
            </w:tcBorders>
            <w:vAlign w:val="top"/>
          </w:tcPr>
          <w:p>
            <w:r>
              <w:t xml:space="preserve">Forrester Wave Leader Q2 2025 for AML; real-time AI transaction monitoring</w:t>
            </w:r>
          </w:p>
        </w:tc>
        <w:tc>
          <w:tcPr>
            <w:tcW w:type="dxa" w:w="2394"/>
            <w:tcBorders>
              <w:top w:val="single" w:sz="1"/>
              <w:left w:val="single" w:sz="1"/>
              <w:bottom w:val="single" w:sz="1"/>
              <w:right w:val="single" w:sz="1"/>
            </w:tcBorders>
            <w:vAlign w:val="top"/>
          </w:tcPr>
          <w:p>
            <w:r>
              <w:t xml:space="preserve">Market leader; API-first mentality</w:t>
            </w:r>
          </w:p>
        </w:tc>
        <w:tc>
          <w:tcPr>
            <w:tcW w:type="dxa" w:w="2394"/>
            <w:tcBorders>
              <w:top w:val="single" w:sz="1"/>
              <w:left w:val="single" w:sz="1"/>
              <w:bottom w:val="single" w:sz="1"/>
              <w:right w:val="single" w:sz="1"/>
            </w:tcBorders>
            <w:vAlign w:val="top"/>
          </w:tcPr>
          <w:p>
            <w:r>
              <w:t xml:space="preserve">VP Product; timestamp proof for AML-verified KYC docs</w:t>
            </w:r>
          </w:p>
        </w:tc>
      </w:tr>
      <w:tr>
        <w:tc>
          <w:tcPr>
            <w:tcW w:type="dxa" w:w="2394"/>
            <w:tcBorders>
              <w:top w:val="single" w:sz="1"/>
              <w:left w:val="single" w:sz="1"/>
              <w:bottom w:val="single" w:sz="1"/>
              <w:right w:val="single" w:sz="1"/>
            </w:tcBorders>
            <w:vAlign w:val="top"/>
          </w:tcPr>
          <w:p>
            <w:r>
              <w:t xml:space="preserve">**Fintech KYC API providers (Microblink, Trulioo)**</w:t>
            </w:r>
          </w:p>
        </w:tc>
        <w:tc>
          <w:tcPr>
            <w:tcW w:type="dxa" w:w="2394"/>
            <w:tcBorders>
              <w:top w:val="single" w:sz="1"/>
              <w:left w:val="single" w:sz="1"/>
              <w:bottom w:val="single" w:sz="1"/>
              <w:right w:val="single" w:sz="1"/>
            </w:tcBorders>
            <w:vAlign w:val="top"/>
          </w:tcPr>
          <w:p>
            <w:r>
              <w:t xml:space="preserve">90% reduction in onboarding time reported</w:t>
            </w:r>
          </w:p>
        </w:tc>
        <w:tc>
          <w:tcPr>
            <w:tcW w:type="dxa" w:w="2394"/>
            <w:tcBorders>
              <w:top w:val="single" w:sz="1"/>
              <w:left w:val="single" w:sz="1"/>
              <w:bottom w:val="single" w:sz="1"/>
              <w:right w:val="single" w:sz="1"/>
            </w:tcBorders>
            <w:vAlign w:val="top"/>
          </w:tcPr>
          <w:p>
            <w:r>
              <w:t xml:space="preserve">Need "verification of the verification" for regulators</w:t>
            </w:r>
          </w:p>
        </w:tc>
        <w:tc>
          <w:tcPr>
            <w:tcW w:type="dxa" w:w="2394"/>
            <w:tcBorders>
              <w:top w:val="single" w:sz="1"/>
              <w:left w:val="single" w:sz="1"/>
              <w:bottom w:val="single" w:sz="1"/>
              <w:right w:val="single" w:sz="1"/>
            </w:tcBorders>
            <w:vAlign w:val="top"/>
          </w:tcPr>
          <w:p>
            <w:r>
              <w:t xml:space="preserve">Position as immutable audit trail for KYC API calls</w:t>
            </w:r>
          </w:p>
        </w:tc>
      </w:tr>
      <w:tr>
        <w:tc>
          <w:tcPr>
            <w:tcW w:type="dxa" w:w="2394"/>
            <w:tcBorders>
              <w:top w:val="single" w:sz="1"/>
              <w:left w:val="single" w:sz="1"/>
              <w:bottom w:val="single" w:sz="1"/>
              <w:right w:val="single" w:sz="1"/>
            </w:tcBorders>
            <w:vAlign w:val="top"/>
          </w:tcPr>
          <w:p>
            <w:r>
              <w:t xml:space="preserve">**SEC filing consultants / Big 4**</w:t>
            </w:r>
          </w:p>
        </w:tc>
        <w:tc>
          <w:tcPr>
            <w:tcW w:type="dxa" w:w="2394"/>
            <w:tcBorders>
              <w:top w:val="single" w:sz="1"/>
              <w:left w:val="single" w:sz="1"/>
              <w:bottom w:val="single" w:sz="1"/>
              <w:right w:val="single" w:sz="1"/>
            </w:tcBorders>
            <w:vAlign w:val="top"/>
          </w:tcPr>
          <w:p>
            <w:r>
              <w:t xml:space="preserve">SEC Supplemental Technical Framework (Dec 2025) mandates timestamps + non-repudiation</w:t>
            </w:r>
          </w:p>
        </w:tc>
        <w:tc>
          <w:tcPr>
            <w:tcW w:type="dxa" w:w="2394"/>
            <w:tcBorders>
              <w:top w:val="single" w:sz="1"/>
              <w:left w:val="single" w:sz="1"/>
              <w:bottom w:val="single" w:sz="1"/>
              <w:right w:val="single" w:sz="1"/>
            </w:tcBorders>
            <w:vAlign w:val="top"/>
          </w:tcPr>
          <w:p>
            <w:r>
              <w:t xml:space="preserve">New compliance requirement = new budget</w:t>
            </w:r>
          </w:p>
        </w:tc>
        <w:tc>
          <w:tcPr>
            <w:tcW w:type="dxa" w:w="2394"/>
            <w:tcBorders>
              <w:top w:val="single" w:sz="1"/>
              <w:left w:val="single" w:sz="1"/>
              <w:bottom w:val="single" w:sz="1"/>
              <w:right w:val="single" w:sz="1"/>
            </w:tcBorders>
            <w:vAlign w:val="top"/>
          </w:tcPr>
          <w:p>
            <w:r>
              <w:t xml:space="preserve">Target publicly traded company controllers</w:t>
            </w:r>
          </w:p>
        </w:tc>
      </w:tr>
    </w:tbl>
    <w:p>
      <w:pPr>
        <w:pStyle w:val="Heading2"/>
        <w:spacing w:after="120" w:before="240"/>
        <w:outlineLvl w:val="1"/>
      </w:pPr>
      <w:r>
        <w:t xml:space="preserve">2. Market Indicators — Trends Validating Arkova's Timing</w:t>
      </w:r>
    </w:p>
    <w:p>
      <w:pPr>
        <w:pStyle w:val="Heading3"/>
        <w:spacing w:after="120" w:before="240"/>
        <w:outlineLvl w:val="2"/>
      </w:pPr>
      <w:r>
        <w:t xml:space="preserve">Market Sizing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tLeast"/>
        </w:trPr>
        <w:tc>
          <w:tcPr>
            <w:tcW w:type="dxa" w:w="2394"/>
            <w:tcBorders>
              <w:top w:val="single" w:sz="1"/>
              <w:left w:val="single" w:sz="1"/>
              <w:bottom w:val="single" w:sz="1"/>
              <w:right w:val="single" w:sz="1"/>
            </w:tcBorders>
            <w:shd w:fill="D3D3D3" w:val="clear"/>
            <w:vAlign w:val="center"/>
          </w:tcPr>
          <w:p>
            <w:r>
              <w:t xml:space="preserve">Market</w:t>
            </w:r>
          </w:p>
        </w:tc>
        <w:tc>
          <w:tcPr>
            <w:tcW w:type="dxa" w:w="2394"/>
            <w:tcBorders>
              <w:top w:val="single" w:sz="1"/>
              <w:left w:val="single" w:sz="1"/>
              <w:bottom w:val="single" w:sz="1"/>
              <w:right w:val="single" w:sz="1"/>
            </w:tcBorders>
            <w:shd w:fill="D3D3D3" w:val="clear"/>
            <w:vAlign w:val="center"/>
          </w:tcPr>
          <w:p>
            <w:r>
              <w:t xml:space="preserve">2025</w:t>
            </w:r>
          </w:p>
        </w:tc>
        <w:tc>
          <w:tcPr>
            <w:tcW w:type="dxa" w:w="2394"/>
            <w:tcBorders>
              <w:top w:val="single" w:sz="1"/>
              <w:left w:val="single" w:sz="1"/>
              <w:bottom w:val="single" w:sz="1"/>
              <w:right w:val="single" w:sz="1"/>
            </w:tcBorders>
            <w:shd w:fill="D3D3D3" w:val="clear"/>
            <w:vAlign w:val="center"/>
          </w:tcPr>
          <w:p>
            <w:r>
              <w:t xml:space="preserve">Projected</w:t>
            </w:r>
          </w:p>
        </w:tc>
        <w:tc>
          <w:tcPr>
            <w:tcW w:type="dxa" w:w="2394"/>
            <w:tcBorders>
              <w:top w:val="single" w:sz="1"/>
              <w:left w:val="single" w:sz="1"/>
              <w:bottom w:val="single" w:sz="1"/>
              <w:right w:val="single" w:sz="1"/>
            </w:tcBorders>
            <w:shd w:fill="D3D3D3" w:val="clear"/>
            <w:vAlign w:val="center"/>
          </w:tcPr>
          <w:p>
            <w:r>
              <w:t xml:space="preserve">CAGR</w:t>
            </w:r>
          </w:p>
        </w:tc>
      </w:tr>
      <w:tr>
        <w:tc>
          <w:tcPr>
            <w:tcW w:type="dxa" w:w="2394"/>
            <w:tcBorders>
              <w:top w:val="single" w:sz="1"/>
              <w:left w:val="single" w:sz="1"/>
              <w:bottom w:val="single" w:sz="1"/>
              <w:right w:val="single" w:sz="1"/>
            </w:tcBorders>
            <w:vAlign w:val="top"/>
          </w:tcPr>
          <w:p>
            <w:r>
              <w:t xml:space="preserve">Global RegTech</w:t>
            </w:r>
          </w:p>
        </w:tc>
        <w:tc>
          <w:tcPr>
            <w:tcW w:type="dxa" w:w="2394"/>
            <w:tcBorders>
              <w:top w:val="single" w:sz="1"/>
              <w:left w:val="single" w:sz="1"/>
              <w:bottom w:val="single" w:sz="1"/>
              <w:right w:val="single" w:sz="1"/>
            </w:tcBorders>
            <w:vAlign w:val="top"/>
          </w:tcPr>
          <w:p>
            <w:r>
              <w:t xml:space="preserve">$18.6B-$24.3B</w:t>
            </w:r>
          </w:p>
        </w:tc>
        <w:tc>
          <w:tcPr>
            <w:tcW w:type="dxa" w:w="2394"/>
            <w:tcBorders>
              <w:top w:val="single" w:sz="1"/>
              <w:left w:val="single" w:sz="1"/>
              <w:bottom w:val="single" w:sz="1"/>
              <w:right w:val="single" w:sz="1"/>
            </w:tcBorders>
            <w:vAlign w:val="top"/>
          </w:tcPr>
          <w:p>
            <w:r>
              <w:t xml:space="preserve">$100B+ by 2034</w:t>
            </w:r>
          </w:p>
        </w:tc>
        <w:tc>
          <w:tcPr>
            <w:tcW w:type="dxa" w:w="2394"/>
            <w:tcBorders>
              <w:top w:val="single" w:sz="1"/>
              <w:left w:val="single" w:sz="1"/>
              <w:bottom w:val="single" w:sz="1"/>
              <w:right w:val="single" w:sz="1"/>
            </w:tcBorders>
            <w:vAlign w:val="top"/>
          </w:tcPr>
          <w:p>
            <w:r>
              <w:t xml:space="preserve">17-21%</w:t>
            </w:r>
          </w:p>
        </w:tc>
      </w:tr>
      <w:tr>
        <w:tc>
          <w:tcPr>
            <w:tcW w:type="dxa" w:w="2394"/>
            <w:tcBorders>
              <w:top w:val="single" w:sz="1"/>
              <w:left w:val="single" w:sz="1"/>
              <w:bottom w:val="single" w:sz="1"/>
              <w:right w:val="single" w:sz="1"/>
            </w:tcBorders>
            <w:vAlign w:val="top"/>
          </w:tcPr>
          <w:p>
            <w:r>
              <w:t xml:space="preserve">Digital Credential (Higher Ed)</w:t>
            </w:r>
          </w:p>
        </w:tc>
        <w:tc>
          <w:tcPr>
            <w:tcW w:type="dxa" w:w="2394"/>
            <w:tcBorders>
              <w:top w:val="single" w:sz="1"/>
              <w:left w:val="single" w:sz="1"/>
              <w:bottom w:val="single" w:sz="1"/>
              <w:right w:val="single" w:sz="1"/>
            </w:tcBorders>
            <w:vAlign w:val="top"/>
          </w:tcPr>
          <w:p>
            <w:r>
              <w:t xml:space="preserve">$1.7B (2024)</w:t>
            </w:r>
          </w:p>
        </w:tc>
        <w:tc>
          <w:tcPr>
            <w:tcW w:type="dxa" w:w="2394"/>
            <w:tcBorders>
              <w:top w:val="single" w:sz="1"/>
              <w:left w:val="single" w:sz="1"/>
              <w:bottom w:val="single" w:sz="1"/>
              <w:right w:val="single" w:sz="1"/>
            </w:tcBorders>
            <w:vAlign w:val="top"/>
          </w:tcPr>
          <w:p>
            <w:r>
              <w:t xml:space="preserve">$7.8B by 2033</w:t>
            </w:r>
          </w:p>
        </w:tc>
        <w:tc>
          <w:tcPr>
            <w:tcW w:type="dxa" w:w="2394"/>
            <w:tcBorders>
              <w:top w:val="single" w:sz="1"/>
              <w:left w:val="single" w:sz="1"/>
              <w:bottom w:val="single" w:sz="1"/>
              <w:right w:val="single" w:sz="1"/>
            </w:tcBorders>
            <w:vAlign w:val="top"/>
          </w:tcPr>
          <w:p>
            <w:r>
              <w:t xml:space="preserve">18.2%</w:t>
            </w:r>
          </w:p>
        </w:tc>
      </w:tr>
      <w:tr>
        <w:tc>
          <w:tcPr>
            <w:tcW w:type="dxa" w:w="2394"/>
            <w:tcBorders>
              <w:top w:val="single" w:sz="1"/>
              <w:left w:val="single" w:sz="1"/>
              <w:bottom w:val="single" w:sz="1"/>
              <w:right w:val="single" w:sz="1"/>
            </w:tcBorders>
            <w:vAlign w:val="top"/>
          </w:tcPr>
          <w:p>
            <w:r>
              <w:t xml:space="preserve">AML Software</w:t>
            </w:r>
          </w:p>
        </w:tc>
        <w:tc>
          <w:tcPr>
            <w:tcW w:type="dxa" w:w="2394"/>
            <w:tcBorders>
              <w:top w:val="single" w:sz="1"/>
              <w:left w:val="single" w:sz="1"/>
              <w:bottom w:val="single" w:sz="1"/>
              <w:right w:val="single" w:sz="1"/>
            </w:tcBorders>
            <w:vAlign w:val="top"/>
          </w:tcPr>
          <w:p>
            <w:r>
              <w:t xml:space="preserve">$4.13B</w:t>
            </w:r>
          </w:p>
        </w:tc>
        <w:tc>
          <w:tcPr>
            <w:tcW w:type="dxa" w:w="2394"/>
            <w:tcBorders>
              <w:top w:val="single" w:sz="1"/>
              <w:left w:val="single" w:sz="1"/>
              <w:bottom w:val="single" w:sz="1"/>
              <w:right w:val="single" w:sz="1"/>
            </w:tcBorders>
            <w:vAlign w:val="top"/>
          </w:tcPr>
          <w:p>
            <w:r>
              <w:t xml:space="preserve">$9.38B by 2030</w:t>
            </w:r>
          </w:p>
        </w:tc>
        <w:tc>
          <w:tcPr>
            <w:tcW w:type="dxa" w:w="2394"/>
            <w:tcBorders>
              <w:top w:val="single" w:sz="1"/>
              <w:left w:val="single" w:sz="1"/>
              <w:bottom w:val="single" w:sz="1"/>
              <w:right w:val="single" w:sz="1"/>
            </w:tcBorders>
            <w:vAlign w:val="top"/>
          </w:tcPr>
          <w:p>
            <w:r>
              <w:t xml:space="preserve">17.8%</w:t>
            </w:r>
          </w:p>
        </w:tc>
      </w:tr>
      <w:tr>
        <w:tc>
          <w:tcPr>
            <w:tcW w:type="dxa" w:w="2394"/>
            <w:tcBorders>
              <w:top w:val="single" w:sz="1"/>
              <w:left w:val="single" w:sz="1"/>
              <w:bottom w:val="single" w:sz="1"/>
              <w:right w:val="single" w:sz="1"/>
            </w:tcBorders>
            <w:vAlign w:val="top"/>
          </w:tcPr>
          <w:p>
            <w:r>
              <w:t xml:space="preserve">KYC Verification</w:t>
            </w:r>
          </w:p>
        </w:tc>
        <w:tc>
          <w:tcPr>
            <w:tcW w:type="dxa" w:w="2394"/>
            <w:tcBorders>
              <w:top w:val="single" w:sz="1"/>
              <w:left w:val="single" w:sz="1"/>
              <w:bottom w:val="single" w:sz="1"/>
              <w:right w:val="single" w:sz="1"/>
            </w:tcBorders>
            <w:vAlign w:val="top"/>
          </w:tcPr>
          <w:p>
            <w:r>
              <w:t xml:space="preserve">$6.73B</w:t>
            </w:r>
          </w:p>
        </w:tc>
        <w:tc>
          <w:tcPr>
            <w:tcW w:type="dxa" w:w="2394"/>
            <w:tcBorders>
              <w:top w:val="single" w:sz="1"/>
              <w:left w:val="single" w:sz="1"/>
              <w:bottom w:val="single" w:sz="1"/>
              <w:right w:val="single" w:sz="1"/>
            </w:tcBorders>
            <w:vAlign w:val="top"/>
          </w:tcPr>
          <w:p>
            <w:r>
              <w:t xml:space="preserve">$16.31B by 2031</w:t>
            </w:r>
          </w:p>
        </w:tc>
        <w:tc>
          <w:tcPr>
            <w:tcW w:type="dxa" w:w="2394"/>
            <w:tcBorders>
              <w:top w:val="single" w:sz="1"/>
              <w:left w:val="single" w:sz="1"/>
              <w:bottom w:val="single" w:sz="1"/>
              <w:right w:val="single" w:sz="1"/>
            </w:tcBorders>
            <w:vAlign w:val="top"/>
          </w:tcPr>
          <w:p>
            <w:r>
              <w:t xml:space="preserve">15.88%</w:t>
            </w:r>
          </w:p>
        </w:tc>
      </w:tr>
      <w:tr>
        <w:tc>
          <w:tcPr>
            <w:tcW w:type="dxa" w:w="2394"/>
            <w:tcBorders>
              <w:top w:val="single" w:sz="1"/>
              <w:left w:val="single" w:sz="1"/>
              <w:bottom w:val="single" w:sz="1"/>
              <w:right w:val="single" w:sz="1"/>
            </w:tcBorders>
            <w:vAlign w:val="top"/>
          </w:tcPr>
          <w:p>
            <w:r>
              <w:t xml:space="preserve">Legal Tech</w:t>
            </w:r>
          </w:p>
        </w:tc>
        <w:tc>
          <w:tcPr>
            <w:tcW w:type="dxa" w:w="2394"/>
            <w:tcBorders>
              <w:top w:val="single" w:sz="1"/>
              <w:left w:val="single" w:sz="1"/>
              <w:bottom w:val="single" w:sz="1"/>
              <w:right w:val="single" w:sz="1"/>
            </w:tcBorders>
            <w:vAlign w:val="top"/>
          </w:tcPr>
          <w:p>
            <w:r>
              <w:t xml:space="preserve">$33-37B (2026)</w:t>
            </w:r>
          </w:p>
        </w:tc>
        <w:tc>
          <w:tcPr>
            <w:tcW w:type="dxa" w:w="2394"/>
            <w:tcBorders>
              <w:top w:val="single" w:sz="1"/>
              <w:left w:val="single" w:sz="1"/>
              <w:bottom w:val="single" w:sz="1"/>
              <w:right w:val="single" w:sz="1"/>
            </w:tcBorders>
            <w:vAlign w:val="top"/>
          </w:tcPr>
          <w:p>
            <w:r>
              <w:t xml:space="preserve">Growing</w:t>
            </w:r>
          </w:p>
        </w:tc>
        <w:tc>
          <w:tcPr>
            <w:tcW w:type="dxa" w:w="2394"/>
            <w:tcBorders>
              <w:top w:val="single" w:sz="1"/>
              <w:left w:val="single" w:sz="1"/>
              <w:bottom w:val="single" w:sz="1"/>
              <w:right w:val="single" w:sz="1"/>
            </w:tcBorders>
            <w:vAlign w:val="top"/>
          </w:tcPr>
          <w:p>
            <w:r>
              <w:t xml:space="preserve">9-9.4%</w:t>
            </w:r>
          </w:p>
        </w:tc>
      </w:tr>
      <w:tr>
        <w:tc>
          <w:tcPr>
            <w:tcW w:type="dxa" w:w="2394"/>
            <w:tcBorders>
              <w:top w:val="single" w:sz="1"/>
              <w:left w:val="single" w:sz="1"/>
              <w:bottom w:val="single" w:sz="1"/>
              <w:right w:val="single" w:sz="1"/>
            </w:tcBorders>
            <w:vAlign w:val="top"/>
          </w:tcPr>
          <w:p>
            <w:r>
              <w:t xml:space="preserve">Cross-Border Compliance Automation</w:t>
            </w:r>
          </w:p>
        </w:tc>
        <w:tc>
          <w:tcPr>
            <w:tcW w:type="dxa" w:w="2394"/>
            <w:tcBorders>
              <w:top w:val="single" w:sz="1"/>
              <w:left w:val="single" w:sz="1"/>
              <w:bottom w:val="single" w:sz="1"/>
              <w:right w:val="single" w:sz="1"/>
            </w:tcBorders>
            <w:vAlign w:val="top"/>
          </w:tcPr>
          <w:p>
            <w:r>
              <w:t xml:space="preserve">—</w:t>
            </w:r>
          </w:p>
        </w:tc>
        <w:tc>
          <w:tcPr>
            <w:tcW w:type="dxa" w:w="2394"/>
            <w:tcBorders>
              <w:top w:val="single" w:sz="1"/>
              <w:left w:val="single" w:sz="1"/>
              <w:bottom w:val="single" w:sz="1"/>
              <w:right w:val="single" w:sz="1"/>
            </w:tcBorders>
            <w:vAlign w:val="top"/>
          </w:tcPr>
          <w:p>
            <w:r>
              <w:t xml:space="preserve">+$1.75B by 2030</w:t>
            </w:r>
          </w:p>
        </w:tc>
        <w:tc>
          <w:tcPr>
            <w:tcW w:type="dxa" w:w="2394"/>
            <w:tcBorders>
              <w:top w:val="single" w:sz="1"/>
              <w:left w:val="single" w:sz="1"/>
              <w:bottom w:val="single" w:sz="1"/>
              <w:right w:val="single" w:sz="1"/>
            </w:tcBorders>
            <w:vAlign w:val="top"/>
          </w:tcPr>
          <w:p>
            <w:r>
              <w:t xml:space="preserve">12.8%</w:t>
            </w:r>
          </w:p>
        </w:tc>
      </w:tr>
      <w:tr>
        <w:tc>
          <w:tcPr>
            <w:tcW w:type="dxa" w:w="2394"/>
            <w:tcBorders>
              <w:top w:val="single" w:sz="1"/>
              <w:left w:val="single" w:sz="1"/>
              <w:bottom w:val="single" w:sz="1"/>
              <w:right w:val="single" w:sz="1"/>
            </w:tcBorders>
            <w:vAlign w:val="top"/>
          </w:tcPr>
          <w:p>
            <w:r>
              <w:t xml:space="preserve">India Digital Credential Software</w:t>
            </w:r>
          </w:p>
        </w:tc>
        <w:tc>
          <w:tcPr>
            <w:tcW w:type="dxa" w:w="2394"/>
            <w:tcBorders>
              <w:top w:val="single" w:sz="1"/>
              <w:left w:val="single" w:sz="1"/>
              <w:bottom w:val="single" w:sz="1"/>
              <w:right w:val="single" w:sz="1"/>
            </w:tcBorders>
            <w:vAlign w:val="top"/>
          </w:tcPr>
          <w:p>
            <w:r>
              <w:t xml:space="preserve">$152.88M (2024)</w:t>
            </w:r>
          </w:p>
        </w:tc>
        <w:tc>
          <w:tcPr>
            <w:tcW w:type="dxa" w:w="2394"/>
            <w:tcBorders>
              <w:top w:val="single" w:sz="1"/>
              <w:left w:val="single" w:sz="1"/>
              <w:bottom w:val="single" w:sz="1"/>
              <w:right w:val="single" w:sz="1"/>
            </w:tcBorders>
            <w:vAlign w:val="top"/>
          </w:tcPr>
          <w:p>
            <w:r>
              <w:t xml:space="preserve">$941.88M by 2035</w:t>
            </w:r>
          </w:p>
        </w:tc>
        <w:tc>
          <w:tcPr>
            <w:tcW w:type="dxa" w:w="2394"/>
            <w:tcBorders>
              <w:top w:val="single" w:sz="1"/>
              <w:left w:val="single" w:sz="1"/>
              <w:bottom w:val="single" w:sz="1"/>
              <w:right w:val="single" w:sz="1"/>
            </w:tcBorders>
            <w:vAlign w:val="top"/>
          </w:tcPr>
          <w:p>
            <w:r>
              <w:t xml:space="preserve">—</w:t>
            </w:r>
          </w:p>
        </w:tc>
      </w:tr>
      <w:tr>
        <w:tc>
          <w:tcPr>
            <w:tcW w:type="dxa" w:w="2394"/>
            <w:tcBorders>
              <w:top w:val="single" w:sz="1"/>
              <w:left w:val="single" w:sz="1"/>
              <w:bottom w:val="single" w:sz="1"/>
              <w:right w:val="single" w:sz="1"/>
            </w:tcBorders>
            <w:vAlign w:val="top"/>
          </w:tcPr>
          <w:p>
            <w:r>
              <w:t xml:space="preserve">US State Credential Initiatives</w:t>
            </w:r>
          </w:p>
        </w:tc>
        <w:tc>
          <w:tcPr>
            <w:tcW w:type="dxa" w:w="2394"/>
            <w:tcBorders>
              <w:top w:val="single" w:sz="1"/>
              <w:left w:val="single" w:sz="1"/>
              <w:bottom w:val="single" w:sz="1"/>
              <w:right w:val="single" w:sz="1"/>
            </w:tcBorders>
            <w:vAlign w:val="top"/>
          </w:tcPr>
          <w:p>
            <w:r>
              <w:t xml:space="preserve">$8.1B across 34 states</w:t>
            </w:r>
          </w:p>
        </w:tc>
        <w:tc>
          <w:tcPr>
            <w:tcW w:type="dxa" w:w="2394"/>
            <w:tcBorders>
              <w:top w:val="single" w:sz="1"/>
              <w:left w:val="single" w:sz="1"/>
              <w:bottom w:val="single" w:sz="1"/>
              <w:right w:val="single" w:sz="1"/>
            </w:tcBorders>
            <w:vAlign w:val="top"/>
          </w:tcPr>
          <w:p>
            <w:r>
              <w:t xml:space="preserve">111 active programs</w:t>
            </w:r>
          </w:p>
        </w:tc>
        <w:tc>
          <w:tcPr>
            <w:tcW w:type="dxa" w:w="2394"/>
            <w:tcBorders>
              <w:top w:val="single" w:sz="1"/>
              <w:left w:val="single" w:sz="1"/>
              <w:bottom w:val="single" w:sz="1"/>
              <w:right w:val="single" w:sz="1"/>
            </w:tcBorders>
            <w:vAlign w:val="top"/>
          </w:tcPr>
          <w:p>
            <w:r>
              <w:t xml:space="preserve">—</w:t>
            </w:r>
          </w:p>
        </w:tc>
      </w:tr>
    </w:tbl>
    <w:p>
      <w:pPr>
        <w:pStyle w:val="Heading3"/>
        <w:spacing w:after="120" w:before="240"/>
        <w:outlineLvl w:val="2"/>
      </w:pPr>
      <w:r>
        <w:t xml:space="preserve">Demand Signals</w:t>
      </w:r>
    </w:p>
    <w:p>
      <w:pPr>
        <w:pStyle w:val="ListParagraph"/>
        <w:numPr>
          <w:ilvl w:val="0"/>
          <w:numId w:val="1"/>
        </w:numPr>
        <w:spacing w:after="100"/>
      </w:pPr>
      <w:r>
        <w:t xml:space="preserve">**77% of compliance teams** still use manual processes (SecureFrame 2026)</w:t>
      </w:r>
    </w:p>
    <w:p>
      <w:pPr>
        <w:pStyle w:val="ListParagraph"/>
        <w:numPr>
          <w:ilvl w:val="0"/>
          <w:numId w:val="1"/>
        </w:numPr>
        <w:spacing w:after="100"/>
      </w:pPr>
      <w:r>
        <w:t xml:space="preserve">**80% of organizations** plan AI compliance investment by 2026</w:t>
      </w:r>
    </w:p>
    <w:p>
      <w:pPr>
        <w:pStyle w:val="ListParagraph"/>
        <w:numPr>
          <w:ilvl w:val="0"/>
          <w:numId w:val="1"/>
        </w:numPr>
        <w:spacing w:after="100"/>
      </w:pPr>
      <w:r>
        <w:t xml:space="preserve">**91% of employers** actively look for digital credentials</w:t>
      </w:r>
    </w:p>
    <w:p>
      <w:pPr>
        <w:pStyle w:val="ListParagraph"/>
        <w:numPr>
          <w:ilvl w:val="0"/>
          <w:numId w:val="1"/>
        </w:numPr>
        <w:spacing w:after="100"/>
      </w:pPr>
      <w:r>
        <w:t xml:space="preserve">**49% of compliance officers** experience anxiety; 78% work 41+ hours/week</w:t>
      </w:r>
    </w:p>
    <w:p>
      <w:pPr>
        <w:pStyle w:val="ListParagraph"/>
        <w:numPr>
          <w:ilvl w:val="0"/>
          <w:numId w:val="1"/>
        </w:numPr>
        <w:spacing w:after="100"/>
      </w:pPr>
      <w:r>
        <w:t xml:space="preserve">**6.65% undergraduate application fraud rate**; 230% YoY deepfake spike</w:t>
      </w:r>
    </w:p>
    <w:p>
      <w:pPr>
        <w:pStyle w:val="ListParagraph"/>
        <w:numPr>
          <w:ilvl w:val="0"/>
          <w:numId w:val="1"/>
        </w:numPr>
        <w:spacing w:after="100"/>
      </w:pPr>
      <w:r>
        <w:t xml:space="preserve">**75M+ x402 transactions** settled; $25M monthly volume (March 2026)</w:t>
      </w:r>
    </w:p>
    <w:p>
      <w:pPr>
        <w:pStyle w:val="ListParagraph"/>
        <w:numPr>
          <w:ilvl w:val="0"/>
          <w:numId w:val="1"/>
        </w:numPr>
        <w:spacing w:after="100"/>
      </w:pPr>
      <w:r>
        <w:t xml:space="preserve">**10,000+ MCP servers** built (up from 1,000 in early 2025)</w:t>
      </w:r>
    </w:p>
    <w:p>
      <w:pPr>
        <w:pStyle w:val="ListParagraph"/>
        <w:numPr>
          <w:ilvl w:val="0"/>
          <w:numId w:val="1"/>
        </w:numPr>
        <w:spacing w:after="100"/>
      </w:pPr>
      <w:r>
        <w:t xml:space="preserve">**$211B in AI venture funding** in 2025 (85% YoY increase)</w:t>
      </w:r>
    </w:p>
    <w:p>
      <w:pPr>
        <w:pStyle w:val="ListParagraph"/>
        <w:numPr>
          <w:ilvl w:val="0"/>
          <w:numId w:val="1"/>
        </w:numPr>
        <w:spacing w:after="100"/>
      </w:pPr>
      <w:r>
        <w:t xml:space="preserve">**European RegTech funding** $1.1B in 2025 (51% YoY increase)</w:t>
      </w:r>
    </w:p>
    <w:p>
      <w:pPr>
        <w:pStyle w:val="Heading3"/>
        <w:spacing w:after="120" w:before="240"/>
        <w:outlineLvl w:val="2"/>
      </w:pPr>
      <w:r>
        <w:t xml:space="preserve">Regulatory Deadlines Creating Urgency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400" w:hRule="atLeast"/>
        </w:trPr>
        <w:tc>
          <w:tcPr>
            <w:tcW w:type="dxa" w:w="3192"/>
            <w:tcBorders>
              <w:top w:val="single" w:sz="1"/>
              <w:left w:val="single" w:sz="1"/>
              <w:bottom w:val="single" w:sz="1"/>
              <w:right w:val="single" w:sz="1"/>
            </w:tcBorders>
            <w:shd w:fill="D3D3D3" w:val="clear"/>
            <w:vAlign w:val="center"/>
          </w:tcPr>
          <w:p>
            <w:r>
              <w:t xml:space="preserve">Deadline</w:t>
            </w:r>
          </w:p>
        </w:tc>
        <w:tc>
          <w:tcPr>
            <w:tcW w:type="dxa" w:w="3192"/>
            <w:tcBorders>
              <w:top w:val="single" w:sz="1"/>
              <w:left w:val="single" w:sz="1"/>
              <w:bottom w:val="single" w:sz="1"/>
              <w:right w:val="single" w:sz="1"/>
            </w:tcBorders>
            <w:shd w:fill="D3D3D3" w:val="clear"/>
            <w:vAlign w:val="center"/>
          </w:tcPr>
          <w:p>
            <w:r>
              <w:t xml:space="preserve">What</w:t>
            </w:r>
          </w:p>
        </w:tc>
        <w:tc>
          <w:tcPr>
            <w:tcW w:type="dxa" w:w="3192"/>
            <w:tcBorders>
              <w:top w:val="single" w:sz="1"/>
              <w:left w:val="single" w:sz="1"/>
              <w:bottom w:val="single" w:sz="1"/>
              <w:right w:val="single" w:sz="1"/>
            </w:tcBorders>
            <w:shd w:fill="D3D3D3" w:val="clear"/>
            <w:vAlign w:val="center"/>
          </w:tcPr>
          <w:p>
            <w:r>
              <w:t xml:space="preserve">Who's Affected</w:t>
            </w:r>
          </w:p>
        </w:tc>
      </w:tr>
      <w:tr>
        <w:tc>
          <w:tcPr>
            <w:tcW w:type="dxa" w:w="3192"/>
            <w:tcBorders>
              <w:top w:val="single" w:sz="1"/>
              <w:left w:val="single" w:sz="1"/>
              <w:bottom w:val="single" w:sz="1"/>
              <w:right w:val="single" w:sz="1"/>
            </w:tcBorders>
            <w:vAlign w:val="top"/>
          </w:tcPr>
          <w:p>
            <w:r>
              <w:t xml:space="preserve">**Nov 21, 2026**</w:t>
            </w:r>
          </w:p>
        </w:tc>
        <w:tc>
          <w:tcPr>
            <w:tcW w:type="dxa" w:w="3192"/>
            <w:tcBorders>
              <w:top w:val="single" w:sz="1"/>
              <w:left w:val="single" w:sz="1"/>
              <w:bottom w:val="single" w:sz="1"/>
              <w:right w:val="single" w:sz="1"/>
            </w:tcBorders>
            <w:vAlign w:val="top"/>
          </w:tcPr>
          <w:p>
            <w:r>
              <w:t xml:space="preserve">EU member states must offer EUDI Wallet</w:t>
            </w:r>
          </w:p>
        </w:tc>
        <w:tc>
          <w:tcPr>
            <w:tcW w:type="dxa" w:w="3192"/>
            <w:tcBorders>
              <w:top w:val="single" w:sz="1"/>
              <w:left w:val="single" w:sz="1"/>
              <w:bottom w:val="single" w:sz="1"/>
              <w:right w:val="single" w:sz="1"/>
            </w:tcBorders>
            <w:vAlign w:val="top"/>
          </w:tcPr>
          <w:p>
            <w:r>
              <w:t xml:space="preserve">All 27 EU member states</w:t>
            </w:r>
          </w:p>
        </w:tc>
      </w:tr>
      <w:tr>
        <w:tc>
          <w:tcPr>
            <w:tcW w:type="dxa" w:w="3192"/>
            <w:tcBorders>
              <w:top w:val="single" w:sz="1"/>
              <w:left w:val="single" w:sz="1"/>
              <w:bottom w:val="single" w:sz="1"/>
              <w:right w:val="single" w:sz="1"/>
            </w:tcBorders>
            <w:vAlign w:val="top"/>
          </w:tcPr>
          <w:p>
            <w:r>
              <w:t xml:space="preserve">**Dec 2027**</w:t>
            </w:r>
          </w:p>
        </w:tc>
        <w:tc>
          <w:tcPr>
            <w:tcW w:type="dxa" w:w="3192"/>
            <w:tcBorders>
              <w:top w:val="single" w:sz="1"/>
              <w:left w:val="single" w:sz="1"/>
              <w:bottom w:val="single" w:sz="1"/>
              <w:right w:val="single" w:sz="1"/>
            </w:tcBorders>
            <w:vAlign w:val="top"/>
          </w:tcPr>
          <w:p>
            <w:r>
              <w:t xml:space="preserve">Regulated financial institutions must accept EUDI Wallets</w:t>
            </w:r>
          </w:p>
        </w:tc>
        <w:tc>
          <w:tcPr>
            <w:tcW w:type="dxa" w:w="3192"/>
            <w:tcBorders>
              <w:top w:val="single" w:sz="1"/>
              <w:left w:val="single" w:sz="1"/>
              <w:bottom w:val="single" w:sz="1"/>
              <w:right w:val="single" w:sz="1"/>
            </w:tcBorders>
            <w:vAlign w:val="top"/>
          </w:tcPr>
          <w:p>
            <w:r>
              <w:t xml:space="preserve">Banks, e-money, payment providers</w:t>
            </w:r>
          </w:p>
        </w:tc>
      </w:tr>
      <w:tr>
        <w:tc>
          <w:tcPr>
            <w:tcW w:type="dxa" w:w="3192"/>
            <w:tcBorders>
              <w:top w:val="single" w:sz="1"/>
              <w:left w:val="single" w:sz="1"/>
              <w:bottom w:val="single" w:sz="1"/>
              <w:right w:val="single" w:sz="1"/>
            </w:tcBorders>
            <w:vAlign w:val="top"/>
          </w:tcPr>
          <w:p>
            <w:r>
              <w:t xml:space="preserve">**Aug 2026**</w:t>
            </w:r>
          </w:p>
        </w:tc>
        <w:tc>
          <w:tcPr>
            <w:tcW w:type="dxa" w:w="3192"/>
            <w:tcBorders>
              <w:top w:val="single" w:sz="1"/>
              <w:left w:val="single" w:sz="1"/>
              <w:bottom w:val="single" w:sz="1"/>
              <w:right w:val="single" w:sz="1"/>
            </w:tcBorders>
            <w:vAlign w:val="top"/>
          </w:tcPr>
          <w:p>
            <w:r>
              <w:t xml:space="preserve">EU AI Act high-risk enforcement</w:t>
            </w:r>
          </w:p>
        </w:tc>
        <w:tc>
          <w:tcPr>
            <w:tcW w:type="dxa" w:w="3192"/>
            <w:tcBorders>
              <w:top w:val="single" w:sz="1"/>
              <w:left w:val="single" w:sz="1"/>
              <w:bottom w:val="single" w:sz="1"/>
              <w:right w:val="single" w:sz="1"/>
            </w:tcBorders>
            <w:vAlign w:val="top"/>
          </w:tcPr>
          <w:p>
            <w:r>
              <w:t xml:space="preserve">Credit scoring, fraud detection, AML</w:t>
            </w:r>
          </w:p>
        </w:tc>
      </w:tr>
      <w:tr>
        <w:tc>
          <w:tcPr>
            <w:tcW w:type="dxa" w:w="3192"/>
            <w:tcBorders>
              <w:top w:val="single" w:sz="1"/>
              <w:left w:val="single" w:sz="1"/>
              <w:bottom w:val="single" w:sz="1"/>
              <w:right w:val="single" w:sz="1"/>
            </w:tcBorders>
            <w:vAlign w:val="top"/>
          </w:tcPr>
          <w:p>
            <w:r>
              <w:t xml:space="preserve">**2026**</w:t>
            </w:r>
          </w:p>
        </w:tc>
        <w:tc>
          <w:tcPr>
            <w:tcW w:type="dxa" w:w="3192"/>
            <w:tcBorders>
              <w:top w:val="single" w:sz="1"/>
              <w:left w:val="single" w:sz="1"/>
              <w:bottom w:val="single" w:sz="1"/>
              <w:right w:val="single" w:sz="1"/>
            </w:tcBorders>
            <w:vAlign w:val="top"/>
          </w:tcPr>
          <w:p>
            <w:r>
              <w:t xml:space="preserve">Workforce Pell Grant extends to short credentials</w:t>
            </w:r>
          </w:p>
        </w:tc>
        <w:tc>
          <w:tcPr>
            <w:tcW w:type="dxa" w:w="3192"/>
            <w:tcBorders>
              <w:top w:val="single" w:sz="1"/>
              <w:left w:val="single" w:sz="1"/>
              <w:bottom w:val="single" w:sz="1"/>
              <w:right w:val="single" w:sz="1"/>
            </w:tcBorders>
            <w:vAlign w:val="top"/>
          </w:tcPr>
          <w:p>
            <w:r>
              <w:t xml:space="preserve">US higher ed institutions</w:t>
            </w:r>
          </w:p>
        </w:tc>
      </w:tr>
      <w:tr>
        <w:tc>
          <w:tcPr>
            <w:tcW w:type="dxa" w:w="3192"/>
            <w:tcBorders>
              <w:top w:val="single" w:sz="1"/>
              <w:left w:val="single" w:sz="1"/>
              <w:bottom w:val="single" w:sz="1"/>
              <w:right w:val="single" w:sz="1"/>
            </w:tcBorders>
            <w:vAlign w:val="top"/>
          </w:tcPr>
          <w:p>
            <w:r>
              <w:t xml:space="preserve">**Feb 2026**</w:t>
            </w:r>
          </w:p>
        </w:tc>
        <w:tc>
          <w:tcPr>
            <w:tcW w:type="dxa" w:w="3192"/>
            <w:tcBorders>
              <w:top w:val="single" w:sz="1"/>
              <w:left w:val="single" w:sz="1"/>
              <w:bottom w:val="single" w:sz="1"/>
              <w:right w:val="single" w:sz="1"/>
            </w:tcBorders>
            <w:vAlign w:val="top"/>
          </w:tcPr>
          <w:p>
            <w:r>
              <w:t xml:space="preserve">Kenya KNEC e-certificates national implementation</w:t>
            </w:r>
          </w:p>
        </w:tc>
        <w:tc>
          <w:tcPr>
            <w:tcW w:type="dxa" w:w="3192"/>
            <w:tcBorders>
              <w:top w:val="single" w:sz="1"/>
              <w:left w:val="single" w:sz="1"/>
              <w:bottom w:val="single" w:sz="1"/>
              <w:right w:val="single" w:sz="1"/>
            </w:tcBorders>
            <w:vAlign w:val="top"/>
          </w:tcPr>
          <w:p>
            <w:r>
              <w:t xml:space="preserve">Kenyan universities/employers</w:t>
            </w:r>
          </w:p>
        </w:tc>
      </w:tr>
      <w:tr>
        <w:tc>
          <w:tcPr>
            <w:tcW w:type="dxa" w:w="3192"/>
            <w:tcBorders>
              <w:top w:val="single" w:sz="1"/>
              <w:left w:val="single" w:sz="1"/>
              <w:bottom w:val="single" w:sz="1"/>
              <w:right w:val="single" w:sz="1"/>
            </w:tcBorders>
            <w:vAlign w:val="top"/>
          </w:tcPr>
          <w:p>
            <w:r>
              <w:t xml:space="preserve">**June 2025**</w:t>
            </w:r>
          </w:p>
        </w:tc>
        <w:tc>
          <w:tcPr>
            <w:tcW w:type="dxa" w:w="3192"/>
            <w:tcBorders>
              <w:top w:val="single" w:sz="1"/>
              <w:left w:val="single" w:sz="1"/>
              <w:bottom w:val="single" w:sz="1"/>
              <w:right w:val="single" w:sz="1"/>
            </w:tcBorders>
            <w:vAlign w:val="top"/>
          </w:tcPr>
          <w:p>
            <w:r>
              <w:t xml:space="preserve">India APAAR ID university linking</w:t>
            </w:r>
          </w:p>
        </w:tc>
        <w:tc>
          <w:tcPr>
            <w:tcW w:type="dxa" w:w="3192"/>
            <w:tcBorders>
              <w:top w:val="single" w:sz="1"/>
              <w:left w:val="single" w:sz="1"/>
              <w:bottom w:val="single" w:sz="1"/>
              <w:right w:val="single" w:sz="1"/>
            </w:tcBorders>
            <w:vAlign w:val="top"/>
          </w:tcPr>
          <w:p>
            <w:r>
              <w:t xml:space="preserve">Indian universities</w:t>
            </w:r>
          </w:p>
        </w:tc>
      </w:tr>
    </w:tbl>
    <w:p>
      <w:pPr>
        <w:pStyle w:val="Heading2"/>
        <w:spacing w:after="120" w:before="240"/>
        <w:outlineLvl w:val="1"/>
      </w:pPr>
      <w:r>
        <w:t xml:space="preserve">3. Competitive Positioning — Differentiation by Market</w:t>
      </w:r>
    </w:p>
    <w:p>
      <w:pPr>
        <w:pStyle w:val="Heading3"/>
        <w:spacing w:after="120" w:before="240"/>
        <w:outlineLvl w:val="2"/>
      </w:pPr>
      <w:r>
        <w:t xml:space="preserve">Higher Education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400" w:hRule="atLeast"/>
        </w:trPr>
        <w:tc>
          <w:tcPr>
            <w:tcW w:type="dxa" w:w="3192"/>
            <w:tcBorders>
              <w:top w:val="single" w:sz="1"/>
              <w:left w:val="single" w:sz="1"/>
              <w:bottom w:val="single" w:sz="1"/>
              <w:right w:val="single" w:sz="1"/>
            </w:tcBorders>
            <w:shd w:fill="D3D3D3" w:val="clear"/>
            <w:vAlign w:val="center"/>
          </w:tcPr>
          <w:p>
            <w:r>
              <w:t xml:space="preserve">Competitor</w:t>
            </w:r>
          </w:p>
        </w:tc>
        <w:tc>
          <w:tcPr>
            <w:tcW w:type="dxa" w:w="3192"/>
            <w:tcBorders>
              <w:top w:val="single" w:sz="1"/>
              <w:left w:val="single" w:sz="1"/>
              <w:bottom w:val="single" w:sz="1"/>
              <w:right w:val="single" w:sz="1"/>
            </w:tcBorders>
            <w:shd w:fill="D3D3D3" w:val="clear"/>
            <w:vAlign w:val="center"/>
          </w:tcPr>
          <w:p>
            <w:r>
              <w:t xml:space="preserve">Their Play</w:t>
            </w:r>
          </w:p>
        </w:tc>
        <w:tc>
          <w:tcPr>
            <w:tcW w:type="dxa" w:w="3192"/>
            <w:tcBorders>
              <w:top w:val="single" w:sz="1"/>
              <w:left w:val="single" w:sz="1"/>
              <w:bottom w:val="single" w:sz="1"/>
              <w:right w:val="single" w:sz="1"/>
            </w:tcBorders>
            <w:shd w:fill="D3D3D3" w:val="clear"/>
            <w:vAlign w:val="center"/>
          </w:tcPr>
          <w:p>
            <w:r>
              <w:t xml:space="preserve">Arkova's Differentiation</w:t>
            </w:r>
          </w:p>
        </w:tc>
      </w:tr>
      <w:tr>
        <w:tc>
          <w:tcPr>
            <w:tcW w:type="dxa" w:w="3192"/>
            <w:tcBorders>
              <w:top w:val="single" w:sz="1"/>
              <w:left w:val="single" w:sz="1"/>
              <w:bottom w:val="single" w:sz="1"/>
              <w:right w:val="single" w:sz="1"/>
            </w:tcBorders>
            <w:vAlign w:val="top"/>
          </w:tcPr>
          <w:p>
            <w:r>
              <w:t xml:space="preserve">**Parchment**</w:t>
            </w:r>
          </w:p>
        </w:tc>
        <w:tc>
          <w:tcPr>
            <w:tcW w:type="dxa" w:w="3192"/>
            <w:tcBorders>
              <w:top w:val="single" w:sz="1"/>
              <w:left w:val="single" w:sz="1"/>
              <w:bottom w:val="single" w:sz="1"/>
              <w:right w:val="single" w:sz="1"/>
            </w:tcBorders>
            <w:vAlign w:val="top"/>
          </w:tcPr>
          <w:p>
            <w:r>
              <w:t xml:space="preserve">All-in-one transcripts/diplomas/badges; complex pricing; heavy for pilots</w:t>
            </w:r>
          </w:p>
        </w:tc>
        <w:tc>
          <w:tcPr>
            <w:tcW w:type="dxa" w:w="3192"/>
            <w:tcBorders>
              <w:top w:val="single" w:sz="1"/>
              <w:left w:val="single" w:sz="1"/>
              <w:bottom w:val="single" w:sz="1"/>
              <w:right w:val="single" w:sz="1"/>
            </w:tcBorders>
            <w:vAlign w:val="top"/>
          </w:tcPr>
          <w:p>
            <w:r>
              <w:t xml:space="preserve">Lighter-weight, API-first; Bitcoin timestamping as immutable proof; transparent $0.002/call pricing</w:t>
            </w:r>
          </w:p>
        </w:tc>
      </w:tr>
      <w:tr>
        <w:tc>
          <w:tcPr>
            <w:tcW w:type="dxa" w:w="3192"/>
            <w:tcBorders>
              <w:top w:val="single" w:sz="1"/>
              <w:left w:val="single" w:sz="1"/>
              <w:bottom w:val="single" w:sz="1"/>
              <w:right w:val="single" w:sz="1"/>
            </w:tcBorders>
            <w:vAlign w:val="top"/>
          </w:tcPr>
          <w:p>
            <w:r>
              <w:t xml:space="preserve">**National Student Clearinghouse**</w:t>
            </w:r>
          </w:p>
        </w:tc>
        <w:tc>
          <w:tcPr>
            <w:tcW w:type="dxa" w:w="3192"/>
            <w:tcBorders>
              <w:top w:val="single" w:sz="1"/>
              <w:left w:val="single" w:sz="1"/>
              <w:bottom w:val="single" w:sz="1"/>
              <w:right w:val="single" w:sz="1"/>
            </w:tcBorders>
            <w:vAlign w:val="top"/>
          </w:tcPr>
          <w:p>
            <w:r>
              <w:t xml:space="preserve">Dominant incumbent; legacy infrastructure; moving to VCs via Credivera</w:t>
            </w:r>
          </w:p>
        </w:tc>
        <w:tc>
          <w:tcPr>
            <w:tcW w:type="dxa" w:w="3192"/>
            <w:tcBorders>
              <w:top w:val="single" w:sz="1"/>
              <w:left w:val="single" w:sz="1"/>
              <w:bottom w:val="single" w:sz="1"/>
              <w:right w:val="single" w:sz="1"/>
            </w:tcBorders>
            <w:vAlign w:val="top"/>
          </w:tcPr>
          <w:p>
            <w:r>
              <w:t xml:space="preserve">Next-gen verification speed; no legacy baggage; open standards native</w:t>
            </w:r>
          </w:p>
        </w:tc>
      </w:tr>
      <w:tr>
        <w:tc>
          <w:tcPr>
            <w:tcW w:type="dxa" w:w="3192"/>
            <w:tcBorders>
              <w:top w:val="single" w:sz="1"/>
              <w:left w:val="single" w:sz="1"/>
              <w:bottom w:val="single" w:sz="1"/>
              <w:right w:val="single" w:sz="1"/>
            </w:tcBorders>
            <w:vAlign w:val="top"/>
          </w:tcPr>
          <w:p>
            <w:r>
              <w:t xml:space="preserve">**Hyland Credentials**</w:t>
            </w:r>
          </w:p>
        </w:tc>
        <w:tc>
          <w:tcPr>
            <w:tcW w:type="dxa" w:w="3192"/>
            <w:tcBorders>
              <w:top w:val="single" w:sz="1"/>
              <w:left w:val="single" w:sz="1"/>
              <w:bottom w:val="single" w:sz="1"/>
              <w:right w:val="single" w:sz="1"/>
            </w:tcBorders>
            <w:vAlign w:val="top"/>
          </w:tcPr>
          <w:p>
            <w:r>
              <w:t xml:space="preserve">Blockcerts/blockchain; co-ownership model</w:t>
            </w:r>
          </w:p>
        </w:tc>
        <w:tc>
          <w:tcPr>
            <w:tcW w:type="dxa" w:w="3192"/>
            <w:tcBorders>
              <w:top w:val="single" w:sz="1"/>
              <w:left w:val="single" w:sz="1"/>
              <w:bottom w:val="single" w:sz="1"/>
              <w:right w:val="single" w:sz="1"/>
            </w:tcBorders>
            <w:vAlign w:val="top"/>
          </w:tcPr>
          <w:p>
            <w:r>
              <w:t xml:space="preserve">Bitcoin-specific (most secure chain); verification API not just issuance; compliance automation beyond credentials</w:t>
            </w:r>
          </w:p>
        </w:tc>
      </w:tr>
      <w:tr>
        <w:tc>
          <w:tcPr>
            <w:tcW w:type="dxa" w:w="3192"/>
            <w:tcBorders>
              <w:top w:val="single" w:sz="1"/>
              <w:left w:val="single" w:sz="1"/>
              <w:bottom w:val="single" w:sz="1"/>
              <w:right w:val="single" w:sz="1"/>
            </w:tcBorders>
            <w:vAlign w:val="top"/>
          </w:tcPr>
          <w:p>
            <w:r>
              <w:t xml:space="preserve">**Accredible**</w:t>
            </w:r>
          </w:p>
        </w:tc>
        <w:tc>
          <w:tcPr>
            <w:tcW w:type="dxa" w:w="3192"/>
            <w:tcBorders>
              <w:top w:val="single" w:sz="1"/>
              <w:left w:val="single" w:sz="1"/>
              <w:bottom w:val="single" w:sz="1"/>
              <w:right w:val="single" w:sz="1"/>
            </w:tcBorders>
            <w:vAlign w:val="top"/>
          </w:tcPr>
          <w:p>
            <w:r>
              <w:t xml:space="preserve">42M credentials issued; SMS engagement; OB3/W3C-VC roadmap</w:t>
            </w:r>
          </w:p>
        </w:tc>
        <w:tc>
          <w:tcPr>
            <w:tcW w:type="dxa" w:w="3192"/>
            <w:tcBorders>
              <w:top w:val="single" w:sz="1"/>
              <w:left w:val="single" w:sz="1"/>
              <w:bottom w:val="single" w:sz="1"/>
              <w:right w:val="single" w:sz="1"/>
            </w:tcBorders>
            <w:vAlign w:val="top"/>
          </w:tcPr>
          <w:p>
            <w:r>
              <w:t xml:space="preserve">Deeper compliance layer; audit trail across jurisdictions; not just issuance</w:t>
            </w:r>
          </w:p>
        </w:tc>
      </w:tr>
      <w:tr>
        <w:tc>
          <w:tcPr>
            <w:tcW w:type="dxa" w:w="3192"/>
            <w:tcBorders>
              <w:top w:val="single" w:sz="1"/>
              <w:left w:val="single" w:sz="1"/>
              <w:bottom w:val="single" w:sz="1"/>
              <w:right w:val="single" w:sz="1"/>
            </w:tcBorders>
            <w:vAlign w:val="top"/>
          </w:tcPr>
          <w:p>
            <w:r>
              <w:t xml:space="preserve">**Credly (Pearson)**</w:t>
            </w:r>
          </w:p>
        </w:tc>
        <w:tc>
          <w:tcPr>
            <w:tcW w:type="dxa" w:w="3192"/>
            <w:tcBorders>
              <w:top w:val="single" w:sz="1"/>
              <w:left w:val="single" w:sz="1"/>
              <w:bottom w:val="single" w:sz="1"/>
              <w:right w:val="single" w:sz="1"/>
            </w:tcBorders>
            <w:vAlign w:val="top"/>
          </w:tcPr>
          <w:p>
            <w:r>
              <w:t xml:space="preserve">4,000+ issuers; badge-focused; skill-based hiring</w:t>
            </w:r>
          </w:p>
        </w:tc>
        <w:tc>
          <w:tcPr>
            <w:tcW w:type="dxa" w:w="3192"/>
            <w:tcBorders>
              <w:top w:val="single" w:sz="1"/>
              <w:left w:val="single" w:sz="1"/>
              <w:bottom w:val="single" w:sz="1"/>
              <w:right w:val="single" w:sz="1"/>
            </w:tcBorders>
            <w:vAlign w:val="top"/>
          </w:tcPr>
          <w:p>
            <w:r>
              <w:t xml:space="preserve">Full document verification, not just badges; regulatory compliance angle</w:t>
            </w:r>
          </w:p>
        </w:tc>
      </w:tr>
      <w:tr>
        <w:tc>
          <w:tcPr>
            <w:tcW w:type="dxa" w:w="3192"/>
            <w:tcBorders>
              <w:top w:val="single" w:sz="1"/>
              <w:left w:val="single" w:sz="1"/>
              <w:bottom w:val="single" w:sz="1"/>
              <w:right w:val="single" w:sz="1"/>
            </w:tcBorders>
            <w:vAlign w:val="top"/>
          </w:tcPr>
          <w:p>
            <w:r>
              <w:t xml:space="preserve">**Credivera**</w:t>
            </w:r>
          </w:p>
        </w:tc>
        <w:tc>
          <w:tcPr>
            <w:tcW w:type="dxa" w:w="3192"/>
            <w:tcBorders>
              <w:top w:val="single" w:sz="1"/>
              <w:left w:val="single" w:sz="1"/>
              <w:bottom w:val="single" w:sz="1"/>
              <w:right w:val="single" w:sz="1"/>
            </w:tcBorders>
            <w:vAlign w:val="top"/>
          </w:tcPr>
          <w:p>
            <w:r>
              <w:t xml:space="preserve">VC PaaS; NSC partnership; Microsoft Entra</w:t>
            </w:r>
          </w:p>
        </w:tc>
        <w:tc>
          <w:tcPr>
            <w:tcW w:type="dxa" w:w="3192"/>
            <w:tcBorders>
              <w:top w:val="single" w:sz="1"/>
              <w:left w:val="single" w:sz="1"/>
              <w:bottom w:val="single" w:sz="1"/>
              <w:right w:val="single" w:sz="1"/>
            </w:tcBorders>
            <w:vAlign w:val="top"/>
          </w:tcPr>
          <w:p>
            <w:r>
              <w:t xml:space="preserve">Bitcoin immutability vs. traditional DB; broader compliance (not just credentials)</w:t>
            </w:r>
          </w:p>
        </w:tc>
      </w:tr>
    </w:tbl>
    <w:p>
      <w:pPr>
        <w:spacing w:after="120"/>
      </w:pPr>
      <w:r>
        <w:rPr>
          <w:rFonts w:ascii="Arial" w:cs="Arial" w:eastAsia="Arial" w:hAnsi="Arial"/>
          <w:b/>
          <w:bCs/>
        </w:rPr>
        <w:t xml:space="preserve">Positioning:</w:t>
      </w:r>
      <w:r>
        <w:rPr>
          <w:rFonts w:ascii="Arial" w:cs="Arial" w:eastAsia="Arial" w:hAnsi="Arial"/>
        </w:rPr>
        <w:t xml:space="preserve"> "We don't just issue credentials — we make them impossible to forge, instant to verify, and compliant across 30+ jurisdictions."</w:t>
      </w:r>
    </w:p>
    <w:p>
      <w:pPr>
        <w:pStyle w:val="Heading3"/>
        <w:spacing w:after="120" w:before="240"/>
        <w:outlineLvl w:val="2"/>
      </w:pPr>
      <w:r>
        <w:t xml:space="preserve">RegTech / Compliance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400" w:hRule="atLeast"/>
        </w:trPr>
        <w:tc>
          <w:tcPr>
            <w:tcW w:type="dxa" w:w="3192"/>
            <w:tcBorders>
              <w:top w:val="single" w:sz="1"/>
              <w:left w:val="single" w:sz="1"/>
              <w:bottom w:val="single" w:sz="1"/>
              <w:right w:val="single" w:sz="1"/>
            </w:tcBorders>
            <w:shd w:fill="D3D3D3" w:val="clear"/>
            <w:vAlign w:val="center"/>
          </w:tcPr>
          <w:p>
            <w:r>
              <w:t xml:space="preserve">Competitor</w:t>
            </w:r>
          </w:p>
        </w:tc>
        <w:tc>
          <w:tcPr>
            <w:tcW w:type="dxa" w:w="3192"/>
            <w:tcBorders>
              <w:top w:val="single" w:sz="1"/>
              <w:left w:val="single" w:sz="1"/>
              <w:bottom w:val="single" w:sz="1"/>
              <w:right w:val="single" w:sz="1"/>
            </w:tcBorders>
            <w:shd w:fill="D3D3D3" w:val="clear"/>
            <w:vAlign w:val="center"/>
          </w:tcPr>
          <w:p>
            <w:r>
              <w:t xml:space="preserve">Their Play</w:t>
            </w:r>
          </w:p>
        </w:tc>
        <w:tc>
          <w:tcPr>
            <w:tcW w:type="dxa" w:w="3192"/>
            <w:tcBorders>
              <w:top w:val="single" w:sz="1"/>
              <w:left w:val="single" w:sz="1"/>
              <w:bottom w:val="single" w:sz="1"/>
              <w:right w:val="single" w:sz="1"/>
            </w:tcBorders>
            <w:shd w:fill="D3D3D3" w:val="clear"/>
            <w:vAlign w:val="center"/>
          </w:tcPr>
          <w:p>
            <w:r>
              <w:t xml:space="preserve">Arkova's Differentiation</w:t>
            </w:r>
          </w:p>
        </w:tc>
      </w:tr>
      <w:tr>
        <w:tc>
          <w:tcPr>
            <w:tcW w:type="dxa" w:w="3192"/>
            <w:tcBorders>
              <w:top w:val="single" w:sz="1"/>
              <w:left w:val="single" w:sz="1"/>
              <w:bottom w:val="single" w:sz="1"/>
              <w:right w:val="single" w:sz="1"/>
            </w:tcBorders>
            <w:vAlign w:val="top"/>
          </w:tcPr>
          <w:p>
            <w:r>
              <w:t xml:space="preserve">**AscentAI**</w:t>
            </w:r>
          </w:p>
        </w:tc>
        <w:tc>
          <w:tcPr>
            <w:tcW w:type="dxa" w:w="3192"/>
            <w:tcBorders>
              <w:top w:val="single" w:sz="1"/>
              <w:left w:val="single" w:sz="1"/>
              <w:bottom w:val="single" w:sz="1"/>
              <w:right w:val="single" w:sz="1"/>
            </w:tcBorders>
            <w:vAlign w:val="top"/>
          </w:tcPr>
          <w:p>
            <w:r>
              <w:t xml:space="preserve">Regulatory lifecycle management; horizon scanning; ING, CBA clients</w:t>
            </w:r>
          </w:p>
        </w:tc>
        <w:tc>
          <w:tcPr>
            <w:tcW w:type="dxa" w:w="3192"/>
            <w:tcBorders>
              <w:top w:val="single" w:sz="1"/>
              <w:left w:val="single" w:sz="1"/>
              <w:bottom w:val="single" w:sz="1"/>
              <w:right w:val="single" w:sz="1"/>
            </w:tcBorders>
            <w:vAlign w:val="top"/>
          </w:tcPr>
          <w:p>
            <w:r>
              <w:t xml:space="preserve">Cryptographic verification + Bitcoin timestamping vs. traditional ML; verified public records foundation</w:t>
            </w:r>
          </w:p>
        </w:tc>
      </w:tr>
      <w:tr>
        <w:tc>
          <w:tcPr>
            <w:tcW w:type="dxa" w:w="3192"/>
            <w:tcBorders>
              <w:top w:val="single" w:sz="1"/>
              <w:left w:val="single" w:sz="1"/>
              <w:bottom w:val="single" w:sz="1"/>
              <w:right w:val="single" w:sz="1"/>
            </w:tcBorders>
            <w:vAlign w:val="top"/>
          </w:tcPr>
          <w:p>
            <w:r>
              <w:t xml:space="preserve">**Chainalysis** ($8.6B)</w:t>
            </w:r>
          </w:p>
        </w:tc>
        <w:tc>
          <w:tcPr>
            <w:tcW w:type="dxa" w:w="3192"/>
            <w:tcBorders>
              <w:top w:val="single" w:sz="1"/>
              <w:left w:val="single" w:sz="1"/>
              <w:bottom w:val="single" w:sz="1"/>
              <w:right w:val="single" w:sz="1"/>
            </w:tcBorders>
            <w:vAlign w:val="top"/>
          </w:tcPr>
          <w:p>
            <w:r>
              <w:t xml:space="preserve">Crypto forensics; law enforcement standard</w:t>
            </w:r>
          </w:p>
        </w:tc>
        <w:tc>
          <w:tcPr>
            <w:tcW w:type="dxa" w:w="3192"/>
            <w:tcBorders>
              <w:top w:val="single" w:sz="1"/>
              <w:left w:val="single" w:sz="1"/>
              <w:bottom w:val="single" w:sz="1"/>
              <w:right w:val="single" w:sz="1"/>
            </w:tcBorders>
            <w:vAlign w:val="top"/>
          </w:tcPr>
          <w:p>
            <w:r>
              <w:t xml:space="preserve">Broader compliance (not crypto-only); document verification vs. transaction tracing</w:t>
            </w:r>
          </w:p>
        </w:tc>
      </w:tr>
      <w:tr>
        <w:tc>
          <w:tcPr>
            <w:tcW w:type="dxa" w:w="3192"/>
            <w:tcBorders>
              <w:top w:val="single" w:sz="1"/>
              <w:left w:val="single" w:sz="1"/>
              <w:bottom w:val="single" w:sz="1"/>
              <w:right w:val="single" w:sz="1"/>
            </w:tcBorders>
            <w:vAlign w:val="top"/>
          </w:tcPr>
          <w:p>
            <w:r>
              <w:t xml:space="preserve">**ComplyAdvantage** ($824M)</w:t>
            </w:r>
          </w:p>
        </w:tc>
        <w:tc>
          <w:tcPr>
            <w:tcW w:type="dxa" w:w="3192"/>
            <w:tcBorders>
              <w:top w:val="single" w:sz="1"/>
              <w:left w:val="single" w:sz="1"/>
              <w:bottom w:val="single" w:sz="1"/>
              <w:right w:val="single" w:sz="1"/>
            </w:tcBorders>
            <w:vAlign w:val="top"/>
          </w:tcPr>
          <w:p>
            <w:r>
              <w:t xml:space="preserve">KYC/AML screening; AI Mesh platform</w:t>
            </w:r>
          </w:p>
        </w:tc>
        <w:tc>
          <w:tcPr>
            <w:tcW w:type="dxa" w:w="3192"/>
            <w:tcBorders>
              <w:top w:val="single" w:sz="1"/>
              <w:left w:val="single" w:sz="1"/>
              <w:bottom w:val="single" w:sz="1"/>
              <w:right w:val="single" w:sz="1"/>
            </w:tcBorders>
            <w:vAlign w:val="top"/>
          </w:tcPr>
          <w:p>
            <w:r>
              <w:t xml:space="preserve">Obligation discovery + verified audit trails vs. screening-only</w:t>
            </w:r>
          </w:p>
        </w:tc>
      </w:tr>
      <w:tr>
        <w:tc>
          <w:tcPr>
            <w:tcW w:type="dxa" w:w="3192"/>
            <w:tcBorders>
              <w:top w:val="single" w:sz="1"/>
              <w:left w:val="single" w:sz="1"/>
              <w:bottom w:val="single" w:sz="1"/>
              <w:right w:val="single" w:sz="1"/>
            </w:tcBorders>
            <w:vAlign w:val="top"/>
          </w:tcPr>
          <w:p>
            <w:r>
              <w:t xml:space="preserve">**Behavox**</w:t>
            </w:r>
          </w:p>
        </w:tc>
        <w:tc>
          <w:tcPr>
            <w:tcW w:type="dxa" w:w="3192"/>
            <w:tcBorders>
              <w:top w:val="single" w:sz="1"/>
              <w:left w:val="single" w:sz="1"/>
              <w:bottom w:val="single" w:sz="1"/>
              <w:right w:val="single" w:sz="1"/>
            </w:tcBorders>
            <w:vAlign w:val="top"/>
          </w:tcPr>
          <w:p>
            <w:r>
              <w:t xml:space="preserve">Communications surveillance; employee monitoring</w:t>
            </w:r>
          </w:p>
        </w:tc>
        <w:tc>
          <w:tcPr>
            <w:tcW w:type="dxa" w:w="3192"/>
            <w:tcBorders>
              <w:top w:val="single" w:sz="1"/>
              <w:left w:val="single" w:sz="1"/>
              <w:bottom w:val="single" w:sz="1"/>
              <w:right w:val="single" w:sz="1"/>
            </w:tcBorders>
            <w:vAlign w:val="top"/>
          </w:tcPr>
          <w:p>
            <w:r>
              <w:t xml:space="preserve">External regulatory compliance vs. internal monitoring</w:t>
            </w:r>
          </w:p>
        </w:tc>
      </w:tr>
      <w:tr>
        <w:tc>
          <w:tcPr>
            <w:tcW w:type="dxa" w:w="3192"/>
            <w:tcBorders>
              <w:top w:val="single" w:sz="1"/>
              <w:left w:val="single" w:sz="1"/>
              <w:bottom w:val="single" w:sz="1"/>
              <w:right w:val="single" w:sz="1"/>
            </w:tcBorders>
            <w:vAlign w:val="top"/>
          </w:tcPr>
          <w:p>
            <w:r>
              <w:t xml:space="preserve">**Elliptic**</w:t>
            </w:r>
          </w:p>
        </w:tc>
        <w:tc>
          <w:tcPr>
            <w:tcW w:type="dxa" w:w="3192"/>
            <w:tcBorders>
              <w:top w:val="single" w:sz="1"/>
              <w:left w:val="single" w:sz="1"/>
              <w:bottom w:val="single" w:sz="1"/>
              <w:right w:val="single" w:sz="1"/>
            </w:tcBorders>
            <w:vAlign w:val="top"/>
          </w:tcPr>
          <w:p>
            <w:r>
              <w:t xml:space="preserve">AML/sanctions for crypto</w:t>
            </w:r>
          </w:p>
        </w:tc>
        <w:tc>
          <w:tcPr>
            <w:tcW w:type="dxa" w:w="3192"/>
            <w:tcBorders>
              <w:top w:val="single" w:sz="1"/>
              <w:left w:val="single" w:sz="1"/>
              <w:bottom w:val="single" w:sz="1"/>
              <w:right w:val="single" w:sz="1"/>
            </w:tcBorders>
            <w:vAlign w:val="top"/>
          </w:tcPr>
          <w:p>
            <w:r>
              <w:t xml:space="preserve">Non-crypto regulatory change management; cross-industry</w:t>
            </w:r>
          </w:p>
        </w:tc>
      </w:tr>
    </w:tbl>
    <w:p>
      <w:pPr>
        <w:spacing w:after="120"/>
      </w:pPr>
      <w:r>
        <w:rPr>
          <w:rFonts w:ascii="Arial" w:cs="Arial" w:eastAsia="Arial" w:hAnsi="Arial"/>
          <w:b/>
          <w:bCs/>
        </w:rPr>
        <w:t xml:space="preserve">Positioning:</w:t>
      </w:r>
      <w:r>
        <w:rPr>
          <w:rFonts w:ascii="Arial" w:cs="Arial" w:eastAsia="Arial" w:hAnsi="Arial"/>
        </w:rPr>
        <w:t xml:space="preserve"> "The only compliance infrastructure with cryptographic proof. Every verification timestamped on Bitcoin. Every audit trail immutable."</w:t>
      </w:r>
    </w:p>
    <w:p>
      <w:pPr>
        <w:pStyle w:val="Heading3"/>
        <w:spacing w:after="120" w:before="240"/>
        <w:outlineLvl w:val="2"/>
      </w:pPr>
      <w:r>
        <w:t xml:space="preserve">AI Agent / Developer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400" w:hRule="atLeast"/>
        </w:trPr>
        <w:tc>
          <w:tcPr>
            <w:tcW w:type="dxa" w:w="3192"/>
            <w:tcBorders>
              <w:top w:val="single" w:sz="1"/>
              <w:left w:val="single" w:sz="1"/>
              <w:bottom w:val="single" w:sz="1"/>
              <w:right w:val="single" w:sz="1"/>
            </w:tcBorders>
            <w:shd w:fill="D3D3D3" w:val="clear"/>
            <w:vAlign w:val="center"/>
          </w:tcPr>
          <w:p>
            <w:r>
              <w:t xml:space="preserve">Competitor</w:t>
            </w:r>
          </w:p>
        </w:tc>
        <w:tc>
          <w:tcPr>
            <w:tcW w:type="dxa" w:w="3192"/>
            <w:tcBorders>
              <w:top w:val="single" w:sz="1"/>
              <w:left w:val="single" w:sz="1"/>
              <w:bottom w:val="single" w:sz="1"/>
              <w:right w:val="single" w:sz="1"/>
            </w:tcBorders>
            <w:shd w:fill="D3D3D3" w:val="clear"/>
            <w:vAlign w:val="center"/>
          </w:tcPr>
          <w:p>
            <w:r>
              <w:t xml:space="preserve">Their Play</w:t>
            </w:r>
          </w:p>
        </w:tc>
        <w:tc>
          <w:tcPr>
            <w:tcW w:type="dxa" w:w="3192"/>
            <w:tcBorders>
              <w:top w:val="single" w:sz="1"/>
              <w:left w:val="single" w:sz="1"/>
              <w:bottom w:val="single" w:sz="1"/>
              <w:right w:val="single" w:sz="1"/>
            </w:tcBorders>
            <w:shd w:fill="D3D3D3" w:val="clear"/>
            <w:vAlign w:val="center"/>
          </w:tcPr>
          <w:p>
            <w:r>
              <w:t xml:space="preserve">Arkova's Differentiation</w:t>
            </w:r>
          </w:p>
        </w:tc>
      </w:tr>
      <w:tr>
        <w:tc>
          <w:tcPr>
            <w:tcW w:type="dxa" w:w="3192"/>
            <w:tcBorders>
              <w:top w:val="single" w:sz="1"/>
              <w:left w:val="single" w:sz="1"/>
              <w:bottom w:val="single" w:sz="1"/>
              <w:right w:val="single" w:sz="1"/>
            </w:tcBorders>
            <w:vAlign w:val="top"/>
          </w:tcPr>
          <w:p>
            <w:r>
              <w:t xml:space="preserve">**AgentFacts/KYA**</w:t>
            </w:r>
          </w:p>
        </w:tc>
        <w:tc>
          <w:tcPr>
            <w:tcW w:type="dxa" w:w="3192"/>
            <w:tcBorders>
              <w:top w:val="single" w:sz="1"/>
              <w:left w:val="single" w:sz="1"/>
              <w:bottom w:val="single" w:sz="1"/>
              <w:right w:val="single" w:sz="1"/>
            </w:tcBorders>
            <w:vAlign w:val="top"/>
          </w:tcPr>
          <w:p>
            <w:r>
              <w:t xml:space="preserve">Agent identity verification standard</w:t>
            </w:r>
          </w:p>
        </w:tc>
        <w:tc>
          <w:tcPr>
            <w:tcW w:type="dxa" w:w="3192"/>
            <w:tcBorders>
              <w:top w:val="single" w:sz="1"/>
              <w:left w:val="single" w:sz="1"/>
              <w:bottom w:val="single" w:sz="1"/>
              <w:right w:val="single" w:sz="1"/>
            </w:tcBorders>
            <w:vAlign w:val="top"/>
          </w:tcPr>
          <w:p>
            <w:r>
              <w:t xml:space="preserve">Transaction-level verification during execution, not just identity</w:t>
            </w:r>
          </w:p>
        </w:tc>
      </w:tr>
      <w:tr>
        <w:tc>
          <w:tcPr>
            <w:tcW w:type="dxa" w:w="3192"/>
            <w:tcBorders>
              <w:top w:val="single" w:sz="1"/>
              <w:left w:val="single" w:sz="1"/>
              <w:bottom w:val="single" w:sz="1"/>
              <w:right w:val="single" w:sz="1"/>
            </w:tcBorders>
            <w:vAlign w:val="top"/>
          </w:tcPr>
          <w:p>
            <w:r>
              <w:t xml:space="preserve">**ConductorOne**</w:t>
            </w:r>
          </w:p>
        </w:tc>
        <w:tc>
          <w:tcPr>
            <w:tcW w:type="dxa" w:w="3192"/>
            <w:tcBorders>
              <w:top w:val="single" w:sz="1"/>
              <w:left w:val="single" w:sz="1"/>
              <w:bottom w:val="single" w:sz="1"/>
              <w:right w:val="single" w:sz="1"/>
            </w:tcBorders>
            <w:vAlign w:val="top"/>
          </w:tcPr>
          <w:p>
            <w:r>
              <w:t xml:space="preserve">Tool call authorization/permission</w:t>
            </w:r>
          </w:p>
        </w:tc>
        <w:tc>
          <w:tcPr>
            <w:tcW w:type="dxa" w:w="3192"/>
            <w:tcBorders>
              <w:top w:val="single" w:sz="1"/>
              <w:left w:val="single" w:sz="1"/>
              <w:bottom w:val="single" w:sz="1"/>
              <w:right w:val="single" w:sz="1"/>
            </w:tcBorders>
            <w:vAlign w:val="top"/>
          </w:tcPr>
          <w:p>
            <w:r>
              <w:t xml:space="preserve">Compliance verification, not just access control; audit trail for regulatory purposes</w:t>
            </w:r>
          </w:p>
        </w:tc>
      </w:tr>
      <w:tr>
        <w:tc>
          <w:tcPr>
            <w:tcW w:type="dxa" w:w="3192"/>
            <w:tcBorders>
              <w:top w:val="single" w:sz="1"/>
              <w:left w:val="single" w:sz="1"/>
              <w:bottom w:val="single" w:sz="1"/>
              <w:right w:val="single" w:sz="1"/>
            </w:tcBorders>
            <w:vAlign w:val="top"/>
          </w:tcPr>
          <w:p>
            <w:r>
              <w:t xml:space="preserve">**Stripe Radar**</w:t>
            </w:r>
          </w:p>
        </w:tc>
        <w:tc>
          <w:tcPr>
            <w:tcW w:type="dxa" w:w="3192"/>
            <w:tcBorders>
              <w:top w:val="single" w:sz="1"/>
              <w:left w:val="single" w:sz="1"/>
              <w:bottom w:val="single" w:sz="1"/>
              <w:right w:val="single" w:sz="1"/>
            </w:tcBorders>
            <w:vAlign w:val="top"/>
          </w:tcPr>
          <w:p>
            <w:r>
              <w:t xml:space="preserve">Fraud signals in agentic commerce</w:t>
            </w:r>
          </w:p>
        </w:tc>
        <w:tc>
          <w:tcPr>
            <w:tcW w:type="dxa" w:w="3192"/>
            <w:tcBorders>
              <w:top w:val="single" w:sz="1"/>
              <w:left w:val="single" w:sz="1"/>
              <w:bottom w:val="single" w:sz="1"/>
              <w:right w:val="single" w:sz="1"/>
            </w:tcBorders>
            <w:vAlign w:val="top"/>
          </w:tcPr>
          <w:p>
            <w:r>
              <w:t xml:space="preserve">Document/credential verification, not payment fraud; complementary</w:t>
            </w:r>
          </w:p>
        </w:tc>
      </w:tr>
    </w:tbl>
    <w:p>
      <w:pPr>
        <w:spacing w:after="120"/>
      </w:pPr>
      <w:r>
        <w:rPr>
          <w:rFonts w:ascii="Arial" w:cs="Arial" w:eastAsia="Arial" w:hAnsi="Arial"/>
          <w:b/>
          <w:bCs/>
        </w:rPr>
        <w:t xml:space="preserve">Positioning:</w:t>
      </w:r>
      <w:r>
        <w:rPr>
          <w:rFonts w:ascii="Arial" w:cs="Arial" w:eastAsia="Arial" w:hAnsi="Arial"/>
        </w:rPr>
        <w:t xml:space="preserve"> "KYC for AI agents. Every API call verified. Every document timestamped. $0.002/call via x402."</w:t>
      </w:r>
    </w:p>
    <w:p>
      <w:pPr>
        <w:pStyle w:val="Heading3"/>
        <w:spacing w:after="120" w:before="240"/>
        <w:outlineLvl w:val="2"/>
      </w:pPr>
      <w:r>
        <w:t xml:space="preserve">Legal Tech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400" w:hRule="atLeast"/>
        </w:trPr>
        <w:tc>
          <w:tcPr>
            <w:tcW w:type="dxa" w:w="3192"/>
            <w:tcBorders>
              <w:top w:val="single" w:sz="1"/>
              <w:left w:val="single" w:sz="1"/>
              <w:bottom w:val="single" w:sz="1"/>
              <w:right w:val="single" w:sz="1"/>
            </w:tcBorders>
            <w:shd w:fill="D3D3D3" w:val="clear"/>
            <w:vAlign w:val="center"/>
          </w:tcPr>
          <w:p>
            <w:r>
              <w:t xml:space="preserve">Competitor</w:t>
            </w:r>
          </w:p>
        </w:tc>
        <w:tc>
          <w:tcPr>
            <w:tcW w:type="dxa" w:w="3192"/>
            <w:tcBorders>
              <w:top w:val="single" w:sz="1"/>
              <w:left w:val="single" w:sz="1"/>
              <w:bottom w:val="single" w:sz="1"/>
              <w:right w:val="single" w:sz="1"/>
            </w:tcBorders>
            <w:shd w:fill="D3D3D3" w:val="clear"/>
            <w:vAlign w:val="center"/>
          </w:tcPr>
          <w:p>
            <w:r>
              <w:t xml:space="preserve">Their Play</w:t>
            </w:r>
          </w:p>
        </w:tc>
        <w:tc>
          <w:tcPr>
            <w:tcW w:type="dxa" w:w="3192"/>
            <w:tcBorders>
              <w:top w:val="single" w:sz="1"/>
              <w:left w:val="single" w:sz="1"/>
              <w:bottom w:val="single" w:sz="1"/>
              <w:right w:val="single" w:sz="1"/>
            </w:tcBorders>
            <w:shd w:fill="D3D3D3" w:val="clear"/>
            <w:vAlign w:val="center"/>
          </w:tcPr>
          <w:p>
            <w:r>
              <w:t xml:space="preserve">Arkova's Differentiation</w:t>
            </w:r>
          </w:p>
        </w:tc>
      </w:tr>
      <w:tr>
        <w:tc>
          <w:tcPr>
            <w:tcW w:type="dxa" w:w="3192"/>
            <w:tcBorders>
              <w:top w:val="single" w:sz="1"/>
              <w:left w:val="single" w:sz="1"/>
              <w:bottom w:val="single" w:sz="1"/>
              <w:right w:val="single" w:sz="1"/>
            </w:tcBorders>
            <w:vAlign w:val="top"/>
          </w:tcPr>
          <w:p>
            <w:r>
              <w:t xml:space="preserve">**Harvey AI** ($11B)</w:t>
            </w:r>
          </w:p>
        </w:tc>
        <w:tc>
          <w:tcPr>
            <w:tcW w:type="dxa" w:w="3192"/>
            <w:tcBorders>
              <w:top w:val="single" w:sz="1"/>
              <w:left w:val="single" w:sz="1"/>
              <w:bottom w:val="single" w:sz="1"/>
              <w:right w:val="single" w:sz="1"/>
            </w:tcBorders>
            <w:vAlign w:val="top"/>
          </w:tcPr>
          <w:p>
            <w:r>
              <w:t xml:space="preserve">AI legal assistant; contract analysis</w:t>
            </w:r>
          </w:p>
        </w:tc>
        <w:tc>
          <w:tcPr>
            <w:tcW w:type="dxa" w:w="3192"/>
            <w:tcBorders>
              <w:top w:val="single" w:sz="1"/>
              <w:left w:val="single" w:sz="1"/>
              <w:bottom w:val="single" w:sz="1"/>
              <w:right w:val="single" w:sz="1"/>
            </w:tcBorders>
            <w:vAlign w:val="top"/>
          </w:tcPr>
          <w:p>
            <w:r>
              <w:t xml:space="preserve">Verification layer, not analysis; complementary integration</w:t>
            </w:r>
          </w:p>
        </w:tc>
      </w:tr>
      <w:tr>
        <w:tc>
          <w:tcPr>
            <w:tcW w:type="dxa" w:w="3192"/>
            <w:tcBorders>
              <w:top w:val="single" w:sz="1"/>
              <w:left w:val="single" w:sz="1"/>
              <w:bottom w:val="single" w:sz="1"/>
              <w:right w:val="single" w:sz="1"/>
            </w:tcBorders>
            <w:vAlign w:val="top"/>
          </w:tcPr>
          <w:p>
            <w:r>
              <w:t xml:space="preserve">**Ironclad** ($200M ARR)</w:t>
            </w:r>
          </w:p>
        </w:tc>
        <w:tc>
          <w:tcPr>
            <w:tcW w:type="dxa" w:w="3192"/>
            <w:tcBorders>
              <w:top w:val="single" w:sz="1"/>
              <w:left w:val="single" w:sz="1"/>
              <w:bottom w:val="single" w:sz="1"/>
              <w:right w:val="single" w:sz="1"/>
            </w:tcBorders>
            <w:vAlign w:val="top"/>
          </w:tcPr>
          <w:p>
            <w:r>
              <w:t xml:space="preserve">CLM; agentic AI agents for contracts</w:t>
            </w:r>
          </w:p>
        </w:tc>
        <w:tc>
          <w:tcPr>
            <w:tcW w:type="dxa" w:w="3192"/>
            <w:tcBorders>
              <w:top w:val="single" w:sz="1"/>
              <w:left w:val="single" w:sz="1"/>
              <w:bottom w:val="single" w:sz="1"/>
              <w:right w:val="single" w:sz="1"/>
            </w:tcBorders>
            <w:vAlign w:val="top"/>
          </w:tcPr>
          <w:p>
            <w:r>
              <w:t xml:space="preserve">Multi-jurisdictional timestamped verification; eIDAS compliance</w:t>
            </w:r>
          </w:p>
        </w:tc>
      </w:tr>
      <w:tr>
        <w:tc>
          <w:tcPr>
            <w:tcW w:type="dxa" w:w="3192"/>
            <w:tcBorders>
              <w:top w:val="single" w:sz="1"/>
              <w:left w:val="single" w:sz="1"/>
              <w:bottom w:val="single" w:sz="1"/>
              <w:right w:val="single" w:sz="1"/>
            </w:tcBorders>
            <w:vAlign w:val="top"/>
          </w:tcPr>
          <w:p>
            <w:r>
              <w:t xml:space="preserve">**DocuSign**</w:t>
            </w:r>
          </w:p>
        </w:tc>
        <w:tc>
          <w:tcPr>
            <w:tcW w:type="dxa" w:w="3192"/>
            <w:tcBorders>
              <w:top w:val="single" w:sz="1"/>
              <w:left w:val="single" w:sz="1"/>
              <w:bottom w:val="single" w:sz="1"/>
              <w:right w:val="single" w:sz="1"/>
            </w:tcBorders>
            <w:vAlign w:val="top"/>
          </w:tcPr>
          <w:p>
            <w:r>
              <w:t xml:space="preserve">30K notaries; RON market leader</w:t>
            </w:r>
          </w:p>
        </w:tc>
        <w:tc>
          <w:tcPr>
            <w:tcW w:type="dxa" w:w="3192"/>
            <w:tcBorders>
              <w:top w:val="single" w:sz="1"/>
              <w:left w:val="single" w:sz="1"/>
              <w:bottom w:val="single" w:sz="1"/>
              <w:right w:val="single" w:sz="1"/>
            </w:tcBorders>
            <w:vAlign w:val="top"/>
          </w:tcPr>
          <w:p>
            <w:r>
              <w:t xml:space="preserve">Bitcoin-backed proof of notarization vs. proprietary timestamps</w:t>
            </w:r>
          </w:p>
        </w:tc>
      </w:tr>
      <w:tr>
        <w:tc>
          <w:tcPr>
            <w:tcW w:type="dxa" w:w="3192"/>
            <w:tcBorders>
              <w:top w:val="single" w:sz="1"/>
              <w:left w:val="single" w:sz="1"/>
              <w:bottom w:val="single" w:sz="1"/>
              <w:right w:val="single" w:sz="1"/>
            </w:tcBorders>
            <w:vAlign w:val="top"/>
          </w:tcPr>
          <w:p>
            <w:r>
              <w:t xml:space="preserve">**Notarize**</w:t>
            </w:r>
          </w:p>
        </w:tc>
        <w:tc>
          <w:tcPr>
            <w:tcW w:type="dxa" w:w="3192"/>
            <w:tcBorders>
              <w:top w:val="single" w:sz="1"/>
              <w:left w:val="single" w:sz="1"/>
              <w:bottom w:val="single" w:sz="1"/>
              <w:right w:val="single" w:sz="1"/>
            </w:tcBorders>
            <w:vAlign w:val="top"/>
          </w:tcPr>
          <w:p>
            <w:r>
              <w:t xml:space="preserve">24/7 remote online notarization</w:t>
            </w:r>
          </w:p>
        </w:tc>
        <w:tc>
          <w:tcPr>
            <w:tcW w:type="dxa" w:w="3192"/>
            <w:tcBorders>
              <w:top w:val="single" w:sz="1"/>
              <w:left w:val="single" w:sz="1"/>
              <w:bottom w:val="single" w:sz="1"/>
              <w:right w:val="single" w:sz="1"/>
            </w:tcBorders>
            <w:vAlign w:val="top"/>
          </w:tcPr>
          <w:p>
            <w:r>
              <w:t xml:space="preserve">Immutable record layer underneath notarization services</w:t>
            </w:r>
          </w:p>
        </w:tc>
      </w:tr>
    </w:tbl>
    <w:p>
      <w:pPr>
        <w:spacing w:after="120"/>
      </w:pPr>
      <w:r>
        <w:rPr>
          <w:rFonts w:ascii="Arial" w:cs="Arial" w:eastAsia="Arial" w:hAnsi="Arial"/>
          <w:b/>
          <w:bCs/>
        </w:rPr>
        <w:t xml:space="preserve">Positioning:</w:t>
      </w:r>
      <w:r>
        <w:rPr>
          <w:rFonts w:ascii="Arial" w:cs="Arial" w:eastAsia="Arial" w:hAnsi="Arial"/>
        </w:rPr>
        <w:t xml:space="preserve"> "Don't just sign it — prove it existed, when it existed, verified across 30+ jurisdictions."</w:t>
      </w:r>
    </w:p>
    <w:p>
      <w:pPr>
        <w:pStyle w:val="Heading2"/>
        <w:spacing w:after="120" w:before="240"/>
        <w:outlineLvl w:val="1"/>
      </w:pPr>
      <w:r>
        <w:t xml:space="preserve">4. Conference &amp; Event Calendar</w:t>
      </w:r>
    </w:p>
    <w:p>
      <w:pPr>
        <w:pStyle w:val="Heading3"/>
        <w:spacing w:after="120" w:before="240"/>
        <w:outlineLvl w:val="2"/>
      </w:pPr>
      <w:r>
        <w:t xml:space="preserve">Tier 1 — Must Attend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rHeight w:val="400" w:hRule="atLeast"/>
        </w:trPr>
        <w:tc>
          <w:tcPr>
            <w:tcW w:type="dxa" w:w="1915"/>
            <w:tcBorders>
              <w:top w:val="single" w:sz="1"/>
              <w:left w:val="single" w:sz="1"/>
              <w:bottom w:val="single" w:sz="1"/>
              <w:right w:val="single" w:sz="1"/>
            </w:tcBorders>
            <w:shd w:fill="D3D3D3" w:val="clear"/>
            <w:vAlign w:val="center"/>
          </w:tcPr>
          <w:p>
            <w:r>
              <w:t xml:space="preserve">Event</w:t>
            </w:r>
          </w:p>
        </w:tc>
        <w:tc>
          <w:tcPr>
            <w:tcW w:type="dxa" w:w="1915"/>
            <w:tcBorders>
              <w:top w:val="single" w:sz="1"/>
              <w:left w:val="single" w:sz="1"/>
              <w:bottom w:val="single" w:sz="1"/>
              <w:right w:val="single" w:sz="1"/>
            </w:tcBorders>
            <w:shd w:fill="D3D3D3" w:val="clear"/>
            <w:vAlign w:val="center"/>
          </w:tcPr>
          <w:p>
            <w:r>
              <w:t xml:space="preserve">Dates</w:t>
            </w:r>
          </w:p>
        </w:tc>
        <w:tc>
          <w:tcPr>
            <w:tcW w:type="dxa" w:w="1915"/>
            <w:tcBorders>
              <w:top w:val="single" w:sz="1"/>
              <w:left w:val="single" w:sz="1"/>
              <w:bottom w:val="single" w:sz="1"/>
              <w:right w:val="single" w:sz="1"/>
            </w:tcBorders>
            <w:shd w:fill="D3D3D3" w:val="clear"/>
            <w:vAlign w:val="center"/>
          </w:tcPr>
          <w:p>
            <w:r>
              <w:t xml:space="preserve">Location</w:t>
            </w:r>
          </w:p>
        </w:tc>
        <w:tc>
          <w:tcPr>
            <w:tcW w:type="dxa" w:w="1915"/>
            <w:tcBorders>
              <w:top w:val="single" w:sz="1"/>
              <w:left w:val="single" w:sz="1"/>
              <w:bottom w:val="single" w:sz="1"/>
              <w:right w:val="single" w:sz="1"/>
            </w:tcBorders>
            <w:shd w:fill="D3D3D3" w:val="clear"/>
            <w:vAlign w:val="center"/>
          </w:tcPr>
          <w:p>
            <w:r>
              <w:t xml:space="preserve">Target Audience</w:t>
            </w:r>
          </w:p>
        </w:tc>
        <w:tc>
          <w:tcPr>
            <w:tcW w:type="dxa" w:w="1915"/>
            <w:tcBorders>
              <w:top w:val="single" w:sz="1"/>
              <w:left w:val="single" w:sz="1"/>
              <w:bottom w:val="single" w:sz="1"/>
              <w:right w:val="single" w:sz="1"/>
            </w:tcBorders>
            <w:shd w:fill="D3D3D3" w:val="clear"/>
            <w:vAlign w:val="center"/>
          </w:tcPr>
          <w:p>
            <w:r>
              <w:t xml:space="preserve">Action</w:t>
            </w:r>
          </w:p>
        </w:tc>
      </w:tr>
      <w:tr>
        <w:tc>
          <w:tcPr>
            <w:tcW w:type="dxa" w:w="1915"/>
            <w:tcBorders>
              <w:top w:val="single" w:sz="1"/>
              <w:left w:val="single" w:sz="1"/>
              <w:bottom w:val="single" w:sz="1"/>
              <w:right w:val="single" w:sz="1"/>
            </w:tcBorders>
            <w:vAlign w:val="top"/>
          </w:tcPr>
          <w:p>
            <w:r>
              <w:t xml:space="preserve">**AACRAO 111th Annual Meeting**</w:t>
            </w:r>
          </w:p>
        </w:tc>
        <w:tc>
          <w:tcPr>
            <w:tcW w:type="dxa" w:w="1915"/>
            <w:tcBorders>
              <w:top w:val="single" w:sz="1"/>
              <w:left w:val="single" w:sz="1"/>
              <w:bottom w:val="single" w:sz="1"/>
              <w:right w:val="single" w:sz="1"/>
            </w:tcBorders>
            <w:vAlign w:val="top"/>
          </w:tcPr>
          <w:p>
            <w:r>
              <w:t xml:space="preserve">Apr 19-22, 2026</w:t>
            </w:r>
          </w:p>
        </w:tc>
        <w:tc>
          <w:tcPr>
            <w:tcW w:type="dxa" w:w="1915"/>
            <w:tcBorders>
              <w:top w:val="single" w:sz="1"/>
              <w:left w:val="single" w:sz="1"/>
              <w:bottom w:val="single" w:sz="1"/>
              <w:right w:val="single" w:sz="1"/>
            </w:tcBorders>
            <w:vAlign w:val="top"/>
          </w:tcPr>
          <w:p>
            <w:r>
              <w:t xml:space="preserve">New Orleans</w:t>
            </w:r>
          </w:p>
        </w:tc>
        <w:tc>
          <w:tcPr>
            <w:tcW w:type="dxa" w:w="1915"/>
            <w:tcBorders>
              <w:top w:val="single" w:sz="1"/>
              <w:left w:val="single" w:sz="1"/>
              <w:bottom w:val="single" w:sz="1"/>
              <w:right w:val="single" w:sz="1"/>
            </w:tcBorders>
            <w:vAlign w:val="top"/>
          </w:tcPr>
          <w:p>
            <w:r>
              <w:t xml:space="preserve">University registrars; credential leaders</w:t>
            </w:r>
          </w:p>
        </w:tc>
        <w:tc>
          <w:tcPr>
            <w:tcW w:type="dxa" w:w="1915"/>
            <w:tcBorders>
              <w:top w:val="single" w:sz="1"/>
              <w:left w:val="single" w:sz="1"/>
              <w:bottom w:val="single" w:sz="1"/>
              <w:right w:val="single" w:sz="1"/>
            </w:tcBorders>
            <w:vAlign w:val="top"/>
          </w:tcPr>
          <w:p>
            <w:r>
              <w:t xml:space="preserve">Attend workshop "Developing Digital Credentials"; demo to registrars</w:t>
            </w:r>
          </w:p>
        </w:tc>
      </w:tr>
      <w:tr>
        <w:tc>
          <w:tcPr>
            <w:tcW w:type="dxa" w:w="1915"/>
            <w:tcBorders>
              <w:top w:val="single" w:sz="1"/>
              <w:left w:val="single" w:sz="1"/>
              <w:bottom w:val="single" w:sz="1"/>
              <w:right w:val="single" w:sz="1"/>
            </w:tcBorders>
            <w:vAlign w:val="top"/>
          </w:tcPr>
          <w:p>
            <w:r>
              <w:t xml:space="preserve">**Global RegTech Summit**</w:t>
            </w:r>
          </w:p>
        </w:tc>
        <w:tc>
          <w:tcPr>
            <w:tcW w:type="dxa" w:w="1915"/>
            <w:tcBorders>
              <w:top w:val="single" w:sz="1"/>
              <w:left w:val="single" w:sz="1"/>
              <w:bottom w:val="single" w:sz="1"/>
              <w:right w:val="single" w:sz="1"/>
            </w:tcBorders>
            <w:vAlign w:val="top"/>
          </w:tcPr>
          <w:p>
            <w:r>
              <w:t xml:space="preserve">May 20, 2026</w:t>
            </w:r>
          </w:p>
        </w:tc>
        <w:tc>
          <w:tcPr>
            <w:tcW w:type="dxa" w:w="1915"/>
            <w:tcBorders>
              <w:top w:val="single" w:sz="1"/>
              <w:left w:val="single" w:sz="1"/>
              <w:bottom w:val="single" w:sz="1"/>
              <w:right w:val="single" w:sz="1"/>
            </w:tcBorders>
            <w:vAlign w:val="top"/>
          </w:tcPr>
          <w:p>
            <w:r>
              <w:t xml:space="preserve">London</w:t>
            </w:r>
          </w:p>
        </w:tc>
        <w:tc>
          <w:tcPr>
            <w:tcW w:type="dxa" w:w="1915"/>
            <w:tcBorders>
              <w:top w:val="single" w:sz="1"/>
              <w:left w:val="single" w:sz="1"/>
              <w:bottom w:val="single" w:sz="1"/>
              <w:right w:val="single" w:sz="1"/>
            </w:tcBorders>
            <w:vAlign w:val="top"/>
          </w:tcPr>
          <w:p>
            <w:r>
              <w:t xml:space="preserve">RegTech buyers/sellers</w:t>
            </w:r>
          </w:p>
        </w:tc>
        <w:tc>
          <w:tcPr>
            <w:tcW w:type="dxa" w:w="1915"/>
            <w:tcBorders>
              <w:top w:val="single" w:sz="1"/>
              <w:left w:val="single" w:sz="1"/>
              <w:bottom w:val="single" w:sz="1"/>
              <w:right w:val="single" w:sz="1"/>
            </w:tcBorders>
            <w:vAlign w:val="top"/>
          </w:tcPr>
          <w:p>
            <w:r>
              <w:t xml:space="preserve">Sponsor/exhibit; competitor intelligence</w:t>
            </w:r>
          </w:p>
        </w:tc>
      </w:tr>
      <w:tr>
        <w:tc>
          <w:tcPr>
            <w:tcW w:type="dxa" w:w="1915"/>
            <w:tcBorders>
              <w:top w:val="single" w:sz="1"/>
              <w:left w:val="single" w:sz="1"/>
              <w:bottom w:val="single" w:sz="1"/>
              <w:right w:val="single" w:sz="1"/>
            </w:tcBorders>
            <w:vAlign w:val="top"/>
          </w:tcPr>
          <w:p>
            <w:r>
              <w:t xml:space="preserve">**Interrupt 2026 (LangChain)**</w:t>
            </w:r>
          </w:p>
        </w:tc>
        <w:tc>
          <w:tcPr>
            <w:tcW w:type="dxa" w:w="1915"/>
            <w:tcBorders>
              <w:top w:val="single" w:sz="1"/>
              <w:left w:val="single" w:sz="1"/>
              <w:bottom w:val="single" w:sz="1"/>
              <w:right w:val="single" w:sz="1"/>
            </w:tcBorders>
            <w:vAlign w:val="top"/>
          </w:tcPr>
          <w:p>
            <w:r>
              <w:t xml:space="preserve">May 13-14, 2026</w:t>
            </w:r>
          </w:p>
        </w:tc>
        <w:tc>
          <w:tcPr>
            <w:tcW w:type="dxa" w:w="1915"/>
            <w:tcBorders>
              <w:top w:val="single" w:sz="1"/>
              <w:left w:val="single" w:sz="1"/>
              <w:bottom w:val="single" w:sz="1"/>
              <w:right w:val="single" w:sz="1"/>
            </w:tcBorders>
            <w:vAlign w:val="top"/>
          </w:tcPr>
          <w:p>
            <w:r>
              <w:t xml:space="preserve">San Francisco</w:t>
            </w:r>
          </w:p>
        </w:tc>
        <w:tc>
          <w:tcPr>
            <w:tcW w:type="dxa" w:w="1915"/>
            <w:tcBorders>
              <w:top w:val="single" w:sz="1"/>
              <w:left w:val="single" w:sz="1"/>
              <w:bottom w:val="single" w:sz="1"/>
              <w:right w:val="single" w:sz="1"/>
            </w:tcBorders>
            <w:vAlign w:val="top"/>
          </w:tcPr>
          <w:p>
            <w:r>
              <w:t xml:space="preserve">Agent developers</w:t>
            </w:r>
          </w:p>
        </w:tc>
        <w:tc>
          <w:tcPr>
            <w:tcW w:type="dxa" w:w="1915"/>
            <w:tcBorders>
              <w:top w:val="single" w:sz="1"/>
              <w:left w:val="single" w:sz="1"/>
              <w:bottom w:val="single" w:sz="1"/>
              <w:right w:val="single" w:sz="1"/>
            </w:tcBorders>
            <w:vAlign w:val="top"/>
          </w:tcPr>
          <w:p>
            <w:r>
              <w:t xml:space="preserve">Workshop on verification tools; MCP server demo</w:t>
            </w:r>
          </w:p>
        </w:tc>
      </w:tr>
      <w:tr>
        <w:tc>
          <w:tcPr>
            <w:tcW w:type="dxa" w:w="1915"/>
            <w:tcBorders>
              <w:top w:val="single" w:sz="1"/>
              <w:left w:val="single" w:sz="1"/>
              <w:bottom w:val="single" w:sz="1"/>
              <w:right w:val="single" w:sz="1"/>
            </w:tcBorders>
            <w:vAlign w:val="top"/>
          </w:tcPr>
          <w:p>
            <w:r>
              <w:t xml:space="preserve">**Money20/20 Europe**</w:t>
            </w:r>
          </w:p>
        </w:tc>
        <w:tc>
          <w:tcPr>
            <w:tcW w:type="dxa" w:w="1915"/>
            <w:tcBorders>
              <w:top w:val="single" w:sz="1"/>
              <w:left w:val="single" w:sz="1"/>
              <w:bottom w:val="single" w:sz="1"/>
              <w:right w:val="single" w:sz="1"/>
            </w:tcBorders>
            <w:vAlign w:val="top"/>
          </w:tcPr>
          <w:p>
            <w:r>
              <w:t xml:space="preserve">Jun 2-4, 2026</w:t>
            </w:r>
          </w:p>
        </w:tc>
        <w:tc>
          <w:tcPr>
            <w:tcW w:type="dxa" w:w="1915"/>
            <w:tcBorders>
              <w:top w:val="single" w:sz="1"/>
              <w:left w:val="single" w:sz="1"/>
              <w:bottom w:val="single" w:sz="1"/>
              <w:right w:val="single" w:sz="1"/>
            </w:tcBorders>
            <w:vAlign w:val="top"/>
          </w:tcPr>
          <w:p>
            <w:r>
              <w:t xml:space="preserve">Amsterdam</w:t>
            </w:r>
          </w:p>
        </w:tc>
        <w:tc>
          <w:tcPr>
            <w:tcW w:type="dxa" w:w="1915"/>
            <w:tcBorders>
              <w:top w:val="single" w:sz="1"/>
              <w:left w:val="single" w:sz="1"/>
              <w:bottom w:val="single" w:sz="1"/>
              <w:right w:val="single" w:sz="1"/>
            </w:tcBorders>
            <w:vAlign w:val="top"/>
          </w:tcPr>
          <w:p>
            <w:r>
              <w:t xml:space="preserve">Fintech/compliance</w:t>
            </w:r>
          </w:p>
        </w:tc>
        <w:tc>
          <w:tcPr>
            <w:tcW w:type="dxa" w:w="1915"/>
            <w:tcBorders>
              <w:top w:val="single" w:sz="1"/>
              <w:left w:val="single" w:sz="1"/>
              <w:bottom w:val="single" w:sz="1"/>
              <w:right w:val="single" w:sz="1"/>
            </w:tcBorders>
            <w:vAlign w:val="top"/>
          </w:tcPr>
          <w:p>
            <w:r>
              <w:t xml:space="preserve">European compliance positioning; eIDAS 2.0 messaging</w:t>
            </w:r>
          </w:p>
        </w:tc>
      </w:tr>
      <w:tr>
        <w:tc>
          <w:tcPr>
            <w:tcW w:type="dxa" w:w="1915"/>
            <w:tcBorders>
              <w:top w:val="single" w:sz="1"/>
              <w:left w:val="single" w:sz="1"/>
              <w:bottom w:val="single" w:sz="1"/>
              <w:right w:val="single" w:sz="1"/>
            </w:tcBorders>
            <w:vAlign w:val="top"/>
          </w:tcPr>
          <w:p>
            <w:r>
              <w:t xml:space="preserve">**Sibos 2026**</w:t>
            </w:r>
          </w:p>
        </w:tc>
        <w:tc>
          <w:tcPr>
            <w:tcW w:type="dxa" w:w="1915"/>
            <w:tcBorders>
              <w:top w:val="single" w:sz="1"/>
              <w:left w:val="single" w:sz="1"/>
              <w:bottom w:val="single" w:sz="1"/>
              <w:right w:val="single" w:sz="1"/>
            </w:tcBorders>
            <w:vAlign w:val="top"/>
          </w:tcPr>
          <w:p>
            <w:r>
              <w:t xml:space="preserve">Sep 28-Oct 1, 2026</w:t>
            </w:r>
          </w:p>
        </w:tc>
        <w:tc>
          <w:tcPr>
            <w:tcW w:type="dxa" w:w="1915"/>
            <w:tcBorders>
              <w:top w:val="single" w:sz="1"/>
              <w:left w:val="single" w:sz="1"/>
              <w:bottom w:val="single" w:sz="1"/>
              <w:right w:val="single" w:sz="1"/>
            </w:tcBorders>
            <w:vAlign w:val="top"/>
          </w:tcPr>
          <w:p>
            <w:r>
              <w:t xml:space="preserve">Miami Beach</w:t>
            </w:r>
          </w:p>
        </w:tc>
        <w:tc>
          <w:tcPr>
            <w:tcW w:type="dxa" w:w="1915"/>
            <w:tcBorders>
              <w:top w:val="single" w:sz="1"/>
              <w:left w:val="single" w:sz="1"/>
              <w:bottom w:val="single" w:sz="1"/>
              <w:right w:val="single" w:sz="1"/>
            </w:tcBorders>
            <w:vAlign w:val="top"/>
          </w:tcPr>
          <w:p>
            <w:r>
              <w:t xml:space="preserve">Global banking infrastructure</w:t>
            </w:r>
          </w:p>
        </w:tc>
        <w:tc>
          <w:tcPr>
            <w:tcW w:type="dxa" w:w="1915"/>
            <w:tcBorders>
              <w:top w:val="single" w:sz="1"/>
              <w:left w:val="single" w:sz="1"/>
              <w:bottom w:val="single" w:sz="1"/>
              <w:right w:val="single" w:sz="1"/>
            </w:tcBorders>
            <w:vAlign w:val="top"/>
          </w:tcPr>
          <w:p>
            <w:r>
              <w:t xml:space="preserve">Enterprise compliance; first time in USA = high US attendance</w:t>
            </w:r>
          </w:p>
        </w:tc>
      </w:tr>
      <w:tr>
        <w:tc>
          <w:tcPr>
            <w:tcW w:type="dxa" w:w="1915"/>
            <w:tcBorders>
              <w:top w:val="single" w:sz="1"/>
              <w:left w:val="single" w:sz="1"/>
              <w:bottom w:val="single" w:sz="1"/>
              <w:right w:val="single" w:sz="1"/>
            </w:tcBorders>
            <w:vAlign w:val="top"/>
          </w:tcPr>
          <w:p>
            <w:r>
              <w:t xml:space="preserve">**EDUCAUSE Annual**</w:t>
            </w:r>
          </w:p>
        </w:tc>
        <w:tc>
          <w:tcPr>
            <w:tcW w:type="dxa" w:w="1915"/>
            <w:tcBorders>
              <w:top w:val="single" w:sz="1"/>
              <w:left w:val="single" w:sz="1"/>
              <w:bottom w:val="single" w:sz="1"/>
              <w:right w:val="single" w:sz="1"/>
            </w:tcBorders>
            <w:vAlign w:val="top"/>
          </w:tcPr>
          <w:p>
            <w:r>
              <w:t xml:space="preserve">Sep 29-Oct 2, 2026</w:t>
            </w:r>
          </w:p>
        </w:tc>
        <w:tc>
          <w:tcPr>
            <w:tcW w:type="dxa" w:w="1915"/>
            <w:tcBorders>
              <w:top w:val="single" w:sz="1"/>
              <w:left w:val="single" w:sz="1"/>
              <w:bottom w:val="single" w:sz="1"/>
              <w:right w:val="single" w:sz="1"/>
            </w:tcBorders>
            <w:vAlign w:val="top"/>
          </w:tcPr>
          <w:p>
            <w:r>
              <w:t xml:space="preserve">Denver</w:t>
            </w:r>
          </w:p>
        </w:tc>
        <w:tc>
          <w:tcPr>
            <w:tcW w:type="dxa" w:w="1915"/>
            <w:tcBorders>
              <w:top w:val="single" w:sz="1"/>
              <w:left w:val="single" w:sz="1"/>
              <w:bottom w:val="single" w:sz="1"/>
              <w:right w:val="single" w:sz="1"/>
            </w:tcBorders>
            <w:vAlign w:val="top"/>
          </w:tcPr>
          <w:p>
            <w:r>
              <w:t xml:space="preserve">Higher ed IT leaders</w:t>
            </w:r>
          </w:p>
        </w:tc>
        <w:tc>
          <w:tcPr>
            <w:tcW w:type="dxa" w:w="1915"/>
            <w:tcBorders>
              <w:top w:val="single" w:sz="1"/>
              <w:left w:val="single" w:sz="1"/>
              <w:bottom w:val="single" w:sz="1"/>
              <w:right w:val="single" w:sz="1"/>
            </w:tcBorders>
            <w:vAlign w:val="top"/>
          </w:tcPr>
          <w:p>
            <w:r>
              <w:t xml:space="preserve">Digital credentials track; campus-wide verification</w:t>
            </w:r>
          </w:p>
        </w:tc>
      </w:tr>
      <w:tr>
        <w:tc>
          <w:tcPr>
            <w:tcW w:type="dxa" w:w="1915"/>
            <w:tcBorders>
              <w:top w:val="single" w:sz="1"/>
              <w:left w:val="single" w:sz="1"/>
              <w:bottom w:val="single" w:sz="1"/>
              <w:right w:val="single" w:sz="1"/>
            </w:tcBorders>
            <w:vAlign w:val="top"/>
          </w:tcPr>
          <w:p>
            <w:r>
              <w:t xml:space="preserve">**Money20/20 USA**</w:t>
            </w:r>
          </w:p>
        </w:tc>
        <w:tc>
          <w:tcPr>
            <w:tcW w:type="dxa" w:w="1915"/>
            <w:tcBorders>
              <w:top w:val="single" w:sz="1"/>
              <w:left w:val="single" w:sz="1"/>
              <w:bottom w:val="single" w:sz="1"/>
              <w:right w:val="single" w:sz="1"/>
            </w:tcBorders>
            <w:vAlign w:val="top"/>
          </w:tcPr>
          <w:p>
            <w:r>
              <w:t xml:space="preserve">Oct 18-21, 2026</w:t>
            </w:r>
          </w:p>
        </w:tc>
        <w:tc>
          <w:tcPr>
            <w:tcW w:type="dxa" w:w="1915"/>
            <w:tcBorders>
              <w:top w:val="single" w:sz="1"/>
              <w:left w:val="single" w:sz="1"/>
              <w:bottom w:val="single" w:sz="1"/>
              <w:right w:val="single" w:sz="1"/>
            </w:tcBorders>
            <w:vAlign w:val="top"/>
          </w:tcPr>
          <w:p>
            <w:r>
              <w:t xml:space="preserve">Las Vegas</w:t>
            </w:r>
          </w:p>
        </w:tc>
        <w:tc>
          <w:tcPr>
            <w:tcW w:type="dxa" w:w="1915"/>
            <w:tcBorders>
              <w:top w:val="single" w:sz="1"/>
              <w:left w:val="single" w:sz="1"/>
              <w:bottom w:val="single" w:sz="1"/>
              <w:right w:val="single" w:sz="1"/>
            </w:tcBorders>
            <w:vAlign w:val="top"/>
          </w:tcPr>
          <w:p>
            <w:r>
              <w:t xml:space="preserve">11,000 fintech/compliance</w:t>
            </w:r>
          </w:p>
        </w:tc>
        <w:tc>
          <w:tcPr>
            <w:tcW w:type="dxa" w:w="1915"/>
            <w:tcBorders>
              <w:top w:val="single" w:sz="1"/>
              <w:left w:val="single" w:sz="1"/>
              <w:bottom w:val="single" w:sz="1"/>
              <w:right w:val="single" w:sz="1"/>
            </w:tcBorders>
            <w:vAlign w:val="top"/>
          </w:tcPr>
          <w:p>
            <w:r>
              <w:t xml:space="preserve">Largest fintech event; B2B RegTech pitch</w:t>
            </w:r>
          </w:p>
        </w:tc>
      </w:tr>
    </w:tbl>
    <w:p>
      <w:pPr>
        <w:pStyle w:val="Heading3"/>
        <w:spacing w:after="120" w:before="240"/>
        <w:outlineLvl w:val="2"/>
      </w:pPr>
      <w:r>
        <w:t xml:space="preserve">Tier 2 — High Value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tLeast"/>
        </w:trPr>
        <w:tc>
          <w:tcPr>
            <w:tcW w:type="dxa" w:w="2394"/>
            <w:tcBorders>
              <w:top w:val="single" w:sz="1"/>
              <w:left w:val="single" w:sz="1"/>
              <w:bottom w:val="single" w:sz="1"/>
              <w:right w:val="single" w:sz="1"/>
            </w:tcBorders>
            <w:shd w:fill="D3D3D3" w:val="clear"/>
            <w:vAlign w:val="center"/>
          </w:tcPr>
          <w:p>
            <w:r>
              <w:t xml:space="preserve">Event</w:t>
            </w:r>
          </w:p>
        </w:tc>
        <w:tc>
          <w:tcPr>
            <w:tcW w:type="dxa" w:w="2394"/>
            <w:tcBorders>
              <w:top w:val="single" w:sz="1"/>
              <w:left w:val="single" w:sz="1"/>
              <w:bottom w:val="single" w:sz="1"/>
              <w:right w:val="single" w:sz="1"/>
            </w:tcBorders>
            <w:shd w:fill="D3D3D3" w:val="clear"/>
            <w:vAlign w:val="center"/>
          </w:tcPr>
          <w:p>
            <w:r>
              <w:t xml:space="preserve">Dates</w:t>
            </w:r>
          </w:p>
        </w:tc>
        <w:tc>
          <w:tcPr>
            <w:tcW w:type="dxa" w:w="2394"/>
            <w:tcBorders>
              <w:top w:val="single" w:sz="1"/>
              <w:left w:val="single" w:sz="1"/>
              <w:bottom w:val="single" w:sz="1"/>
              <w:right w:val="single" w:sz="1"/>
            </w:tcBorders>
            <w:shd w:fill="D3D3D3" w:val="clear"/>
            <w:vAlign w:val="center"/>
          </w:tcPr>
          <w:p>
            <w:r>
              <w:t xml:space="preserve">Location</w:t>
            </w:r>
          </w:p>
        </w:tc>
        <w:tc>
          <w:tcPr>
            <w:tcW w:type="dxa" w:w="2394"/>
            <w:tcBorders>
              <w:top w:val="single" w:sz="1"/>
              <w:left w:val="single" w:sz="1"/>
              <w:bottom w:val="single" w:sz="1"/>
              <w:right w:val="single" w:sz="1"/>
            </w:tcBorders>
            <w:shd w:fill="D3D3D3" w:val="clear"/>
            <w:vAlign w:val="center"/>
          </w:tcPr>
          <w:p>
            <w:r>
              <w:t xml:space="preserve">Target Audience</w:t>
            </w:r>
          </w:p>
        </w:tc>
      </w:tr>
      <w:tr>
        <w:tc>
          <w:tcPr>
            <w:tcW w:type="dxa" w:w="2394"/>
            <w:tcBorders>
              <w:top w:val="single" w:sz="1"/>
              <w:left w:val="single" w:sz="1"/>
              <w:bottom w:val="single" w:sz="1"/>
              <w:right w:val="single" w:sz="1"/>
            </w:tcBorders>
            <w:vAlign w:val="top"/>
          </w:tcPr>
          <w:p>
            <w:r>
              <w:t xml:space="preserve">**ABA TECHSHOW**</w:t>
            </w:r>
          </w:p>
        </w:tc>
        <w:tc>
          <w:tcPr>
            <w:tcW w:type="dxa" w:w="2394"/>
            <w:tcBorders>
              <w:top w:val="single" w:sz="1"/>
              <w:left w:val="single" w:sz="1"/>
              <w:bottom w:val="single" w:sz="1"/>
              <w:right w:val="single" w:sz="1"/>
            </w:tcBorders>
            <w:vAlign w:val="top"/>
          </w:tcPr>
          <w:p>
            <w:r>
              <w:t xml:space="preserve">Mar 25-28, 2026</w:t>
            </w:r>
          </w:p>
        </w:tc>
        <w:tc>
          <w:tcPr>
            <w:tcW w:type="dxa" w:w="2394"/>
            <w:tcBorders>
              <w:top w:val="single" w:sz="1"/>
              <w:left w:val="single" w:sz="1"/>
              <w:bottom w:val="single" w:sz="1"/>
              <w:right w:val="single" w:sz="1"/>
            </w:tcBorders>
            <w:vAlign w:val="top"/>
          </w:tcPr>
          <w:p>
            <w:r>
              <w:t xml:space="preserve">Chicago</w:t>
            </w:r>
          </w:p>
        </w:tc>
        <w:tc>
          <w:tcPr>
            <w:tcW w:type="dxa" w:w="2394"/>
            <w:tcBorders>
              <w:top w:val="single" w:sz="1"/>
              <w:left w:val="single" w:sz="1"/>
              <w:bottom w:val="single" w:sz="1"/>
              <w:right w:val="single" w:sz="1"/>
            </w:tcBorders>
            <w:vAlign w:val="top"/>
          </w:tcPr>
          <w:p>
            <w:r>
              <w:t xml:space="preserve">Law firm CTOs/tech buyers</w:t>
            </w:r>
          </w:p>
        </w:tc>
      </w:tr>
      <w:tr>
        <w:tc>
          <w:tcPr>
            <w:tcW w:type="dxa" w:w="2394"/>
            <w:tcBorders>
              <w:top w:val="single" w:sz="1"/>
              <w:left w:val="single" w:sz="1"/>
              <w:bottom w:val="single" w:sz="1"/>
              <w:right w:val="single" w:sz="1"/>
            </w:tcBorders>
            <w:vAlign w:val="top"/>
          </w:tcPr>
          <w:p>
            <w:r>
              <w:t xml:space="preserve">**EDUCAUSE Cybersecurity &amp; Privacy**</w:t>
            </w:r>
          </w:p>
        </w:tc>
        <w:tc>
          <w:tcPr>
            <w:tcW w:type="dxa" w:w="2394"/>
            <w:tcBorders>
              <w:top w:val="single" w:sz="1"/>
              <w:left w:val="single" w:sz="1"/>
              <w:bottom w:val="single" w:sz="1"/>
              <w:right w:val="single" w:sz="1"/>
            </w:tcBorders>
            <w:vAlign w:val="top"/>
          </w:tcPr>
          <w:p>
            <w:r>
              <w:t xml:space="preserve">Apr 28-30, 2026</w:t>
            </w:r>
          </w:p>
        </w:tc>
        <w:tc>
          <w:tcPr>
            <w:tcW w:type="dxa" w:w="2394"/>
            <w:tcBorders>
              <w:top w:val="single" w:sz="1"/>
              <w:left w:val="single" w:sz="1"/>
              <w:bottom w:val="single" w:sz="1"/>
              <w:right w:val="single" w:sz="1"/>
            </w:tcBorders>
            <w:vAlign w:val="top"/>
          </w:tcPr>
          <w:p>
            <w:r>
              <w:t xml:space="preserve">Anaheim</w:t>
            </w:r>
          </w:p>
        </w:tc>
        <w:tc>
          <w:tcPr>
            <w:tcW w:type="dxa" w:w="2394"/>
            <w:tcBorders>
              <w:top w:val="single" w:sz="1"/>
              <w:left w:val="single" w:sz="1"/>
              <w:bottom w:val="single" w:sz="1"/>
              <w:right w:val="single" w:sz="1"/>
            </w:tcBorders>
            <w:vAlign w:val="top"/>
          </w:tcPr>
          <w:p>
            <w:r>
              <w:t xml:space="preserve">Higher ed security/privacy</w:t>
            </w:r>
          </w:p>
        </w:tc>
      </w:tr>
      <w:tr>
        <w:tc>
          <w:tcPr>
            <w:tcW w:type="dxa" w:w="2394"/>
            <w:tcBorders>
              <w:top w:val="single" w:sz="1"/>
              <w:left w:val="single" w:sz="1"/>
              <w:bottom w:val="single" w:sz="1"/>
              <w:right w:val="single" w:sz="1"/>
            </w:tcBorders>
            <w:vAlign w:val="top"/>
          </w:tcPr>
          <w:p>
            <w:r>
              <w:t xml:space="preserve">**AI Dev 26 (Andrew Ng)**</w:t>
            </w:r>
          </w:p>
        </w:tc>
        <w:tc>
          <w:tcPr>
            <w:tcW w:type="dxa" w:w="2394"/>
            <w:tcBorders>
              <w:top w:val="single" w:sz="1"/>
              <w:left w:val="single" w:sz="1"/>
              <w:bottom w:val="single" w:sz="1"/>
              <w:right w:val="single" w:sz="1"/>
            </w:tcBorders>
            <w:vAlign w:val="top"/>
          </w:tcPr>
          <w:p>
            <w:r>
              <w:t xml:space="preserve">Apr 28-29, 2026</w:t>
            </w:r>
          </w:p>
        </w:tc>
        <w:tc>
          <w:tcPr>
            <w:tcW w:type="dxa" w:w="2394"/>
            <w:tcBorders>
              <w:top w:val="single" w:sz="1"/>
              <w:left w:val="single" w:sz="1"/>
              <w:bottom w:val="single" w:sz="1"/>
              <w:right w:val="single" w:sz="1"/>
            </w:tcBorders>
            <w:vAlign w:val="top"/>
          </w:tcPr>
          <w:p>
            <w:r>
              <w:t xml:space="preserve">San Francisco</w:t>
            </w:r>
          </w:p>
        </w:tc>
        <w:tc>
          <w:tcPr>
            <w:tcW w:type="dxa" w:w="2394"/>
            <w:tcBorders>
              <w:top w:val="single" w:sz="1"/>
              <w:left w:val="single" w:sz="1"/>
              <w:bottom w:val="single" w:sz="1"/>
              <w:right w:val="single" w:sz="1"/>
            </w:tcBorders>
            <w:vAlign w:val="top"/>
          </w:tcPr>
          <w:p>
            <w:r>
              <w:t xml:space="preserve">AI developers; agent builders</w:t>
            </w:r>
          </w:p>
        </w:tc>
      </w:tr>
      <w:tr>
        <w:tc>
          <w:tcPr>
            <w:tcW w:type="dxa" w:w="2394"/>
            <w:tcBorders>
              <w:top w:val="single" w:sz="1"/>
              <w:left w:val="single" w:sz="1"/>
              <w:bottom w:val="single" w:sz="1"/>
              <w:right w:val="single" w:sz="1"/>
            </w:tcBorders>
            <w:vAlign w:val="top"/>
          </w:tcPr>
          <w:p>
            <w:r>
              <w:t xml:space="preserve">**AI Agents Conference**</w:t>
            </w:r>
          </w:p>
        </w:tc>
        <w:tc>
          <w:tcPr>
            <w:tcW w:type="dxa" w:w="2394"/>
            <w:tcBorders>
              <w:top w:val="single" w:sz="1"/>
              <w:left w:val="single" w:sz="1"/>
              <w:bottom w:val="single" w:sz="1"/>
              <w:right w:val="single" w:sz="1"/>
            </w:tcBorders>
            <w:vAlign w:val="top"/>
          </w:tcPr>
          <w:p>
            <w:r>
              <w:t xml:space="preserve">Apr 26-30, 2026</w:t>
            </w:r>
          </w:p>
        </w:tc>
        <w:tc>
          <w:tcPr>
            <w:tcW w:type="dxa" w:w="2394"/>
            <w:tcBorders>
              <w:top w:val="single" w:sz="1"/>
              <w:left w:val="single" w:sz="1"/>
              <w:bottom w:val="single" w:sz="1"/>
              <w:right w:val="single" w:sz="1"/>
            </w:tcBorders>
            <w:vAlign w:val="top"/>
          </w:tcPr>
          <w:p>
            <w:r>
              <w:t xml:space="preserve">Virtual</w:t>
            </w:r>
          </w:p>
        </w:tc>
        <w:tc>
          <w:tcPr>
            <w:tcW w:type="dxa" w:w="2394"/>
            <w:tcBorders>
              <w:top w:val="single" w:sz="1"/>
              <w:left w:val="single" w:sz="1"/>
              <w:bottom w:val="single" w:sz="1"/>
              <w:right w:val="single" w:sz="1"/>
            </w:tcBorders>
            <w:vAlign w:val="top"/>
          </w:tcPr>
          <w:p>
            <w:r>
              <w:t xml:space="preserve">Agent developers</w:t>
            </w:r>
          </w:p>
        </w:tc>
      </w:tr>
      <w:tr>
        <w:tc>
          <w:tcPr>
            <w:tcW w:type="dxa" w:w="2394"/>
            <w:tcBorders>
              <w:top w:val="single" w:sz="1"/>
              <w:left w:val="single" w:sz="1"/>
              <w:bottom w:val="single" w:sz="1"/>
              <w:right w:val="single" w:sz="1"/>
            </w:tcBorders>
            <w:vAlign w:val="top"/>
          </w:tcPr>
          <w:p>
            <w:r>
              <w:t xml:space="preserve">**RegTech Data Summit**</w:t>
            </w:r>
          </w:p>
        </w:tc>
        <w:tc>
          <w:tcPr>
            <w:tcW w:type="dxa" w:w="2394"/>
            <w:tcBorders>
              <w:top w:val="single" w:sz="1"/>
              <w:left w:val="single" w:sz="1"/>
              <w:bottom w:val="single" w:sz="1"/>
              <w:right w:val="single" w:sz="1"/>
            </w:tcBorders>
            <w:vAlign w:val="top"/>
          </w:tcPr>
          <w:p>
            <w:r>
              <w:t xml:space="preserve">Jun 4, 2026</w:t>
            </w:r>
          </w:p>
        </w:tc>
        <w:tc>
          <w:tcPr>
            <w:tcW w:type="dxa" w:w="2394"/>
            <w:tcBorders>
              <w:top w:val="single" w:sz="1"/>
              <w:left w:val="single" w:sz="1"/>
              <w:bottom w:val="single" w:sz="1"/>
              <w:right w:val="single" w:sz="1"/>
            </w:tcBorders>
            <w:vAlign w:val="top"/>
          </w:tcPr>
          <w:p>
            <w:r>
              <w:t xml:space="preserve">Washington, DC</w:t>
            </w:r>
          </w:p>
        </w:tc>
        <w:tc>
          <w:tcPr>
            <w:tcW w:type="dxa" w:w="2394"/>
            <w:tcBorders>
              <w:top w:val="single" w:sz="1"/>
              <w:left w:val="single" w:sz="1"/>
              <w:bottom w:val="single" w:sz="1"/>
              <w:right w:val="single" w:sz="1"/>
            </w:tcBorders>
            <w:vAlign w:val="top"/>
          </w:tcPr>
          <w:p>
            <w:r>
              <w:t xml:space="preserve">Government/regulatory affairs</w:t>
            </w:r>
          </w:p>
        </w:tc>
      </w:tr>
      <w:tr>
        <w:tc>
          <w:tcPr>
            <w:tcW w:type="dxa" w:w="2394"/>
            <w:tcBorders>
              <w:top w:val="single" w:sz="1"/>
              <w:left w:val="single" w:sz="1"/>
              <w:bottom w:val="single" w:sz="1"/>
              <w:right w:val="single" w:sz="1"/>
            </w:tcBorders>
            <w:vAlign w:val="top"/>
          </w:tcPr>
          <w:p>
            <w:r>
              <w:t xml:space="preserve">**Legal Geek**</w:t>
            </w:r>
          </w:p>
        </w:tc>
        <w:tc>
          <w:tcPr>
            <w:tcW w:type="dxa" w:w="2394"/>
            <w:tcBorders>
              <w:top w:val="single" w:sz="1"/>
              <w:left w:val="single" w:sz="1"/>
              <w:bottom w:val="single" w:sz="1"/>
              <w:right w:val="single" w:sz="1"/>
            </w:tcBorders>
            <w:vAlign w:val="top"/>
          </w:tcPr>
          <w:p>
            <w:r>
              <w:t xml:space="preserve">Jun 2, 2026</w:t>
            </w:r>
          </w:p>
        </w:tc>
        <w:tc>
          <w:tcPr>
            <w:tcW w:type="dxa" w:w="2394"/>
            <w:tcBorders>
              <w:top w:val="single" w:sz="1"/>
              <w:left w:val="single" w:sz="1"/>
              <w:bottom w:val="single" w:sz="1"/>
              <w:right w:val="single" w:sz="1"/>
            </w:tcBorders>
            <w:vAlign w:val="top"/>
          </w:tcPr>
          <w:p>
            <w:r>
              <w:t xml:space="preserve">Chicago</w:t>
            </w:r>
          </w:p>
        </w:tc>
        <w:tc>
          <w:tcPr>
            <w:tcW w:type="dxa" w:w="2394"/>
            <w:tcBorders>
              <w:top w:val="single" w:sz="1"/>
              <w:left w:val="single" w:sz="1"/>
              <w:bottom w:val="single" w:sz="1"/>
              <w:right w:val="single" w:sz="1"/>
            </w:tcBorders>
            <w:vAlign w:val="top"/>
          </w:tcPr>
          <w:p>
            <w:r>
              <w:t xml:space="preserve">Legal innovation</w:t>
            </w:r>
          </w:p>
        </w:tc>
      </w:tr>
      <w:tr>
        <w:tc>
          <w:tcPr>
            <w:tcW w:type="dxa" w:w="2394"/>
            <w:tcBorders>
              <w:top w:val="single" w:sz="1"/>
              <w:left w:val="single" w:sz="1"/>
              <w:bottom w:val="single" w:sz="1"/>
              <w:right w:val="single" w:sz="1"/>
            </w:tcBorders>
            <w:vAlign w:val="top"/>
          </w:tcPr>
          <w:p>
            <w:r>
              <w:t xml:space="preserve">**ILTACON**</w:t>
            </w:r>
          </w:p>
        </w:tc>
        <w:tc>
          <w:tcPr>
            <w:tcW w:type="dxa" w:w="2394"/>
            <w:tcBorders>
              <w:top w:val="single" w:sz="1"/>
              <w:left w:val="single" w:sz="1"/>
              <w:bottom w:val="single" w:sz="1"/>
              <w:right w:val="single" w:sz="1"/>
            </w:tcBorders>
            <w:vAlign w:val="top"/>
          </w:tcPr>
          <w:p>
            <w:r>
              <w:t xml:space="preserve">Aug 23-27, 2026</w:t>
            </w:r>
          </w:p>
        </w:tc>
        <w:tc>
          <w:tcPr>
            <w:tcW w:type="dxa" w:w="2394"/>
            <w:tcBorders>
              <w:top w:val="single" w:sz="1"/>
              <w:left w:val="single" w:sz="1"/>
              <w:bottom w:val="single" w:sz="1"/>
              <w:right w:val="single" w:sz="1"/>
            </w:tcBorders>
            <w:vAlign w:val="top"/>
          </w:tcPr>
          <w:p>
            <w:r>
              <w:t xml:space="preserve">Nashville</w:t>
            </w:r>
          </w:p>
        </w:tc>
        <w:tc>
          <w:tcPr>
            <w:tcW w:type="dxa" w:w="2394"/>
            <w:tcBorders>
              <w:top w:val="single" w:sz="1"/>
              <w:left w:val="single" w:sz="1"/>
              <w:bottom w:val="single" w:sz="1"/>
              <w:right w:val="single" w:sz="1"/>
            </w:tcBorders>
            <w:vAlign w:val="top"/>
          </w:tcPr>
          <w:p>
            <w:r>
              <w:t xml:space="preserve">Legal IT professionals</w:t>
            </w:r>
          </w:p>
        </w:tc>
      </w:tr>
      <w:tr>
        <w:tc>
          <w:tcPr>
            <w:tcW w:type="dxa" w:w="2394"/>
            <w:tcBorders>
              <w:top w:val="single" w:sz="1"/>
              <w:left w:val="single" w:sz="1"/>
              <w:bottom w:val="single" w:sz="1"/>
              <w:right w:val="single" w:sz="1"/>
            </w:tcBorders>
            <w:vAlign w:val="top"/>
          </w:tcPr>
          <w:p>
            <w:r>
              <w:t xml:space="preserve">**RegTech Summit New York**</w:t>
            </w:r>
          </w:p>
        </w:tc>
        <w:tc>
          <w:tcPr>
            <w:tcW w:type="dxa" w:w="2394"/>
            <w:tcBorders>
              <w:top w:val="single" w:sz="1"/>
              <w:left w:val="single" w:sz="1"/>
              <w:bottom w:val="single" w:sz="1"/>
              <w:right w:val="single" w:sz="1"/>
            </w:tcBorders>
            <w:vAlign w:val="top"/>
          </w:tcPr>
          <w:p>
            <w:r>
              <w:t xml:space="preserve">Nov 2026</w:t>
            </w:r>
          </w:p>
        </w:tc>
        <w:tc>
          <w:tcPr>
            <w:tcW w:type="dxa" w:w="2394"/>
            <w:tcBorders>
              <w:top w:val="single" w:sz="1"/>
              <w:left w:val="single" w:sz="1"/>
              <w:bottom w:val="single" w:sz="1"/>
              <w:right w:val="single" w:sz="1"/>
            </w:tcBorders>
            <w:vAlign w:val="top"/>
          </w:tcPr>
          <w:p>
            <w:r>
              <w:t xml:space="preserve">New York</w:t>
            </w:r>
          </w:p>
        </w:tc>
        <w:tc>
          <w:tcPr>
            <w:tcW w:type="dxa" w:w="2394"/>
            <w:tcBorders>
              <w:top w:val="single" w:sz="1"/>
              <w:left w:val="single" w:sz="1"/>
              <w:bottom w:val="single" w:sz="1"/>
              <w:right w:val="single" w:sz="1"/>
            </w:tcBorders>
            <w:vAlign w:val="top"/>
          </w:tcPr>
          <w:p>
            <w:r>
              <w:t xml:space="preserve">US financial compliance</w:t>
            </w:r>
          </w:p>
        </w:tc>
      </w:tr>
    </w:tbl>
    <w:p>
      <w:pPr>
        <w:pStyle w:val="Heading2"/>
        <w:spacing w:after="120" w:before="240"/>
        <w:outlineLvl w:val="1"/>
      </w:pPr>
      <w:r>
        <w:t xml:space="preserve">5. Outreach Strategy — Personas &amp; Messaging</w:t>
      </w:r>
    </w:p>
    <w:p>
      <w:pPr>
        <w:pStyle w:val="Heading3"/>
        <w:spacing w:after="120" w:before="240"/>
        <w:outlineLvl w:val="2"/>
      </w:pPr>
      <w:r>
        <w:t xml:space="preserve">University / Higher Ed</w:t>
      </w:r>
    </w:p>
    <w:p>
      <w:pPr>
        <w:spacing w:after="120"/>
      </w:pPr>
      <w:r>
        <w:rPr>
          <w:rFonts w:ascii="Arial" w:cs="Arial" w:eastAsia="Arial" w:hAnsi="Arial"/>
          <w:b/>
          <w:bCs/>
        </w:rPr>
        <w:t xml:space="preserve">Primary Persona:</w:t>
      </w:r>
      <w:r>
        <w:rPr>
          <w:rFonts w:ascii="Arial" w:cs="Arial" w:eastAsia="Arial" w:hAnsi="Arial"/>
        </w:rPr>
        <w:t xml:space="preserve"> University Registrar / VP Enrollment Management</w:t>
      </w:r>
    </w:p>
    <w:p>
      <w:pPr>
        <w:spacing w:after="120"/>
      </w:pPr>
      <w:r>
        <w:rPr>
          <w:rFonts w:ascii="Arial" w:cs="Arial" w:eastAsia="Arial" w:hAnsi="Arial"/>
          <w:b/>
          <w:bCs/>
        </w:rPr>
        <w:t xml:space="preserve">Secondary:</w:t>
      </w:r>
      <w:r>
        <w:rPr>
          <w:rFonts w:ascii="Arial" w:cs="Arial" w:eastAsia="Arial" w:hAnsi="Arial"/>
        </w:rPr>
        <w:t xml:space="preserve"> CIO / VP Information Technology</w:t>
      </w:r>
    </w:p>
    <w:p>
      <w:pPr>
        <w:spacing w:after="120"/>
      </w:pPr>
      <w:r>
        <w:rPr>
          <w:rFonts w:ascii="Arial" w:cs="Arial" w:eastAsia="Arial" w:hAnsi="Arial"/>
          <w:b/>
          <w:bCs/>
        </w:rPr>
        <w:t xml:space="preserve">Trigger Events:</w:t>
      </w:r>
      <w:r>
        <w:rPr>
          <w:rFonts w:ascii="Arial" w:cs="Arial" w:eastAsia="Arial" w:hAnsi="Arial"/>
        </w:rPr>
        <w:t xml:space="preserve"> New digital credential initiative, AACRAO attendance, job posting for credential roles</w:t>
      </w:r>
    </w:p>
    <w:p>
      <w:pPr>
        <w:spacing w:after="120"/>
      </w:pPr>
      <w:r>
        <w:rPr>
          <w:rFonts w:ascii="Arial" w:cs="Arial" w:eastAsia="Arial" w:hAnsi="Arial"/>
          <w:b/>
          <w:bCs/>
        </w:rPr>
        <w:t xml:space="preserve">Messaging:</w:t>
      </w:r>
    </w:p>
    <w:p>
      <w:pPr>
        <w:spacing w:after="120" w:before="120"/>
      </w:pPr>
      <w:r>
        <w:t xml:space="preserve">"Your registrar's office processes thousands of transcript requests manually. Each one costs $5-15 and takes days. Arkova verifies credentials in milliseconds at $0.002/call — with Bitcoin-timestamped proof that holds up in any jurisdiction. We're not replacing your student information system. We're making every credential it produces instantly verifiable and fraud-proof."</w:t>
      </w:r>
    </w:p>
    <w:p>
      <w:pPr>
        <w:spacing w:after="120"/>
      </w:pPr>
      <w:r>
        <w:rPr>
          <w:rFonts w:ascii="Arial" w:cs="Arial" w:eastAsia="Arial" w:hAnsi="Arial"/>
          <w:b/>
          <w:bCs/>
        </w:rPr>
        <w:t xml:space="preserve">Objection Handling:</w:t>
      </w:r>
    </w:p>
    <w:p>
      <w:pPr>
        <w:pStyle w:val="ListParagraph"/>
        <w:numPr>
          <w:ilvl w:val="0"/>
          <w:numId w:val="1"/>
        </w:numPr>
        <w:spacing w:after="100"/>
      </w:pPr>
      <w:r>
        <w:t xml:space="preserve">"We already use Parchment/NSC" → "We complement them. They issue; we verify with cryptographic proof."</w:t>
      </w:r>
    </w:p>
    <w:p>
      <w:pPr>
        <w:pStyle w:val="ListParagraph"/>
        <w:numPr>
          <w:ilvl w:val="0"/>
          <w:numId w:val="1"/>
        </w:numPr>
        <w:spacing w:after="100"/>
      </w:pPr>
      <w:r>
        <w:t xml:space="preserve">"Blockchain sounds experimental" → "We use Bitcoin — the most battle-tested chain in existence. Tennessee Board of Regents is already doing this at scale across 37 institutions."</w:t>
      </w:r>
    </w:p>
    <w:p>
      <w:pPr>
        <w:pStyle w:val="Heading3"/>
        <w:spacing w:after="120" w:before="240"/>
        <w:outlineLvl w:val="2"/>
      </w:pPr>
      <w:r>
        <w:t xml:space="preserve">Compliance / RegTech</w:t>
      </w:r>
    </w:p>
    <w:p>
      <w:pPr>
        <w:spacing w:after="120"/>
      </w:pPr>
      <w:r>
        <w:rPr>
          <w:rFonts w:ascii="Arial" w:cs="Arial" w:eastAsia="Arial" w:hAnsi="Arial"/>
          <w:b/>
          <w:bCs/>
        </w:rPr>
        <w:t xml:space="preserve">Primary Persona:</w:t>
      </w:r>
      <w:r>
        <w:rPr>
          <w:rFonts w:ascii="Arial" w:cs="Arial" w:eastAsia="Arial" w:hAnsi="Arial"/>
        </w:rPr>
        <w:t xml:space="preserve"> Chief Compliance Officer</w:t>
      </w:r>
    </w:p>
    <w:p>
      <w:pPr>
        <w:spacing w:after="120"/>
      </w:pPr>
      <w:r>
        <w:rPr>
          <w:rFonts w:ascii="Arial" w:cs="Arial" w:eastAsia="Arial" w:hAnsi="Arial"/>
          <w:b/>
          <w:bCs/>
        </w:rPr>
        <w:t xml:space="preserve">Secondary:</w:t>
      </w:r>
      <w:r>
        <w:rPr>
          <w:rFonts w:ascii="Arial" w:cs="Arial" w:eastAsia="Arial" w:hAnsi="Arial"/>
        </w:rPr>
        <w:t xml:space="preserve"> VP Risk &amp; Compliance, Head of Regulatory Affairs</w:t>
      </w:r>
    </w:p>
    <w:p>
      <w:pPr>
        <w:spacing w:after="120"/>
      </w:pPr>
      <w:r>
        <w:rPr>
          <w:rFonts w:ascii="Arial" w:cs="Arial" w:eastAsia="Arial" w:hAnsi="Arial"/>
          <w:b/>
          <w:bCs/>
        </w:rPr>
        <w:t xml:space="preserve">Trigger Events:</w:t>
      </w:r>
      <w:r>
        <w:rPr>
          <w:rFonts w:ascii="Arial" w:cs="Arial" w:eastAsia="Arial" w:hAnsi="Arial"/>
        </w:rPr>
        <w:t xml:space="preserve"> Regulatory fine, new regulation (eIDAS 2.0, EU AI Act), compliance team hiring surge</w:t>
      </w:r>
    </w:p>
    <w:p>
      <w:pPr>
        <w:spacing w:after="120"/>
      </w:pPr>
      <w:r>
        <w:rPr>
          <w:rFonts w:ascii="Arial" w:cs="Arial" w:eastAsia="Arial" w:hAnsi="Arial"/>
          <w:b/>
          <w:bCs/>
        </w:rPr>
        <w:t xml:space="preserve">Messaging:</w:t>
      </w:r>
    </w:p>
    <w:p>
      <w:pPr>
        <w:spacing w:after="120" w:before="120"/>
      </w:pPr>
      <w:r>
        <w:t xml:space="preserve">"Your compliance team is drowning. 1,000+ regulatory changes per month, 77% still manual, and your team is burning out. Arkova doesn't just track regulatory changes — we verify every document, timestamp every decision on Bitcoin, and generate audit trails that regulators actually trust. We're not another dashboard. We're the infrastructure that makes your compliance provable."</w:t>
      </w:r>
    </w:p>
    <w:p>
      <w:pPr>
        <w:spacing w:after="120"/>
      </w:pPr>
      <w:r>
        <w:rPr>
          <w:rFonts w:ascii="Arial" w:cs="Arial" w:eastAsia="Arial" w:hAnsi="Arial"/>
          <w:b/>
          <w:bCs/>
        </w:rPr>
        <w:t xml:space="preserve">Objection Handling:</w:t>
      </w:r>
    </w:p>
    <w:p>
      <w:pPr>
        <w:pStyle w:val="ListParagraph"/>
        <w:numPr>
          <w:ilvl w:val="0"/>
          <w:numId w:val="1"/>
        </w:numPr>
        <w:spacing w:after="100"/>
      </w:pPr>
      <w:r>
        <w:t xml:space="preserve">"We have Ascent/ComplyAdvantage" → "They scan and screen. We verify and prove. When a regulator asks 'when was this document verified?', you need a Bitcoin timestamp, not a database entry."</w:t>
      </w:r>
    </w:p>
    <w:p>
      <w:pPr>
        <w:pStyle w:val="ListParagraph"/>
        <w:numPr>
          <w:ilvl w:val="0"/>
          <w:numId w:val="1"/>
        </w:numPr>
        <w:spacing w:after="100"/>
      </w:pPr>
      <w:r>
        <w:t xml:space="preserve">"Our board won't approve crypto/blockchain" → "This isn't crypto. It's cryptographic timestamping — the same principle behind digital signatures, just anchored to the most secure ledger on earth."</w:t>
      </w:r>
    </w:p>
    <w:p>
      <w:pPr>
        <w:pStyle w:val="Heading3"/>
        <w:spacing w:after="120" w:before="240"/>
        <w:outlineLvl w:val="2"/>
      </w:pPr>
      <w:r>
        <w:t xml:space="preserve">AI Agent Developers</w:t>
      </w:r>
    </w:p>
    <w:p>
      <w:pPr>
        <w:spacing w:after="120"/>
      </w:pPr>
      <w:r>
        <w:rPr>
          <w:rFonts w:ascii="Arial" w:cs="Arial" w:eastAsia="Arial" w:hAnsi="Arial"/>
          <w:b/>
          <w:bCs/>
        </w:rPr>
        <w:t xml:space="preserve">Primary Persona:</w:t>
      </w:r>
      <w:r>
        <w:rPr>
          <w:rFonts w:ascii="Arial" w:cs="Arial" w:eastAsia="Arial" w:hAnsi="Arial"/>
        </w:rPr>
        <w:t xml:space="preserve"> Engineering Lead / Developer Advocate</w:t>
      </w:r>
    </w:p>
    <w:p>
      <w:pPr>
        <w:spacing w:after="120"/>
      </w:pPr>
      <w:r>
        <w:rPr>
          <w:rFonts w:ascii="Arial" w:cs="Arial" w:eastAsia="Arial" w:hAnsi="Arial"/>
          <w:b/>
          <w:bCs/>
        </w:rPr>
        <w:t xml:space="preserve">Secondary:</w:t>
      </w:r>
      <w:r>
        <w:rPr>
          <w:rFonts w:ascii="Arial" w:cs="Arial" w:eastAsia="Arial" w:hAnsi="Arial"/>
        </w:rPr>
        <w:t xml:space="preserve"> CTO, VP Engineering</w:t>
      </w:r>
    </w:p>
    <w:p>
      <w:pPr>
        <w:spacing w:after="120"/>
      </w:pPr>
      <w:r>
        <w:rPr>
          <w:rFonts w:ascii="Arial" w:cs="Arial" w:eastAsia="Arial" w:hAnsi="Arial"/>
          <w:b/>
          <w:bCs/>
        </w:rPr>
        <w:t xml:space="preserve">Trigger Events:</w:t>
      </w:r>
      <w:r>
        <w:rPr>
          <w:rFonts w:ascii="Arial" w:cs="Arial" w:eastAsia="Arial" w:hAnsi="Arial"/>
        </w:rPr>
        <w:t xml:space="preserve"> Building agent payment flows, integrating x402, MCP server development</w:t>
      </w:r>
    </w:p>
    <w:p>
      <w:pPr>
        <w:spacing w:after="120"/>
      </w:pPr>
      <w:r>
        <w:rPr>
          <w:rFonts w:ascii="Arial" w:cs="Arial" w:eastAsia="Arial" w:hAnsi="Arial"/>
          <w:b/>
          <w:bCs/>
        </w:rPr>
        <w:t xml:space="preserve">Messaging:</w:t>
      </w:r>
    </w:p>
    <w:p>
      <w:pPr>
        <w:spacing w:after="120" w:before="120"/>
      </w:pPr>
      <w:r>
        <w:t xml:space="preserve">"Your AI agent makes payments, signs contracts, and processes documents autonomously. But can you prove what it verified? Arkova's API: one call, $0.002 in USDC via x402, and you get a Bitcoin-timestamped verification receipt. Drop it into your agent's workflow as an MCP server. Every action auditable. Every document verified."</w:t>
      </w:r>
    </w:p>
    <w:p>
      <w:pPr>
        <w:spacing w:after="120"/>
      </w:pPr>
      <w:r>
        <w:rPr>
          <w:rFonts w:ascii="Arial" w:cs="Arial" w:eastAsia="Arial" w:hAnsi="Arial"/>
          <w:b/>
          <w:bCs/>
        </w:rPr>
        <w:t xml:space="preserve">Channel:</w:t>
      </w:r>
      <w:r>
        <w:rPr>
          <w:rFonts w:ascii="Arial" w:cs="Arial" w:eastAsia="Arial" w:hAnsi="Arial"/>
        </w:rPr>
        <w:t xml:space="preserve"> Developer docs, MCP marketplace, GitHub, LangChain/CrewAI tool ecosystems, x402 Foundation community</w:t>
      </w:r>
    </w:p>
    <w:p>
      <w:pPr>
        <w:pStyle w:val="Heading3"/>
        <w:spacing w:after="120" w:before="240"/>
        <w:outlineLvl w:val="2"/>
      </w:pPr>
      <w:r>
        <w:t xml:space="preserve">Legal / Financial Services</w:t>
      </w:r>
    </w:p>
    <w:p>
      <w:pPr>
        <w:spacing w:after="120"/>
      </w:pPr>
      <w:r>
        <w:rPr>
          <w:rFonts w:ascii="Arial" w:cs="Arial" w:eastAsia="Arial" w:hAnsi="Arial"/>
          <w:b/>
          <w:bCs/>
        </w:rPr>
        <w:t xml:space="preserve">Primary Persona:</w:t>
      </w:r>
      <w:r>
        <w:rPr>
          <w:rFonts w:ascii="Arial" w:cs="Arial" w:eastAsia="Arial" w:hAnsi="Arial"/>
        </w:rPr>
        <w:t xml:space="preserve"> General Counsel / Chief Legal Officer</w:t>
      </w:r>
    </w:p>
    <w:p>
      <w:pPr>
        <w:spacing w:after="120"/>
      </w:pPr>
      <w:r>
        <w:rPr>
          <w:rFonts w:ascii="Arial" w:cs="Arial" w:eastAsia="Arial" w:hAnsi="Arial"/>
          <w:b/>
          <w:bCs/>
        </w:rPr>
        <w:t xml:space="preserve">Secondary:</w:t>
      </w:r>
      <w:r>
        <w:rPr>
          <w:rFonts w:ascii="Arial" w:cs="Arial" w:eastAsia="Arial" w:hAnsi="Arial"/>
        </w:rPr>
        <w:t xml:space="preserve"> Chief Compliance Officer, VP Legal Technology</w:t>
      </w:r>
    </w:p>
    <w:p>
      <w:pPr>
        <w:spacing w:after="120"/>
      </w:pPr>
      <w:r>
        <w:rPr>
          <w:rFonts w:ascii="Arial" w:cs="Arial" w:eastAsia="Arial" w:hAnsi="Arial"/>
          <w:b/>
          <w:bCs/>
        </w:rPr>
        <w:t xml:space="preserve">Trigger Events:</w:t>
      </w:r>
      <w:r>
        <w:rPr>
          <w:rFonts w:ascii="Arial" w:cs="Arial" w:eastAsia="Arial" w:hAnsi="Arial"/>
        </w:rPr>
        <w:t xml:space="preserve"> eIDAS 2.0 compliance deadline, cross-border dispute, document fraud incident</w:t>
      </w:r>
    </w:p>
    <w:p>
      <w:pPr>
        <w:spacing w:after="120"/>
      </w:pPr>
      <w:r>
        <w:rPr>
          <w:rFonts w:ascii="Arial" w:cs="Arial" w:eastAsia="Arial" w:hAnsi="Arial"/>
          <w:b/>
          <w:bCs/>
        </w:rPr>
        <w:t xml:space="preserve">Messaging:</w:t>
      </w:r>
    </w:p>
    <w:p>
      <w:pPr>
        <w:spacing w:after="120" w:before="120"/>
      </w:pPr>
      <w:r>
        <w:t xml:space="preserve">"Your contracts span 30 jurisdictions. Your documents need qualified timestamps under eIDAS 2.0. Your audit firm wants proof, not promises. Arkova gives every document a Bitcoin-anchored timestamp and verification receipt that satisfies eIDAS, SEC, and every regulatory framework in between."</w:t>
      </w:r>
    </w:p>
    <w:p>
      <w:pPr>
        <w:pStyle w:val="Heading2"/>
        <w:spacing w:after="120" w:before="240"/>
        <w:outlineLvl w:val="1"/>
      </w:pPr>
      <w:r>
        <w:t xml:space="preserve">6. Geographic Opportunities — Ripeness by Region</w:t>
      </w:r>
    </w:p>
    <w:p>
      <w:pPr>
        <w:pStyle w:val="Heading3"/>
        <w:spacing w:after="120" w:before="240"/>
        <w:outlineLvl w:val="2"/>
      </w:pPr>
      <w:r>
        <w:t xml:space="preserve">Tier 1 — Immediate (0-6 months)</w:t>
      </w:r>
    </w:p>
    <w:p>
      <w:pPr>
        <w:spacing w:after="120"/>
      </w:pPr>
      <w:r>
        <w:rPr>
          <w:rFonts w:ascii="Arial" w:cs="Arial" w:eastAsia="Arial" w:hAnsi="Arial"/>
          <w:b/>
          <w:bCs/>
        </w:rPr>
        <w:t xml:space="preserve">Kenya</w:t>
      </w:r>
    </w:p>
    <w:p>
      <w:pPr>
        <w:pStyle w:val="ListParagraph"/>
        <w:numPr>
          <w:ilvl w:val="0"/>
          <w:numId w:val="1"/>
        </w:numPr>
        <w:spacing w:after="100"/>
      </w:pPr>
      <w:r>
        <w:t xml:space="preserve">Government actively replacing paper degrees with Digital Verifiable Credentials (Cybernetica/TBI pilot completed)</w:t>
      </w:r>
    </w:p>
    <w:p>
      <w:pPr>
        <w:pStyle w:val="ListParagraph"/>
        <w:numPr>
          <w:ilvl w:val="0"/>
          <w:numId w:val="1"/>
        </w:numPr>
        <w:spacing w:after="100"/>
      </w:pPr>
      <w:r>
        <w:t xml:space="preserve">93% user acceptance in pilot; 83% successful verification rate</w:t>
      </w:r>
    </w:p>
    <w:p>
      <w:pPr>
        <w:pStyle w:val="ListParagraph"/>
        <w:numPr>
          <w:ilvl w:val="0"/>
          <w:numId w:val="1"/>
        </w:numPr>
        <w:spacing w:after="100"/>
      </w:pPr>
      <w:r>
        <w:t xml:space="preserve">KNEC e-certificate system for KCSE candidates; national implementation planned end of February 2026</w:t>
      </w:r>
    </w:p>
    <w:p>
      <w:pPr>
        <w:pStyle w:val="ListParagraph"/>
        <w:numPr>
          <w:ilvl w:val="0"/>
          <w:numId w:val="1"/>
        </w:numPr>
        <w:spacing w:after="100"/>
      </w:pPr>
      <w:r>
        <w:t xml:space="preserve">Carson has lawyers there — leverage existing relationships</w:t>
      </w:r>
    </w:p>
    <w:p>
      <w:pPr>
        <w:pStyle w:val="ListParagraph"/>
        <w:numPr>
          <w:ilvl w:val="0"/>
          <w:numId w:val="1"/>
        </w:numPr>
        <w:spacing w:after="100"/>
      </w:pPr>
      <w:r>
        <w:t xml:space="preserve">**Action:** Connect with KNEC and Public Service Commission; propose Arkova as verification infrastructure for national digital credential rollout</w:t>
      </w:r>
    </w:p>
    <w:p>
      <w:pPr>
        <w:spacing w:after="120"/>
      </w:pPr>
      <w:r>
        <w:rPr>
          <w:rFonts w:ascii="Arial" w:cs="Arial" w:eastAsia="Arial" w:hAnsi="Arial"/>
          <w:b/>
          <w:bCs/>
        </w:rPr>
        <w:t xml:space="preserve">European Union</w:t>
      </w:r>
    </w:p>
    <w:p>
      <w:pPr>
        <w:pStyle w:val="ListParagraph"/>
        <w:numPr>
          <w:ilvl w:val="0"/>
          <w:numId w:val="1"/>
        </w:numPr>
        <w:spacing w:after="100"/>
      </w:pPr>
      <w:r>
        <w:t xml:space="preserve">November 21, 2026 deadline: all 27 member states must offer EUDI Wallet</w:t>
      </w:r>
    </w:p>
    <w:p>
      <w:pPr>
        <w:pStyle w:val="ListParagraph"/>
        <w:numPr>
          <w:ilvl w:val="0"/>
          <w:numId w:val="1"/>
        </w:numPr>
        <w:spacing w:after="100"/>
      </w:pPr>
      <w:r>
        <w:t xml:space="preserve">Netherlands already signaled they'll miss deadline; Bulgaria hasn't started; standards still evolving</w:t>
      </w:r>
    </w:p>
    <w:p>
      <w:pPr>
        <w:pStyle w:val="ListParagraph"/>
        <w:numPr>
          <w:ilvl w:val="0"/>
          <w:numId w:val="1"/>
        </w:numPr>
        <w:spacing w:after="100"/>
      </w:pPr>
      <w:r>
        <w:t xml:space="preserve">Financial institutions scrambling for eIDAS 2.0 qualified timestamp compliance</w:t>
      </w:r>
    </w:p>
    <w:p>
      <w:pPr>
        <w:pStyle w:val="ListParagraph"/>
        <w:numPr>
          <w:ilvl w:val="0"/>
          <w:numId w:val="1"/>
        </w:numPr>
        <w:spacing w:after="100"/>
      </w:pPr>
      <w:r>
        <w:t xml:space="preserve">**Action:** Target EU financial institutions struggling with qualified timestamps; position as eIDAS-compliant provider with Bitcoin immutability</w:t>
      </w:r>
    </w:p>
    <w:p>
      <w:pPr>
        <w:pStyle w:val="Heading3"/>
        <w:spacing w:after="120" w:before="240"/>
        <w:outlineLvl w:val="2"/>
      </w:pPr>
      <w:r>
        <w:t xml:space="preserve">Tier 2 — Strong Market (6-12 months)</w:t>
      </w:r>
    </w:p>
    <w:p>
      <w:pPr>
        <w:spacing w:after="120"/>
      </w:pPr>
      <w:r>
        <w:rPr>
          <w:rFonts w:ascii="Arial" w:cs="Arial" w:eastAsia="Arial" w:hAnsi="Arial"/>
          <w:b/>
          <w:bCs/>
        </w:rPr>
        <w:t xml:space="preserve">Australia</w:t>
      </w:r>
    </w:p>
    <w:p>
      <w:pPr>
        <w:pStyle w:val="ListParagraph"/>
        <w:numPr>
          <w:ilvl w:val="0"/>
          <w:numId w:val="1"/>
        </w:numPr>
        <w:spacing w:after="100"/>
      </w:pPr>
      <w:r>
        <w:t xml:space="preserve">Commonwealth government committed $32.5M through 2026 for microcredentials</w:t>
      </w:r>
    </w:p>
    <w:p>
      <w:pPr>
        <w:pStyle w:val="ListParagraph"/>
        <w:numPr>
          <w:ilvl w:val="0"/>
          <w:numId w:val="1"/>
        </w:numPr>
        <w:spacing w:after="100"/>
      </w:pPr>
      <w:r>
        <w:t xml:space="preserve">University of Melbourne, RMIT, Macquarie University, TAFE Queensland piloting blockchain credentials</w:t>
      </w:r>
    </w:p>
    <w:p>
      <w:pPr>
        <w:pStyle w:val="ListParagraph"/>
        <w:numPr>
          <w:ilvl w:val="0"/>
          <w:numId w:val="1"/>
        </w:numPr>
        <w:spacing w:after="100"/>
      </w:pPr>
      <w:r>
        <w:t xml:space="preserve">ReadyTech launched digital credentials technology for Australian VET/higher ed (late 2025)</w:t>
      </w:r>
    </w:p>
    <w:p>
      <w:pPr>
        <w:pStyle w:val="ListParagraph"/>
        <w:numPr>
          <w:ilvl w:val="0"/>
          <w:numId w:val="1"/>
        </w:numPr>
        <w:spacing w:after="100"/>
      </w:pPr>
      <w:r>
        <w:t xml:space="preserve">91% of employers actively seek digital credentials</w:t>
      </w:r>
    </w:p>
    <w:p>
      <w:pPr>
        <w:pStyle w:val="ListParagraph"/>
        <w:numPr>
          <w:ilvl w:val="0"/>
          <w:numId w:val="1"/>
        </w:numPr>
        <w:spacing w:after="100"/>
      </w:pPr>
      <w:r>
        <w:t xml:space="preserve">**Action:** Target ReadyTech as integration partner; approach Australian universities with blockchain credential history</w:t>
      </w:r>
    </w:p>
    <w:p>
      <w:pPr>
        <w:spacing w:after="120"/>
      </w:pPr>
      <w:r>
        <w:rPr>
          <w:rFonts w:ascii="Arial" w:cs="Arial" w:eastAsia="Arial" w:hAnsi="Arial"/>
          <w:b/>
          <w:bCs/>
        </w:rPr>
        <w:t xml:space="preserve">Singapore</w:t>
      </w:r>
    </w:p>
    <w:p>
      <w:pPr>
        <w:pStyle w:val="ListParagraph"/>
        <w:numPr>
          <w:ilvl w:val="0"/>
          <w:numId w:val="1"/>
        </w:numPr>
        <w:spacing w:after="100"/>
      </w:pPr>
      <w:r>
        <w:t xml:space="preserve">MAS allocated $300M in 2025 for fintech testing; RegTech Grant supports compliance tech adoption</w:t>
      </w:r>
    </w:p>
    <w:p>
      <w:pPr>
        <w:pStyle w:val="ListParagraph"/>
        <w:numPr>
          <w:ilvl w:val="0"/>
          <w:numId w:val="1"/>
        </w:numPr>
        <w:spacing w:after="100"/>
      </w:pPr>
      <w:r>
        <w:t xml:space="preserve">520+ fintech companies; 36 licensed DPT payment institutions</w:t>
      </w:r>
    </w:p>
    <w:p>
      <w:pPr>
        <w:pStyle w:val="ListParagraph"/>
        <w:numPr>
          <w:ilvl w:val="0"/>
          <w:numId w:val="1"/>
        </w:numPr>
        <w:spacing w:after="100"/>
      </w:pPr>
      <w:r>
        <w:t xml:space="preserve">Sandbox Plus program with extended testing and financial grants</w:t>
      </w:r>
    </w:p>
    <w:p>
      <w:pPr>
        <w:pStyle w:val="ListParagraph"/>
        <w:numPr>
          <w:ilvl w:val="0"/>
          <w:numId w:val="1"/>
        </w:numPr>
        <w:spacing w:after="100"/>
      </w:pPr>
      <w:r>
        <w:t xml:space="preserve">**Action:** Apply to MAS RegTech Grant; target Singapore-based fintech compliance teams</w:t>
      </w:r>
    </w:p>
    <w:p>
      <w:pPr>
        <w:spacing w:after="120"/>
      </w:pPr>
      <w:r>
        <w:rPr>
          <w:rFonts w:ascii="Arial" w:cs="Arial" w:eastAsia="Arial" w:hAnsi="Arial"/>
          <w:b/>
          <w:bCs/>
        </w:rPr>
        <w:t xml:space="preserve">India</w:t>
      </w:r>
    </w:p>
    <w:p>
      <w:pPr>
        <w:pStyle w:val="ListParagraph"/>
        <w:numPr>
          <w:ilvl w:val="0"/>
          <w:numId w:val="1"/>
        </w:numPr>
        <w:spacing w:after="100"/>
      </w:pPr>
      <w:r>
        <w:t xml:space="preserve">DigiLocker: 500M+ users, 9B documents stored</w:t>
      </w:r>
    </w:p>
    <w:p>
      <w:pPr>
        <w:pStyle w:val="ListParagraph"/>
        <w:numPr>
          <w:ilvl w:val="0"/>
          <w:numId w:val="1"/>
        </w:numPr>
        <w:spacing w:after="100"/>
      </w:pPr>
      <w:r>
        <w:t xml:space="preserve">Academic Bank of Credits requires ABC ID for admissions/degrees</w:t>
      </w:r>
    </w:p>
    <w:p>
      <w:pPr>
        <w:pStyle w:val="ListParagraph"/>
        <w:numPr>
          <w:ilvl w:val="0"/>
          <w:numId w:val="1"/>
        </w:numPr>
        <w:spacing w:after="100"/>
      </w:pPr>
      <w:r>
        <w:t xml:space="preserve">India Digital Credential Software market: $152.88M (2024) → $941.88M by 2035</w:t>
      </w:r>
    </w:p>
    <w:p>
      <w:pPr>
        <w:pStyle w:val="ListParagraph"/>
        <w:numPr>
          <w:ilvl w:val="0"/>
          <w:numId w:val="1"/>
        </w:numPr>
        <w:spacing w:after="100"/>
      </w:pPr>
      <w:r>
        <w:t xml:space="preserve">India signed MoUs with 24 countries for Digital Public Infrastructure cooperation</w:t>
      </w:r>
    </w:p>
    <w:p>
      <w:pPr>
        <w:pStyle w:val="ListParagraph"/>
        <w:numPr>
          <w:ilvl w:val="0"/>
          <w:numId w:val="1"/>
        </w:numPr>
        <w:spacing w:after="100"/>
      </w:pPr>
      <w:r>
        <w:t xml:space="preserve">**Action:** Partnership with DigiLocker/ABC infrastructure; target Indian universities implementing APAAR ID</w:t>
      </w:r>
    </w:p>
    <w:p>
      <w:pPr>
        <w:pStyle w:val="Heading3"/>
        <w:spacing w:after="120" w:before="240"/>
        <w:outlineLvl w:val="2"/>
      </w:pPr>
      <w:r>
        <w:t xml:space="preserve">Tier 3 — Emerging (12+ months)</w:t>
      </w:r>
    </w:p>
    <w:p>
      <w:pPr>
        <w:spacing w:after="120"/>
      </w:pPr>
      <w:r>
        <w:rPr>
          <w:rFonts w:ascii="Arial" w:cs="Arial" w:eastAsia="Arial" w:hAnsi="Arial"/>
          <w:b/>
          <w:bCs/>
        </w:rPr>
        <w:t xml:space="preserve">United States (State-Level)</w:t>
      </w:r>
    </w:p>
    <w:p>
      <w:pPr>
        <w:pStyle w:val="ListParagraph"/>
        <w:numPr>
          <w:ilvl w:val="0"/>
          <w:numId w:val="1"/>
        </w:numPr>
        <w:spacing w:after="100"/>
      </w:pPr>
      <w:r>
        <w:t xml:space="preserve">34 states funding 111 active credential initiatives totaling $8.1B</w:t>
      </w:r>
    </w:p>
    <w:p>
      <w:pPr>
        <w:pStyle w:val="ListParagraph"/>
        <w:numPr>
          <w:ilvl w:val="0"/>
          <w:numId w:val="1"/>
        </w:numPr>
        <w:spacing w:after="100"/>
      </w:pPr>
      <w:r>
        <w:t xml:space="preserve">$50M available from U.S. DOE for Talent Marketplaces and Credential Registries</w:t>
      </w:r>
    </w:p>
    <w:p>
      <w:pPr>
        <w:pStyle w:val="ListParagraph"/>
        <w:numPr>
          <w:ilvl w:val="0"/>
          <w:numId w:val="1"/>
        </w:numPr>
        <w:spacing w:after="100"/>
      </w:pPr>
      <w:r>
        <w:t xml:space="preserve">Workforce Pell Grant extending to short credentials beginning 2026</w:t>
      </w:r>
    </w:p>
    <w:p>
      <w:pPr>
        <w:pStyle w:val="ListParagraph"/>
        <w:numPr>
          <w:ilvl w:val="0"/>
          <w:numId w:val="1"/>
        </w:numPr>
        <w:spacing w:after="100"/>
      </w:pPr>
      <w:r>
        <w:t xml:space="preserve">48 states + DC have micro-credential policies</w:t>
      </w:r>
    </w:p>
    <w:p>
      <w:pPr>
        <w:pStyle w:val="ListParagraph"/>
        <w:numPr>
          <w:ilvl w:val="0"/>
          <w:numId w:val="1"/>
        </w:numPr>
        <w:spacing w:after="100"/>
      </w:pPr>
      <w:r>
        <w:t xml:space="preserve">**Action:** Target state workforce development agencies; respond to DOE funding opportunities</w:t>
      </w:r>
    </w:p>
    <w:p>
      <w:pPr>
        <w:pStyle w:val="Heading2"/>
        <w:spacing w:after="120" w:before="240"/>
        <w:outlineLvl w:val="1"/>
      </w:pPr>
      <w:r>
        <w:t xml:space="preserve">7. Partnership Opportunities — Complement, Don't Compete</w:t>
      </w:r>
    </w:p>
    <w:p>
      <w:pPr>
        <w:pStyle w:val="Heading3"/>
        <w:spacing w:after="120" w:before="240"/>
        <w:outlineLvl w:val="2"/>
      </w:pPr>
      <w:r>
        <w:t xml:space="preserve">Infrastructure Partners (Build Together)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tLeast"/>
        </w:trPr>
        <w:tc>
          <w:tcPr>
            <w:tcW w:type="dxa" w:w="2394"/>
            <w:tcBorders>
              <w:top w:val="single" w:sz="1"/>
              <w:left w:val="single" w:sz="1"/>
              <w:bottom w:val="single" w:sz="1"/>
              <w:right w:val="single" w:sz="1"/>
            </w:tcBorders>
            <w:shd w:fill="D3D3D3" w:val="clear"/>
            <w:vAlign w:val="center"/>
          </w:tcPr>
          <w:p>
            <w:r>
              <w:t xml:space="preserve">Partner</w:t>
            </w:r>
          </w:p>
        </w:tc>
        <w:tc>
          <w:tcPr>
            <w:tcW w:type="dxa" w:w="2394"/>
            <w:tcBorders>
              <w:top w:val="single" w:sz="1"/>
              <w:left w:val="single" w:sz="1"/>
              <w:bottom w:val="single" w:sz="1"/>
              <w:right w:val="single" w:sz="1"/>
            </w:tcBorders>
            <w:shd w:fill="D3D3D3" w:val="clear"/>
            <w:vAlign w:val="center"/>
          </w:tcPr>
          <w:p>
            <w:r>
              <w:t xml:space="preserve">Why</w:t>
            </w:r>
          </w:p>
        </w:tc>
        <w:tc>
          <w:tcPr>
            <w:tcW w:type="dxa" w:w="2394"/>
            <w:tcBorders>
              <w:top w:val="single" w:sz="1"/>
              <w:left w:val="single" w:sz="1"/>
              <w:bottom w:val="single" w:sz="1"/>
              <w:right w:val="single" w:sz="1"/>
            </w:tcBorders>
            <w:shd w:fill="D3D3D3" w:val="clear"/>
            <w:vAlign w:val="center"/>
          </w:tcPr>
          <w:p>
            <w:r>
              <w:t xml:space="preserve">What Arkova Gets</w:t>
            </w:r>
          </w:p>
        </w:tc>
        <w:tc>
          <w:tcPr>
            <w:tcW w:type="dxa" w:w="2394"/>
            <w:tcBorders>
              <w:top w:val="single" w:sz="1"/>
              <w:left w:val="single" w:sz="1"/>
              <w:bottom w:val="single" w:sz="1"/>
              <w:right w:val="single" w:sz="1"/>
            </w:tcBorders>
            <w:shd w:fill="D3D3D3" w:val="clear"/>
            <w:vAlign w:val="center"/>
          </w:tcPr>
          <w:p>
            <w:r>
              <w:t xml:space="preserve">What They Get</w:t>
            </w:r>
          </w:p>
        </w:tc>
      </w:tr>
      <w:tr>
        <w:tc>
          <w:tcPr>
            <w:tcW w:type="dxa" w:w="2394"/>
            <w:tcBorders>
              <w:top w:val="single" w:sz="1"/>
              <w:left w:val="single" w:sz="1"/>
              <w:bottom w:val="single" w:sz="1"/>
              <w:right w:val="single" w:sz="1"/>
            </w:tcBorders>
            <w:vAlign w:val="top"/>
          </w:tcPr>
          <w:p>
            <w:r>
              <w:t xml:space="preserve">**Credential Engine**</w:t>
            </w:r>
          </w:p>
        </w:tc>
        <w:tc>
          <w:tcPr>
            <w:tcW w:type="dxa" w:w="2394"/>
            <w:tcBorders>
              <w:top w:val="single" w:sz="1"/>
              <w:left w:val="single" w:sz="1"/>
              <w:bottom w:val="single" w:sz="1"/>
              <w:right w:val="single" w:sz="1"/>
            </w:tcBorders>
            <w:vAlign w:val="top"/>
          </w:tcPr>
          <w:p>
            <w:r>
              <w:t xml:space="preserve">1.85M+ credentials registered; CTDL standard; Walmart-funded RFPs</w:t>
            </w:r>
          </w:p>
        </w:tc>
        <w:tc>
          <w:tcPr>
            <w:tcW w:type="dxa" w:w="2394"/>
            <w:tcBorders>
              <w:top w:val="single" w:sz="1"/>
              <w:left w:val="single" w:sz="1"/>
              <w:bottom w:val="single" w:sz="1"/>
              <w:right w:val="single" w:sz="1"/>
            </w:tcBorders>
            <w:vAlign w:val="top"/>
          </w:tcPr>
          <w:p>
            <w:r>
              <w:t xml:space="preserve">Distribution to 100+ community colleges; standards alignment</w:t>
            </w:r>
          </w:p>
        </w:tc>
        <w:tc>
          <w:tcPr>
            <w:tcW w:type="dxa" w:w="2394"/>
            <w:tcBorders>
              <w:top w:val="single" w:sz="1"/>
              <w:left w:val="single" w:sz="1"/>
              <w:bottom w:val="single" w:sz="1"/>
              <w:right w:val="single" w:sz="1"/>
            </w:tcBorders>
            <w:vAlign w:val="top"/>
          </w:tcPr>
          <w:p>
            <w:r>
              <w:t xml:space="preserve">Bitcoin-timestamped verification for their registry</w:t>
            </w:r>
          </w:p>
        </w:tc>
      </w:tr>
      <w:tr>
        <w:tc>
          <w:tcPr>
            <w:tcW w:type="dxa" w:w="2394"/>
            <w:tcBorders>
              <w:top w:val="single" w:sz="1"/>
              <w:left w:val="single" w:sz="1"/>
              <w:bottom w:val="single" w:sz="1"/>
              <w:right w:val="single" w:sz="1"/>
            </w:tcBorders>
            <w:vAlign w:val="top"/>
          </w:tcPr>
          <w:p>
            <w:r>
              <w:t xml:space="preserve">**1EdTech Consortium**</w:t>
            </w:r>
          </w:p>
        </w:tc>
        <w:tc>
          <w:tcPr>
            <w:tcW w:type="dxa" w:w="2394"/>
            <w:tcBorders>
              <w:top w:val="single" w:sz="1"/>
              <w:left w:val="single" w:sz="1"/>
              <w:bottom w:val="single" w:sz="1"/>
              <w:right w:val="single" w:sz="1"/>
            </w:tcBorders>
            <w:vAlign w:val="top"/>
          </w:tcPr>
          <w:p>
            <w:r>
              <w:t xml:space="preserve">CLR 2.0 standard body; AACRAO endorsement</w:t>
            </w:r>
          </w:p>
        </w:tc>
        <w:tc>
          <w:tcPr>
            <w:tcW w:type="dxa" w:w="2394"/>
            <w:tcBorders>
              <w:top w:val="single" w:sz="1"/>
              <w:left w:val="single" w:sz="1"/>
              <w:bottom w:val="single" w:sz="1"/>
              <w:right w:val="single" w:sz="1"/>
            </w:tcBorders>
            <w:vAlign w:val="top"/>
          </w:tcPr>
          <w:p>
            <w:r>
              <w:t xml:space="preserve">Standards legitimacy; university buyer trust</w:t>
            </w:r>
          </w:p>
        </w:tc>
        <w:tc>
          <w:tcPr>
            <w:tcW w:type="dxa" w:w="2394"/>
            <w:tcBorders>
              <w:top w:val="single" w:sz="1"/>
              <w:left w:val="single" w:sz="1"/>
              <w:bottom w:val="single" w:sz="1"/>
              <w:right w:val="single" w:sz="1"/>
            </w:tcBorders>
            <w:vAlign w:val="top"/>
          </w:tcPr>
          <w:p>
            <w:r>
              <w:t xml:space="preserve">Immutable verification layer for CLR credentials</w:t>
            </w:r>
          </w:p>
        </w:tc>
      </w:tr>
      <w:tr>
        <w:tc>
          <w:tcPr>
            <w:tcW w:type="dxa" w:w="2394"/>
            <w:tcBorders>
              <w:top w:val="single" w:sz="1"/>
              <w:left w:val="single" w:sz="1"/>
              <w:bottom w:val="single" w:sz="1"/>
              <w:right w:val="single" w:sz="1"/>
            </w:tcBorders>
            <w:vAlign w:val="top"/>
          </w:tcPr>
          <w:p>
            <w:r>
              <w:t xml:space="preserve">**Circle / Coinbase**</w:t>
            </w:r>
          </w:p>
        </w:tc>
        <w:tc>
          <w:tcPr>
            <w:tcW w:type="dxa" w:w="2394"/>
            <w:tcBorders>
              <w:top w:val="single" w:sz="1"/>
              <w:left w:val="single" w:sz="1"/>
              <w:bottom w:val="single" w:sz="1"/>
              <w:right w:val="single" w:sz="1"/>
            </w:tcBorders>
            <w:vAlign w:val="top"/>
          </w:tcPr>
          <w:p>
            <w:r>
              <w:t xml:space="preserve">x402 Foundation; payment infrastructure</w:t>
            </w:r>
          </w:p>
        </w:tc>
        <w:tc>
          <w:tcPr>
            <w:tcW w:type="dxa" w:w="2394"/>
            <w:tcBorders>
              <w:top w:val="single" w:sz="1"/>
              <w:left w:val="single" w:sz="1"/>
              <w:bottom w:val="single" w:sz="1"/>
              <w:right w:val="single" w:sz="1"/>
            </w:tcBorders>
            <w:vAlign w:val="top"/>
          </w:tcPr>
          <w:p>
            <w:r>
              <w:t xml:space="preserve">Payment rails for $0.002/call API; x402 ecosystem access</w:t>
            </w:r>
          </w:p>
        </w:tc>
        <w:tc>
          <w:tcPr>
            <w:tcW w:type="dxa" w:w="2394"/>
            <w:tcBorders>
              <w:top w:val="single" w:sz="1"/>
              <w:left w:val="single" w:sz="1"/>
              <w:bottom w:val="single" w:sz="1"/>
              <w:right w:val="single" w:sz="1"/>
            </w:tcBorders>
            <w:vAlign w:val="top"/>
          </w:tcPr>
          <w:p>
            <w:r>
              <w:t xml:space="preserve">Verification use case driving x402 transaction volume</w:t>
            </w:r>
          </w:p>
        </w:tc>
      </w:tr>
      <w:tr>
        <w:tc>
          <w:tcPr>
            <w:tcW w:type="dxa" w:w="2394"/>
            <w:tcBorders>
              <w:top w:val="single" w:sz="1"/>
              <w:left w:val="single" w:sz="1"/>
              <w:bottom w:val="single" w:sz="1"/>
              <w:right w:val="single" w:sz="1"/>
            </w:tcBorders>
            <w:vAlign w:val="top"/>
          </w:tcPr>
          <w:p>
            <w:r>
              <w:t xml:space="preserve">**Credivera**</w:t>
            </w:r>
          </w:p>
        </w:tc>
        <w:tc>
          <w:tcPr>
            <w:tcW w:type="dxa" w:w="2394"/>
            <w:tcBorders>
              <w:top w:val="single" w:sz="1"/>
              <w:left w:val="single" w:sz="1"/>
              <w:bottom w:val="single" w:sz="1"/>
              <w:right w:val="single" w:sz="1"/>
            </w:tcBorders>
            <w:vAlign w:val="top"/>
          </w:tcPr>
          <w:p>
            <w:r>
              <w:t xml:space="preserve">VC PaaS; NSC partnership; Microsoft Entra integration</w:t>
            </w:r>
          </w:p>
        </w:tc>
        <w:tc>
          <w:tcPr>
            <w:tcW w:type="dxa" w:w="2394"/>
            <w:tcBorders>
              <w:top w:val="single" w:sz="1"/>
              <w:left w:val="single" w:sz="1"/>
              <w:bottom w:val="single" w:sz="1"/>
              <w:right w:val="single" w:sz="1"/>
            </w:tcBorders>
            <w:vAlign w:val="top"/>
          </w:tcPr>
          <w:p>
            <w:r>
              <w:t xml:space="preserve">NSC distribution channel; enterprise credibility</w:t>
            </w:r>
          </w:p>
        </w:tc>
        <w:tc>
          <w:tcPr>
            <w:tcW w:type="dxa" w:w="2394"/>
            <w:tcBorders>
              <w:top w:val="single" w:sz="1"/>
              <w:left w:val="single" w:sz="1"/>
              <w:bottom w:val="single" w:sz="1"/>
              <w:right w:val="single" w:sz="1"/>
            </w:tcBorders>
            <w:vAlign w:val="top"/>
          </w:tcPr>
          <w:p>
            <w:r>
              <w:t xml:space="preserve">Bitcoin-anchored proof layer underneath VC infrastructure</w:t>
            </w:r>
          </w:p>
        </w:tc>
      </w:tr>
    </w:tbl>
    <w:p>
      <w:pPr>
        <w:pStyle w:val="Heading3"/>
        <w:spacing w:after="120" w:before="240"/>
        <w:outlineLvl w:val="2"/>
      </w:pPr>
      <w:r>
        <w:t xml:space="preserve">Distribution Partners (Sell Through)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400" w:hRule="atLeast"/>
        </w:trPr>
        <w:tc>
          <w:tcPr>
            <w:tcW w:type="dxa" w:w="3192"/>
            <w:tcBorders>
              <w:top w:val="single" w:sz="1"/>
              <w:left w:val="single" w:sz="1"/>
              <w:bottom w:val="single" w:sz="1"/>
              <w:right w:val="single" w:sz="1"/>
            </w:tcBorders>
            <w:shd w:fill="D3D3D3" w:val="clear"/>
            <w:vAlign w:val="center"/>
          </w:tcPr>
          <w:p>
            <w:r>
              <w:t xml:space="preserve">Partner</w:t>
            </w:r>
          </w:p>
        </w:tc>
        <w:tc>
          <w:tcPr>
            <w:tcW w:type="dxa" w:w="3192"/>
            <w:tcBorders>
              <w:top w:val="single" w:sz="1"/>
              <w:left w:val="single" w:sz="1"/>
              <w:bottom w:val="single" w:sz="1"/>
              <w:right w:val="single" w:sz="1"/>
            </w:tcBorders>
            <w:shd w:fill="D3D3D3" w:val="clear"/>
            <w:vAlign w:val="center"/>
          </w:tcPr>
          <w:p>
            <w:r>
              <w:t xml:space="preserve">Why</w:t>
            </w:r>
          </w:p>
        </w:tc>
        <w:tc>
          <w:tcPr>
            <w:tcW w:type="dxa" w:w="3192"/>
            <w:tcBorders>
              <w:top w:val="single" w:sz="1"/>
              <w:left w:val="single" w:sz="1"/>
              <w:bottom w:val="single" w:sz="1"/>
              <w:right w:val="single" w:sz="1"/>
            </w:tcBorders>
            <w:shd w:fill="D3D3D3" w:val="clear"/>
            <w:vAlign w:val="center"/>
          </w:tcPr>
          <w:p>
            <w:r>
              <w:t xml:space="preserve">Model</w:t>
            </w:r>
          </w:p>
        </w:tc>
      </w:tr>
      <w:tr>
        <w:tc>
          <w:tcPr>
            <w:tcW w:type="dxa" w:w="3192"/>
            <w:tcBorders>
              <w:top w:val="single" w:sz="1"/>
              <w:left w:val="single" w:sz="1"/>
              <w:bottom w:val="single" w:sz="1"/>
              <w:right w:val="single" w:sz="1"/>
            </w:tcBorders>
            <w:vAlign w:val="top"/>
          </w:tcPr>
          <w:p>
            <w:r>
              <w:t xml:space="preserve">**ReadyTech (Australia)**</w:t>
            </w:r>
          </w:p>
        </w:tc>
        <w:tc>
          <w:tcPr>
            <w:tcW w:type="dxa" w:w="3192"/>
            <w:tcBorders>
              <w:top w:val="single" w:sz="1"/>
              <w:left w:val="single" w:sz="1"/>
              <w:bottom w:val="single" w:sz="1"/>
              <w:right w:val="single" w:sz="1"/>
            </w:tcBorders>
            <w:vAlign w:val="top"/>
          </w:tcPr>
          <w:p>
            <w:r>
              <w:t xml:space="preserve">Digital credentials for Australian VET/higher ed</w:t>
            </w:r>
          </w:p>
        </w:tc>
        <w:tc>
          <w:tcPr>
            <w:tcW w:type="dxa" w:w="3192"/>
            <w:tcBorders>
              <w:top w:val="single" w:sz="1"/>
              <w:left w:val="single" w:sz="1"/>
              <w:bottom w:val="single" w:sz="1"/>
              <w:right w:val="single" w:sz="1"/>
            </w:tcBorders>
            <w:vAlign w:val="top"/>
          </w:tcPr>
          <w:p>
            <w:r>
              <w:t xml:space="preserve">Embedded verification API; revenue share</w:t>
            </w:r>
          </w:p>
        </w:tc>
      </w:tr>
      <w:tr>
        <w:tc>
          <w:tcPr>
            <w:tcW w:type="dxa" w:w="3192"/>
            <w:tcBorders>
              <w:top w:val="single" w:sz="1"/>
              <w:left w:val="single" w:sz="1"/>
              <w:bottom w:val="single" w:sz="1"/>
              <w:right w:val="single" w:sz="1"/>
            </w:tcBorders>
            <w:vAlign w:val="top"/>
          </w:tcPr>
          <w:p>
            <w:r>
              <w:t xml:space="preserve">**Anthropic (Claude Partner Network)**</w:t>
            </w:r>
          </w:p>
        </w:tc>
        <w:tc>
          <w:tcPr>
            <w:tcW w:type="dxa" w:w="3192"/>
            <w:tcBorders>
              <w:top w:val="single" w:sz="1"/>
              <w:left w:val="single" w:sz="1"/>
              <w:bottom w:val="single" w:sz="1"/>
              <w:right w:val="single" w:sz="1"/>
            </w:tcBorders>
            <w:vAlign w:val="top"/>
          </w:tcPr>
          <w:p>
            <w:r>
              <w:t xml:space="preserve">$100M partner ecosystem; MCP server distribution</w:t>
            </w:r>
          </w:p>
        </w:tc>
        <w:tc>
          <w:tcPr>
            <w:tcW w:type="dxa" w:w="3192"/>
            <w:tcBorders>
              <w:top w:val="single" w:sz="1"/>
              <w:left w:val="single" w:sz="1"/>
              <w:bottom w:val="single" w:sz="1"/>
              <w:right w:val="single" w:sz="1"/>
            </w:tcBorders>
            <w:vAlign w:val="top"/>
          </w:tcPr>
          <w:p>
            <w:r>
              <w:t xml:space="preserve">Build Arkova MCP server; distribute to Claude Code users</w:t>
            </w:r>
          </w:p>
        </w:tc>
      </w:tr>
      <w:tr>
        <w:tc>
          <w:tcPr>
            <w:tcW w:type="dxa" w:w="3192"/>
            <w:tcBorders>
              <w:top w:val="single" w:sz="1"/>
              <w:left w:val="single" w:sz="1"/>
              <w:bottom w:val="single" w:sz="1"/>
              <w:right w:val="single" w:sz="1"/>
            </w:tcBorders>
            <w:vAlign w:val="top"/>
          </w:tcPr>
          <w:p>
            <w:r>
              <w:t xml:space="preserve">**LangChain**</w:t>
            </w:r>
          </w:p>
        </w:tc>
        <w:tc>
          <w:tcPr>
            <w:tcW w:type="dxa" w:w="3192"/>
            <w:tcBorders>
              <w:top w:val="single" w:sz="1"/>
              <w:left w:val="single" w:sz="1"/>
              <w:bottom w:val="single" w:sz="1"/>
              <w:right w:val="single" w:sz="1"/>
            </w:tcBorders>
            <w:vAlign w:val="top"/>
          </w:tcPr>
          <w:p>
            <w:r>
              <w:t xml:space="preserve">47M+ PyPI downloads; tool marketplace</w:t>
            </w:r>
          </w:p>
        </w:tc>
        <w:tc>
          <w:tcPr>
            <w:tcW w:type="dxa" w:w="3192"/>
            <w:tcBorders>
              <w:top w:val="single" w:sz="1"/>
              <w:left w:val="single" w:sz="1"/>
              <w:bottom w:val="single" w:sz="1"/>
              <w:right w:val="single" w:sz="1"/>
            </w:tcBorders>
            <w:vAlign w:val="top"/>
          </w:tcPr>
          <w:p>
            <w:r>
              <w:t xml:space="preserve">Verification tool in LangChain ecosystem</w:t>
            </w:r>
          </w:p>
        </w:tc>
      </w:tr>
      <w:tr>
        <w:tc>
          <w:tcPr>
            <w:tcW w:type="dxa" w:w="3192"/>
            <w:tcBorders>
              <w:top w:val="single" w:sz="1"/>
              <w:left w:val="single" w:sz="1"/>
              <w:bottom w:val="single" w:sz="1"/>
              <w:right w:val="single" w:sz="1"/>
            </w:tcBorders>
            <w:vAlign w:val="top"/>
          </w:tcPr>
          <w:p>
            <w:r>
              <w:t xml:space="preserve">**Stripe**</w:t>
            </w:r>
          </w:p>
        </w:tc>
        <w:tc>
          <w:tcPr>
            <w:tcW w:type="dxa" w:w="3192"/>
            <w:tcBorders>
              <w:top w:val="single" w:sz="1"/>
              <w:left w:val="single" w:sz="1"/>
              <w:bottom w:val="single" w:sz="1"/>
              <w:right w:val="single" w:sz="1"/>
            </w:tcBorders>
            <w:vAlign w:val="top"/>
          </w:tcPr>
          <w:p>
            <w:r>
              <w:t xml:space="preserve">Agentic Commerce Suite; merchant network</w:t>
            </w:r>
          </w:p>
        </w:tc>
        <w:tc>
          <w:tcPr>
            <w:tcW w:type="dxa" w:w="3192"/>
            <w:tcBorders>
              <w:top w:val="single" w:sz="1"/>
              <w:left w:val="single" w:sz="1"/>
              <w:bottom w:val="single" w:sz="1"/>
              <w:right w:val="single" w:sz="1"/>
            </w:tcBorders>
            <w:vAlign w:val="top"/>
          </w:tcPr>
          <w:p>
            <w:r>
              <w:t xml:space="preserve">Verification layer for Shared Payment Tokens</w:t>
            </w:r>
          </w:p>
        </w:tc>
      </w:tr>
    </w:tbl>
    <w:p>
      <w:pPr>
        <w:pStyle w:val="Heading3"/>
        <w:spacing w:after="120" w:before="240"/>
        <w:outlineLvl w:val="2"/>
      </w:pPr>
      <w:r>
        <w:t xml:space="preserve">Data Partners (Improve Product)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400" w:hRule="atLeast"/>
        </w:trPr>
        <w:tc>
          <w:tcPr>
            <w:tcW w:type="dxa" w:w="3192"/>
            <w:tcBorders>
              <w:top w:val="single" w:sz="1"/>
              <w:left w:val="single" w:sz="1"/>
              <w:bottom w:val="single" w:sz="1"/>
              <w:right w:val="single" w:sz="1"/>
            </w:tcBorders>
            <w:shd w:fill="D3D3D3" w:val="clear"/>
            <w:vAlign w:val="center"/>
          </w:tcPr>
          <w:p>
            <w:r>
              <w:t xml:space="preserve">Partner</w:t>
            </w:r>
          </w:p>
        </w:tc>
        <w:tc>
          <w:tcPr>
            <w:tcW w:type="dxa" w:w="3192"/>
            <w:tcBorders>
              <w:top w:val="single" w:sz="1"/>
              <w:left w:val="single" w:sz="1"/>
              <w:bottom w:val="single" w:sz="1"/>
              <w:right w:val="single" w:sz="1"/>
            </w:tcBorders>
            <w:shd w:fill="D3D3D3" w:val="clear"/>
            <w:vAlign w:val="center"/>
          </w:tcPr>
          <w:p>
            <w:r>
              <w:t xml:space="preserve">Why</w:t>
            </w:r>
          </w:p>
        </w:tc>
        <w:tc>
          <w:tcPr>
            <w:tcW w:type="dxa" w:w="3192"/>
            <w:tcBorders>
              <w:top w:val="single" w:sz="1"/>
              <w:left w:val="single" w:sz="1"/>
              <w:bottom w:val="single" w:sz="1"/>
              <w:right w:val="single" w:sz="1"/>
            </w:tcBorders>
            <w:shd w:fill="D3D3D3" w:val="clear"/>
            <w:vAlign w:val="center"/>
          </w:tcPr>
          <w:p>
            <w:r>
              <w:t xml:space="preserve">Value Exchange</w:t>
            </w:r>
          </w:p>
        </w:tc>
      </w:tr>
      <w:tr>
        <w:tc>
          <w:tcPr>
            <w:tcW w:type="dxa" w:w="3192"/>
            <w:tcBorders>
              <w:top w:val="single" w:sz="1"/>
              <w:left w:val="single" w:sz="1"/>
              <w:bottom w:val="single" w:sz="1"/>
              <w:right w:val="single" w:sz="1"/>
            </w:tcBorders>
            <w:vAlign w:val="top"/>
          </w:tcPr>
          <w:p>
            <w:r>
              <w:t xml:space="preserve">**National Student Clearinghouse**</w:t>
            </w:r>
          </w:p>
        </w:tc>
        <w:tc>
          <w:tcPr>
            <w:tcW w:type="dxa" w:w="3192"/>
            <w:tcBorders>
              <w:top w:val="single" w:sz="1"/>
              <w:left w:val="single" w:sz="1"/>
              <w:bottom w:val="single" w:sz="1"/>
              <w:right w:val="single" w:sz="1"/>
            </w:tcBorders>
            <w:vAlign w:val="top"/>
          </w:tcPr>
          <w:p>
            <w:r>
              <w:t xml:space="preserve">Largest education data source; moving to VCs</w:t>
            </w:r>
          </w:p>
        </w:tc>
        <w:tc>
          <w:tcPr>
            <w:tcW w:type="dxa" w:w="3192"/>
            <w:tcBorders>
              <w:top w:val="single" w:sz="1"/>
              <w:left w:val="single" w:sz="1"/>
              <w:bottom w:val="single" w:sz="1"/>
              <w:right w:val="single" w:sz="1"/>
            </w:tcBorders>
            <w:vAlign w:val="top"/>
          </w:tcPr>
          <w:p>
            <w:r>
              <w:t xml:space="preserve">Verification infrastructure; they get immutable timestamps</w:t>
            </w:r>
          </w:p>
        </w:tc>
      </w:tr>
      <w:tr>
        <w:tc>
          <w:tcPr>
            <w:tcW w:type="dxa" w:w="3192"/>
            <w:tcBorders>
              <w:top w:val="single" w:sz="1"/>
              <w:left w:val="single" w:sz="1"/>
              <w:bottom w:val="single" w:sz="1"/>
              <w:right w:val="single" w:sz="1"/>
            </w:tcBorders>
            <w:vAlign w:val="top"/>
          </w:tcPr>
          <w:p>
            <w:r>
              <w:t xml:space="preserve">**DigiLocker (India)**</w:t>
            </w:r>
          </w:p>
        </w:tc>
        <w:tc>
          <w:tcPr>
            <w:tcW w:type="dxa" w:w="3192"/>
            <w:tcBorders>
              <w:top w:val="single" w:sz="1"/>
              <w:left w:val="single" w:sz="1"/>
              <w:bottom w:val="single" w:sz="1"/>
              <w:right w:val="single" w:sz="1"/>
            </w:tcBorders>
            <w:vAlign w:val="top"/>
          </w:tcPr>
          <w:p>
            <w:r>
              <w:t xml:space="preserve">500M+ users; 9B documents</w:t>
            </w:r>
          </w:p>
        </w:tc>
        <w:tc>
          <w:tcPr>
            <w:tcW w:type="dxa" w:w="3192"/>
            <w:tcBorders>
              <w:top w:val="single" w:sz="1"/>
              <w:left w:val="single" w:sz="1"/>
              <w:bottom w:val="single" w:sz="1"/>
              <w:right w:val="single" w:sz="1"/>
            </w:tcBorders>
            <w:vAlign w:val="top"/>
          </w:tcPr>
          <w:p>
            <w:r>
              <w:t xml:space="preserve">Market access to Indian credential ecosystem</w:t>
            </w:r>
          </w:p>
        </w:tc>
      </w:tr>
      <w:tr>
        <w:tc>
          <w:tcPr>
            <w:tcW w:type="dxa" w:w="3192"/>
            <w:tcBorders>
              <w:top w:val="single" w:sz="1"/>
              <w:left w:val="single" w:sz="1"/>
              <w:bottom w:val="single" w:sz="1"/>
              <w:right w:val="single" w:sz="1"/>
            </w:tcBorders>
            <w:vAlign w:val="top"/>
          </w:tcPr>
          <w:p>
            <w:r>
              <w:t xml:space="preserve">**SymphonyAI**</w:t>
            </w:r>
          </w:p>
        </w:tc>
        <w:tc>
          <w:tcPr>
            <w:tcW w:type="dxa" w:w="3192"/>
            <w:tcBorders>
              <w:top w:val="single" w:sz="1"/>
              <w:left w:val="single" w:sz="1"/>
              <w:bottom w:val="single" w:sz="1"/>
              <w:right w:val="single" w:sz="1"/>
            </w:tcBorders>
            <w:vAlign w:val="top"/>
          </w:tcPr>
          <w:p>
            <w:r>
              <w:t xml:space="preserve">Forrester AML Leader; real-time transaction monitoring</w:t>
            </w:r>
          </w:p>
        </w:tc>
        <w:tc>
          <w:tcPr>
            <w:tcW w:type="dxa" w:w="3192"/>
            <w:tcBorders>
              <w:top w:val="single" w:sz="1"/>
              <w:left w:val="single" w:sz="1"/>
              <w:bottom w:val="single" w:sz="1"/>
              <w:right w:val="single" w:sz="1"/>
            </w:tcBorders>
            <w:vAlign w:val="top"/>
          </w:tcPr>
          <w:p>
            <w:r>
              <w:t xml:space="preserve">Timestamp proof for AML-verified KYC docs</w:t>
            </w:r>
          </w:p>
        </w:tc>
      </w:tr>
    </w:tbl>
    <w:p>
      <w:pPr>
        <w:pStyle w:val="Heading2"/>
        <w:spacing w:after="120" w:before="240"/>
        <w:outlineLvl w:val="1"/>
      </w:pPr>
      <w:r>
        <w:t xml:space="preserve">8. Sources</w:t>
      </w:r>
    </w:p>
    <w:p>
      <w:pPr>
        <w:pStyle w:val="Heading3"/>
        <w:spacing w:after="120" w:before="240"/>
        <w:outlineLvl w:val="2"/>
      </w:pPr>
      <w:r>
        <w:t xml:space="preserve">Higher Education</w:t>
      </w:r>
    </w:p>
    <w:p>
      <w:pPr>
        <w:pStyle w:val="ListParagraph"/>
        <w:numPr>
          <w:ilvl w:val="0"/>
          <w:numId w:val="1"/>
        </w:numPr>
        <w:spacing w:after="100"/>
      </w:pPr>
      <w:r>
        <w:t xml:space="preserve">[AACRAO Annual Meeting 2026](https://www.aacrao.org/events-training/meetings/annual-meeting)</w:t>
      </w:r>
    </w:p>
    <w:p>
      <w:pPr>
        <w:pStyle w:val="ListParagraph"/>
        <w:numPr>
          <w:ilvl w:val="0"/>
          <w:numId w:val="1"/>
        </w:numPr>
        <w:spacing w:after="100"/>
      </w:pPr>
      <w:r>
        <w:t xml:space="preserve">[EDUCAUSE Annual Conference 2026](https://events.educause.edu/annual-conference/2026)</w:t>
      </w:r>
    </w:p>
    <w:p>
      <w:pPr>
        <w:pStyle w:val="ListParagraph"/>
        <w:numPr>
          <w:ilvl w:val="0"/>
          <w:numId w:val="1"/>
        </w:numPr>
        <w:spacing w:after="100"/>
      </w:pPr>
      <w:r>
        <w:t xml:space="preserve">[Digital Credentials Consortium (MIT)](https://digitalcredentials.mit.edu/)</w:t>
      </w:r>
    </w:p>
    <w:p>
      <w:pPr>
        <w:pStyle w:val="ListParagraph"/>
        <w:numPr>
          <w:ilvl w:val="0"/>
          <w:numId w:val="1"/>
        </w:numPr>
        <w:spacing w:after="100"/>
      </w:pPr>
      <w:r>
        <w:t xml:space="preserve">[Tennessee Board of Regents CLR](https://www.tbr.edu/student-success/cred-digital-credential-record-system)</w:t>
      </w:r>
    </w:p>
    <w:p>
      <w:pPr>
        <w:pStyle w:val="ListParagraph"/>
        <w:numPr>
          <w:ilvl w:val="0"/>
          <w:numId w:val="1"/>
        </w:numPr>
        <w:spacing w:after="100"/>
      </w:pPr>
      <w:r>
        <w:t xml:space="preserve">[Maryville University Blockchain](https://www.maryville.edu/blockchain/)</w:t>
      </w:r>
    </w:p>
    <w:p>
      <w:pPr>
        <w:pStyle w:val="ListParagraph"/>
        <w:numPr>
          <w:ilvl w:val="0"/>
          <w:numId w:val="1"/>
        </w:numPr>
        <w:spacing w:after="100"/>
      </w:pPr>
      <w:r>
        <w:t xml:space="preserve">[National Student Clearinghouse + Credivera](https://www.credivera.com/news/credivera-announces-strategic-partnership-with-national-student-clearinghouse-to-facilitate-education-verification)</w:t>
      </w:r>
    </w:p>
    <w:p>
      <w:pPr>
        <w:pStyle w:val="ListParagraph"/>
        <w:numPr>
          <w:ilvl w:val="0"/>
          <w:numId w:val="1"/>
        </w:numPr>
        <w:spacing w:after="100"/>
      </w:pPr>
      <w:r>
        <w:t xml:space="preserve">[W3C Verifiable Credentials 2.0](https://www.w3.org/press-releases/2025/verifiable-credentials-2-0/)</w:t>
      </w:r>
    </w:p>
    <w:p>
      <w:pPr>
        <w:pStyle w:val="ListParagraph"/>
        <w:numPr>
          <w:ilvl w:val="0"/>
          <w:numId w:val="1"/>
        </w:numPr>
        <w:spacing w:after="100"/>
      </w:pPr>
      <w:r>
        <w:t xml:space="preserve">[1EdTech CLR Standard 2.0](https://www.1edtech.org/initiatives/digital-credentials/clr)</w:t>
      </w:r>
    </w:p>
    <w:p>
      <w:pPr>
        <w:pStyle w:val="ListParagraph"/>
        <w:numPr>
          <w:ilvl w:val="0"/>
          <w:numId w:val="1"/>
        </w:numPr>
        <w:spacing w:after="100"/>
      </w:pPr>
      <w:r>
        <w:t xml:space="preserve">[Education Design Lab $3.5M RFP](https://eddesignlab.org/advancing-workforce-mobility-rfp-for-credential-transparency-and-skills-validation/)</w:t>
      </w:r>
    </w:p>
    <w:p>
      <w:pPr>
        <w:pStyle w:val="ListParagraph"/>
        <w:numPr>
          <w:ilvl w:val="0"/>
          <w:numId w:val="1"/>
        </w:numPr>
        <w:spacing w:after="100"/>
      </w:pPr>
      <w:r>
        <w:t xml:space="preserve">[Credential Engine Registry](https://credreg.net/)</w:t>
      </w:r>
    </w:p>
    <w:p>
      <w:pPr>
        <w:pStyle w:val="ListParagraph"/>
        <w:numPr>
          <w:ilvl w:val="0"/>
          <w:numId w:val="1"/>
        </w:numPr>
        <w:spacing w:after="100"/>
      </w:pPr>
      <w:r>
        <w:t xml:space="preserve">[Accredible 2025 Year in Review](https://www.accredible.com/blog/accredibles-2025-year-in-review)</w:t>
      </w:r>
    </w:p>
    <w:p>
      <w:pPr>
        <w:pStyle w:val="ListParagraph"/>
        <w:numPr>
          <w:ilvl w:val="0"/>
          <w:numId w:val="1"/>
        </w:numPr>
        <w:spacing w:after="100"/>
      </w:pPr>
      <w:r>
        <w:t xml:space="preserve">[Credly Higher Education](https://info.credly.com/solutions/higher-education)</w:t>
      </w:r>
    </w:p>
    <w:p>
      <w:pPr>
        <w:pStyle w:val="ListParagraph"/>
        <w:numPr>
          <w:ilvl w:val="0"/>
          <w:numId w:val="1"/>
        </w:numPr>
        <w:spacing w:after="100"/>
      </w:pPr>
      <w:r>
        <w:t xml:space="preserve">[Parchment](https://www.parchment.com/)</w:t>
      </w:r>
    </w:p>
    <w:p>
      <w:pPr>
        <w:pStyle w:val="ListParagraph"/>
        <w:numPr>
          <w:ilvl w:val="0"/>
          <w:numId w:val="1"/>
        </w:numPr>
        <w:spacing w:after="100"/>
      </w:pPr>
      <w:r>
        <w:t xml:space="preserve">[Hyland Credentials](https://www.hyland.com/en/solutions/products/hyland-credentials)</w:t>
      </w:r>
    </w:p>
    <w:p>
      <w:pPr>
        <w:pStyle w:val="ListParagraph"/>
        <w:numPr>
          <w:ilvl w:val="0"/>
          <w:numId w:val="1"/>
        </w:numPr>
        <w:spacing w:after="100"/>
      </w:pPr>
      <w:r>
        <w:t xml:space="preserve">[AACRAO Jobs Board](https://jobs.aacrao.org/)</w:t>
      </w:r>
    </w:p>
    <w:p>
      <w:pPr>
        <w:pStyle w:val="ListParagraph"/>
        <w:numPr>
          <w:ilvl w:val="0"/>
          <w:numId w:val="1"/>
        </w:numPr>
        <w:spacing w:after="100"/>
      </w:pPr>
      <w:r>
        <w:t xml:space="preserve">[Arizona State University Credentials](https://accelerate.asu.edu/programs/certificates/)</w:t>
      </w:r>
    </w:p>
    <w:p>
      <w:pPr>
        <w:pStyle w:val="Heading3"/>
        <w:spacing w:after="120" w:before="240"/>
        <w:outlineLvl w:val="2"/>
      </w:pPr>
      <w:r>
        <w:t xml:space="preserve">RegTech / Compliance</w:t>
      </w:r>
    </w:p>
    <w:p>
      <w:pPr>
        <w:pStyle w:val="ListParagraph"/>
        <w:numPr>
          <w:ilvl w:val="0"/>
          <w:numId w:val="1"/>
        </w:numPr>
        <w:spacing w:after="100"/>
      </w:pPr>
      <w:r>
        <w:t xml:space="preserve">[IMARC RegTech Market](https://www.imarcgroup.com/regtech-market)</w:t>
      </w:r>
    </w:p>
    <w:p>
      <w:pPr>
        <w:pStyle w:val="ListParagraph"/>
        <w:numPr>
          <w:ilvl w:val="0"/>
          <w:numId w:val="1"/>
        </w:numPr>
        <w:spacing w:after="100"/>
      </w:pPr>
      <w:r>
        <w:t xml:space="preserve">[Grand View Research RegTech](https://www.grandviewresearch.com/industry-analysis/regulatory-technology-market)</w:t>
      </w:r>
    </w:p>
    <w:p>
      <w:pPr>
        <w:pStyle w:val="ListParagraph"/>
        <w:numPr>
          <w:ilvl w:val="0"/>
          <w:numId w:val="1"/>
        </w:numPr>
        <w:spacing w:after="100"/>
      </w:pPr>
      <w:r>
        <w:t xml:space="preserve">[FinTech Global AI Compliance 2026](https://fintech.global/2026/01/08/ai-regulatory-compliance-priorities-financial-institutions-face-in-2026/)</w:t>
      </w:r>
    </w:p>
    <w:p>
      <w:pPr>
        <w:pStyle w:val="ListParagraph"/>
        <w:numPr>
          <w:ilvl w:val="0"/>
          <w:numId w:val="1"/>
        </w:numPr>
        <w:spacing w:after="100"/>
      </w:pPr>
      <w:r>
        <w:t xml:space="preserve">[SecureFrame Compliance Statistics 2026](https://secureframe.com/blog/compliance-statistics)</w:t>
      </w:r>
    </w:p>
    <w:p>
      <w:pPr>
        <w:pStyle w:val="ListParagraph"/>
        <w:numPr>
          <w:ilvl w:val="0"/>
          <w:numId w:val="1"/>
        </w:numPr>
        <w:spacing w:after="100"/>
      </w:pPr>
      <w:r>
        <w:t xml:space="preserve">[MetricStream Compliance Automation](https://www.metricstream.com/blog/future-of-compliance-ai-and-automation.html)</w:t>
      </w:r>
    </w:p>
    <w:p>
      <w:pPr>
        <w:pStyle w:val="ListParagraph"/>
        <w:numPr>
          <w:ilvl w:val="0"/>
          <w:numId w:val="1"/>
        </w:numPr>
        <w:spacing w:after="100"/>
      </w:pPr>
      <w:r>
        <w:t xml:space="preserve">[BNY Mellon + Behavox Implementation](https://www.businesswire.com/news/home/20250417745701/en/BNY-Upgrades-Compliance-Monitoring-by-Completing-Implementation-of-Behavox-Quantum-AI)</w:t>
      </w:r>
    </w:p>
    <w:p>
      <w:pPr>
        <w:pStyle w:val="ListParagraph"/>
        <w:numPr>
          <w:ilvl w:val="0"/>
          <w:numId w:val="1"/>
        </w:numPr>
        <w:spacing w:after="100"/>
      </w:pPr>
      <w:r>
        <w:t xml:space="preserve">[AscentAI Rebrand](https://www.businesswire.com/news/home/20250312197630/en/Ascent-Technologies-Rebrands-as-AscentAI)</w:t>
      </w:r>
    </w:p>
    <w:p>
      <w:pPr>
        <w:pStyle w:val="ListParagraph"/>
        <w:numPr>
          <w:ilvl w:val="0"/>
          <w:numId w:val="1"/>
        </w:numPr>
        <w:spacing w:after="100"/>
      </w:pPr>
      <w:r>
        <w:t xml:space="preserve">[Chainalysis - Tracxn](https://tracxn.com/d/companies/chainalysis/__GCLhkjeR0IhOaDoFfbCJLrCP7B-rPwSf_e3iGOFgOnI)</w:t>
      </w:r>
    </w:p>
    <w:p>
      <w:pPr>
        <w:pStyle w:val="ListParagraph"/>
        <w:numPr>
          <w:ilvl w:val="0"/>
          <w:numId w:val="1"/>
        </w:numPr>
        <w:spacing w:after="100"/>
      </w:pPr>
      <w:r>
        <w:t xml:space="preserve">[ComplyAdvantage - Tracxn](https://tracxn.com/d/companies/complyadvantage/__KbcBkG4kfgp6dMYIDNIZ7CBb14-5N7MRNhXg4OlC0Xs)</w:t>
      </w:r>
    </w:p>
    <w:p>
      <w:pPr>
        <w:pStyle w:val="ListParagraph"/>
        <w:numPr>
          <w:ilvl w:val="0"/>
          <w:numId w:val="1"/>
        </w:numPr>
        <w:spacing w:after="100"/>
      </w:pPr>
      <w:r>
        <w:t xml:space="preserve">[Behavox Growth 2025](https://www.behavox.com/quantum-2025dec18-major-updates/)</w:t>
      </w:r>
    </w:p>
    <w:p>
      <w:pPr>
        <w:pStyle w:val="ListParagraph"/>
        <w:numPr>
          <w:ilvl w:val="0"/>
          <w:numId w:val="1"/>
        </w:numPr>
        <w:spacing w:after="100"/>
      </w:pPr>
      <w:r>
        <w:t xml:space="preserve">[Global RegTech Summit 2026](https://fintech.global/globalregtechsummit/)</w:t>
      </w:r>
    </w:p>
    <w:p>
      <w:pPr>
        <w:pStyle w:val="ListParagraph"/>
        <w:numPr>
          <w:ilvl w:val="0"/>
          <w:numId w:val="1"/>
        </w:numPr>
        <w:spacing w:after="100"/>
      </w:pPr>
      <w:r>
        <w:t xml:space="preserve">[Money20/20 USA 2026](https://us.money2020.com/)</w:t>
      </w:r>
    </w:p>
    <w:p>
      <w:pPr>
        <w:pStyle w:val="ListParagraph"/>
        <w:numPr>
          <w:ilvl w:val="0"/>
          <w:numId w:val="1"/>
        </w:numPr>
        <w:spacing w:after="100"/>
      </w:pPr>
      <w:r>
        <w:t xml:space="preserve">[Sibos 2026](https://www.sibos.com/)</w:t>
      </w:r>
    </w:p>
    <w:p>
      <w:pPr>
        <w:pStyle w:val="ListParagraph"/>
        <w:numPr>
          <w:ilvl w:val="0"/>
          <w:numId w:val="1"/>
        </w:numPr>
        <w:spacing w:after="100"/>
      </w:pPr>
      <w:r>
        <w:t xml:space="preserve">[Compliance Week CCO Anxiety Study](https://www.corporatecomplianceinsights.com/half-compliance-officers-have-anxiety/)</w:t>
      </w:r>
    </w:p>
    <w:p>
      <w:pPr>
        <w:pStyle w:val="ListParagraph"/>
        <w:numPr>
          <w:ilvl w:val="0"/>
          <w:numId w:val="1"/>
        </w:numPr>
        <w:spacing w:after="100"/>
      </w:pPr>
      <w:r>
        <w:t xml:space="preserve">[Technavio Cross-Border Compliance](https://www.technavio.com/report/cross-border-trade-compliance-automation-market-industry-analysis)</w:t>
      </w:r>
    </w:p>
    <w:p>
      <w:pPr>
        <w:pStyle w:val="Heading3"/>
        <w:spacing w:after="120" w:before="240"/>
        <w:outlineLvl w:val="2"/>
      </w:pPr>
      <w:r>
        <w:t xml:space="preserve">AI Agent / Developer</w:t>
      </w:r>
    </w:p>
    <w:p>
      <w:pPr>
        <w:pStyle w:val="ListParagraph"/>
        <w:numPr>
          <w:ilvl w:val="0"/>
          <w:numId w:val="1"/>
        </w:numPr>
        <w:spacing w:after="100"/>
      </w:pPr>
      <w:r>
        <w:t xml:space="preserve">[x402 Protocol](https://www.x402.org/)</w:t>
      </w:r>
    </w:p>
    <w:p>
      <w:pPr>
        <w:pStyle w:val="ListParagraph"/>
        <w:numPr>
          <w:ilvl w:val="0"/>
          <w:numId w:val="1"/>
        </w:numPr>
        <w:spacing w:after="100"/>
      </w:pPr>
      <w:r>
        <w:t xml:space="preserve">[Solana: What is x402?](https://solana.com/x402/what-is-x402)</w:t>
      </w:r>
    </w:p>
    <w:p>
      <w:pPr>
        <w:pStyle w:val="ListParagraph"/>
        <w:numPr>
          <w:ilvl w:val="0"/>
          <w:numId w:val="1"/>
        </w:numPr>
        <w:spacing w:after="100"/>
      </w:pPr>
      <w:r>
        <w:t xml:space="preserve">[Circle Autonomous Payments + x402](https://www.circle.com/blog/autonomous-payments-using-circle-wallets-usdc-and-x402)</w:t>
      </w:r>
    </w:p>
    <w:p>
      <w:pPr>
        <w:pStyle w:val="ListParagraph"/>
        <w:numPr>
          <w:ilvl w:val="0"/>
          <w:numId w:val="1"/>
        </w:numPr>
        <w:spacing w:after="100"/>
      </w:pPr>
      <w:r>
        <w:t xml:space="preserve">[Coinbase x402 Foundation](https://www.coinbase.com/blog/coinbase-and-cloudflare-will-launch-x402-foundation)</w:t>
      </w:r>
    </w:p>
    <w:p>
      <w:pPr>
        <w:pStyle w:val="ListParagraph"/>
        <w:numPr>
          <w:ilvl w:val="0"/>
          <w:numId w:val="1"/>
        </w:numPr>
        <w:spacing w:after="100"/>
      </w:pPr>
      <w:r>
        <w:t xml:space="preserve">[Cloudflare x402](https://blog.cloudflare.com/x402/)</w:t>
      </w:r>
    </w:p>
    <w:p>
      <w:pPr>
        <w:pStyle w:val="ListParagraph"/>
        <w:numPr>
          <w:ilvl w:val="0"/>
          <w:numId w:val="1"/>
        </w:numPr>
        <w:spacing w:after="100"/>
      </w:pPr>
      <w:r>
        <w:t xml:space="preserve">[Google Cloud AP2 Protocol](https://cloud.google.com/blog/products/ai-machine-learning/announcing-agents-to-payments-ap2-protocol)</w:t>
      </w:r>
    </w:p>
    <w:p>
      <w:pPr>
        <w:pStyle w:val="ListParagraph"/>
        <w:numPr>
          <w:ilvl w:val="0"/>
          <w:numId w:val="1"/>
        </w:numPr>
        <w:spacing w:after="100"/>
      </w:pPr>
      <w:r>
        <w:t xml:space="preserve">[Stripe Agentic Commerce Suite](https://stripe.com/blog/agentic-commerce-suite)</w:t>
      </w:r>
    </w:p>
    <w:p>
      <w:pPr>
        <w:pStyle w:val="ListParagraph"/>
        <w:numPr>
          <w:ilvl w:val="0"/>
          <w:numId w:val="1"/>
        </w:numPr>
        <w:spacing w:after="100"/>
      </w:pPr>
      <w:r>
        <w:t xml:space="preserve">[Stripe Agentic Commerce Docs](https://docs.stripe.com/agentic-commerce)</w:t>
      </w:r>
    </w:p>
    <w:p>
      <w:pPr>
        <w:pStyle w:val="ListParagraph"/>
        <w:numPr>
          <w:ilvl w:val="0"/>
          <w:numId w:val="1"/>
        </w:numPr>
        <w:spacing w:after="100"/>
      </w:pPr>
      <w:r>
        <w:t xml:space="preserve">[MCP Roadmap 2026](http://blog.modelcontextprotocol.io/posts/2026-mcp-roadmap/)</w:t>
      </w:r>
    </w:p>
    <w:p>
      <w:pPr>
        <w:pStyle w:val="ListParagraph"/>
        <w:numPr>
          <w:ilvl w:val="0"/>
          <w:numId w:val="1"/>
        </w:numPr>
        <w:spacing w:after="100"/>
      </w:pPr>
      <w:r>
        <w:t xml:space="preserve">[AgentFacts KYA Standard](https://agentfacts.org/kya/)</w:t>
      </w:r>
    </w:p>
    <w:p>
      <w:pPr>
        <w:pStyle w:val="ListParagraph"/>
        <w:numPr>
          <w:ilvl w:val="0"/>
          <w:numId w:val="1"/>
        </w:numPr>
        <w:spacing w:after="100"/>
      </w:pPr>
      <w:r>
        <w:t xml:space="preserve">[Mastercard Verifiable Intent](https://www.mastercard.com/us/en/news-and-trends/stories/2026/verifiable-intent.html)</w:t>
      </w:r>
    </w:p>
    <w:p>
      <w:pPr>
        <w:pStyle w:val="ListParagraph"/>
        <w:numPr>
          <w:ilvl w:val="0"/>
          <w:numId w:val="1"/>
        </w:numPr>
        <w:spacing w:after="100"/>
      </w:pPr>
      <w:r>
        <w:t xml:space="preserve">[ConductorOne AI Access Management](https://www.helpnetsecurity.com/2026/03/20/conductorone-ai-access-management-extension/)</w:t>
      </w:r>
    </w:p>
    <w:p>
      <w:pPr>
        <w:pStyle w:val="ListParagraph"/>
        <w:numPr>
          <w:ilvl w:val="0"/>
          <w:numId w:val="1"/>
        </w:numPr>
        <w:spacing w:after="100"/>
      </w:pPr>
      <w:r>
        <w:t xml:space="preserve">[Vercel AI SDK 6](https://vercel.com/blog/ai-sdk-6)</w:t>
      </w:r>
    </w:p>
    <w:p>
      <w:pPr>
        <w:pStyle w:val="ListParagraph"/>
        <w:numPr>
          <w:ilvl w:val="0"/>
          <w:numId w:val="1"/>
        </w:numPr>
        <w:spacing w:after="100"/>
      </w:pPr>
      <w:r>
        <w:t xml:space="preserve">[OpenAI Agent Tools](https://openai.com/index/new-tools-for-building-agents/)</w:t>
      </w:r>
    </w:p>
    <w:p>
      <w:pPr>
        <w:pStyle w:val="ListParagraph"/>
        <w:numPr>
          <w:ilvl w:val="0"/>
          <w:numId w:val="1"/>
        </w:numPr>
        <w:spacing w:after="100"/>
      </w:pPr>
      <w:r>
        <w:t xml:space="preserve">[Anthropic Claude Partner Network](https://www.anthropic.com/news/claude-partner-network)</w:t>
      </w:r>
    </w:p>
    <w:p>
      <w:pPr>
        <w:pStyle w:val="ListParagraph"/>
        <w:numPr>
          <w:ilvl w:val="0"/>
          <w:numId w:val="1"/>
        </w:numPr>
        <w:spacing w:after="100"/>
      </w:pPr>
      <w:r>
        <w:t xml:space="preserve">[PayPal Agentic Commerce](https://newsroom.paypal-corp.com/2025-10-28-PayPal-Launches-Agentic-Commerce-Services-to-Power-AI-Driven-Shopping)</w:t>
      </w:r>
    </w:p>
    <w:p>
      <w:pPr>
        <w:pStyle w:val="ListParagraph"/>
        <w:numPr>
          <w:ilvl w:val="0"/>
          <w:numId w:val="1"/>
        </w:numPr>
        <w:spacing w:after="100"/>
      </w:pPr>
      <w:r>
        <w:t xml:space="preserve">[Shopify Universal Commerce Protocol](https://www.shopify.com/news/ai-commerce-at-scale)</w:t>
      </w:r>
    </w:p>
    <w:p>
      <w:pPr>
        <w:pStyle w:val="ListParagraph"/>
        <w:numPr>
          <w:ilvl w:val="0"/>
          <w:numId w:val="1"/>
        </w:numPr>
        <w:spacing w:after="100"/>
      </w:pPr>
      <w:r>
        <w:t xml:space="preserve">[Interrupt 2026 by LangChain](https://interrupt.langchain.com/)</w:t>
      </w:r>
    </w:p>
    <w:p>
      <w:pPr>
        <w:pStyle w:val="ListParagraph"/>
        <w:numPr>
          <w:ilvl w:val="0"/>
          <w:numId w:val="1"/>
        </w:numPr>
        <w:spacing w:after="100"/>
      </w:pPr>
      <w:r>
        <w:t xml:space="preserve">[NVIDIA GTC 2026](https://www.nvidia.com/gtc/)</w:t>
      </w:r>
    </w:p>
    <w:p>
      <w:pPr>
        <w:pStyle w:val="ListParagraph"/>
        <w:numPr>
          <w:ilvl w:val="0"/>
          <w:numId w:val="1"/>
        </w:numPr>
        <w:spacing w:after="100"/>
      </w:pPr>
      <w:r>
        <w:t xml:space="preserve">[AI Dev 26](https://ai-dev.deeplearning.ai/)</w:t>
      </w:r>
    </w:p>
    <w:p>
      <w:pPr>
        <w:pStyle w:val="Heading3"/>
        <w:spacing w:after="120" w:before="240"/>
        <w:outlineLvl w:val="2"/>
      </w:pPr>
      <w:r>
        <w:t xml:space="preserve">Legal Tech</w:t>
      </w:r>
    </w:p>
    <w:p>
      <w:pPr>
        <w:pStyle w:val="ListParagraph"/>
        <w:numPr>
          <w:ilvl w:val="0"/>
          <w:numId w:val="1"/>
        </w:numPr>
        <w:spacing w:after="100"/>
      </w:pPr>
      <w:r>
        <w:t xml:space="preserve">[Harvey AI](https://www.harvey.ai/)</w:t>
      </w:r>
    </w:p>
    <w:p>
      <w:pPr>
        <w:pStyle w:val="ListParagraph"/>
        <w:numPr>
          <w:ilvl w:val="0"/>
          <w:numId w:val="1"/>
        </w:numPr>
        <w:spacing w:after="100"/>
      </w:pPr>
      <w:r>
        <w:t xml:space="preserve">[Ironclad ARR](https://sacra.com/c/ironclad/)</w:t>
      </w:r>
    </w:p>
    <w:p>
      <w:pPr>
        <w:pStyle w:val="ListParagraph"/>
        <w:numPr>
          <w:ilvl w:val="0"/>
          <w:numId w:val="1"/>
        </w:numPr>
        <w:spacing w:after="100"/>
      </w:pPr>
      <w:r>
        <w:t xml:space="preserve">[DocuSign Notarization](https://www.docusign.com/blog/fast-secure-notarization-notary-on-demand)</w:t>
      </w:r>
    </w:p>
    <w:p>
      <w:pPr>
        <w:pStyle w:val="ListParagraph"/>
        <w:numPr>
          <w:ilvl w:val="0"/>
          <w:numId w:val="1"/>
        </w:numPr>
        <w:spacing w:after="100"/>
      </w:pPr>
      <w:r>
        <w:t xml:space="preserve">[SECURE Notarization Act](https://www.congress.gov/bill/118th-congress/house-bill/1059)</w:t>
      </w:r>
    </w:p>
    <w:p>
      <w:pPr>
        <w:pStyle w:val="ListParagraph"/>
        <w:numPr>
          <w:ilvl w:val="0"/>
          <w:numId w:val="1"/>
        </w:numPr>
        <w:spacing w:after="100"/>
      </w:pPr>
      <w:r>
        <w:t xml:space="preserve">[CaseText Shutdown](https://www.paxton.ai/post/casetext-has-shut-down)</w:t>
      </w:r>
    </w:p>
    <w:p>
      <w:pPr>
        <w:pStyle w:val="ListParagraph"/>
        <w:numPr>
          <w:ilvl w:val="0"/>
          <w:numId w:val="1"/>
        </w:numPr>
        <w:spacing w:after="100"/>
      </w:pPr>
      <w:r>
        <w:t xml:space="preserve">[eIDAS 2.0 Compliance Challenges](https://www.stibbe.com/publications-and-insights/eidas-2-0-key-implications-for-financial-institutions-in-the-dutch-market)</w:t>
      </w:r>
    </w:p>
    <w:p>
      <w:pPr>
        <w:pStyle w:val="ListParagraph"/>
        <w:numPr>
          <w:ilvl w:val="0"/>
          <w:numId w:val="1"/>
        </w:numPr>
        <w:spacing w:after="100"/>
      </w:pPr>
      <w:r>
        <w:t xml:space="preserve">[Legalweek 2026](https://www.event.law.com/legalweek)</w:t>
      </w:r>
    </w:p>
    <w:p>
      <w:pPr>
        <w:pStyle w:val="ListParagraph"/>
        <w:numPr>
          <w:ilvl w:val="0"/>
          <w:numId w:val="1"/>
        </w:numPr>
        <w:spacing w:after="100"/>
      </w:pPr>
      <w:r>
        <w:t xml:space="preserve">[ABA TECHSHOW 2026](https://www.techshow.com/)</w:t>
      </w:r>
    </w:p>
    <w:p>
      <w:pPr>
        <w:pStyle w:val="ListParagraph"/>
        <w:numPr>
          <w:ilvl w:val="0"/>
          <w:numId w:val="1"/>
        </w:numPr>
        <w:spacing w:after="100"/>
      </w:pPr>
      <w:r>
        <w:t xml:space="preserve">[Legal Tech Conferences 2026](https://www.everlaw.com/blog/professional-development/2026-legal-tech-conferences-to-start-planning-for-now/)</w:t>
      </w:r>
    </w:p>
    <w:p>
      <w:pPr>
        <w:pStyle w:val="Heading3"/>
        <w:spacing w:after="120" w:before="240"/>
        <w:outlineLvl w:val="2"/>
      </w:pPr>
      <w:r>
        <w:t xml:space="preserve">Financial Services</w:t>
      </w:r>
    </w:p>
    <w:p>
      <w:pPr>
        <w:pStyle w:val="ListParagraph"/>
        <w:numPr>
          <w:ilvl w:val="0"/>
          <w:numId w:val="1"/>
        </w:numPr>
        <w:spacing w:after="100"/>
      </w:pPr>
      <w:r>
        <w:t xml:space="preserve">[Juniper AML Market](https://www.juniperresearch.com/press/aml-systems-market-to-surpass-75-billion-by-2030-globally-with-lexisnexis-risk-solutions-oracle-and-experian-leading-the-defence/)</w:t>
      </w:r>
    </w:p>
    <w:p>
      <w:pPr>
        <w:pStyle w:val="ListParagraph"/>
        <w:numPr>
          <w:ilvl w:val="0"/>
          <w:numId w:val="1"/>
        </w:numPr>
        <w:spacing w:after="100"/>
      </w:pPr>
      <w:r>
        <w:t xml:space="preserve">[SymphonyAI Top AML Software](https://www.symphonyai.com/resources/blog/financial-services/top-10-aml-software-banks-2025/)</w:t>
      </w:r>
    </w:p>
    <w:p>
      <w:pPr>
        <w:pStyle w:val="ListParagraph"/>
        <w:numPr>
          <w:ilvl w:val="0"/>
          <w:numId w:val="1"/>
        </w:numPr>
        <w:spacing w:after="100"/>
      </w:pPr>
      <w:r>
        <w:t xml:space="preserve">[Mordor Intelligence KYC Market](https://www.mordorintelligence.com/industry-reports/kyc-market)</w:t>
      </w:r>
    </w:p>
    <w:p>
      <w:pPr>
        <w:pStyle w:val="ListParagraph"/>
        <w:numPr>
          <w:ilvl w:val="0"/>
          <w:numId w:val="1"/>
        </w:numPr>
        <w:spacing w:after="100"/>
      </w:pPr>
      <w:r>
        <w:t xml:space="preserve">[KYC Fraud Trends](https://fintech.global/2025/12/17/top-kyc-failure-reasons-businesses-must-fix-in-2025-26/)</w:t>
      </w:r>
    </w:p>
    <w:p>
      <w:pPr>
        <w:pStyle w:val="ListParagraph"/>
        <w:numPr>
          <w:ilvl w:val="0"/>
          <w:numId w:val="1"/>
        </w:numPr>
        <w:spacing w:after="100"/>
      </w:pPr>
      <w:r>
        <w:t xml:space="preserve">[Shift Technology News](https://www.shift-technology.com/resources/news)</w:t>
      </w:r>
    </w:p>
    <w:p>
      <w:pPr>
        <w:pStyle w:val="ListParagraph"/>
        <w:numPr>
          <w:ilvl w:val="0"/>
          <w:numId w:val="1"/>
        </w:numPr>
        <w:spacing w:after="100"/>
      </w:pPr>
      <w:r>
        <w:t xml:space="preserve">[SEC Supplemental Technical Framework](https://www.sec.gov/files/ctf-written-supplemental-framework-institutional-signatory-integrity-12-14-2025.pdf)</w:t>
      </w:r>
    </w:p>
    <w:p>
      <w:pPr>
        <w:pStyle w:val="ListParagraph"/>
        <w:numPr>
          <w:ilvl w:val="0"/>
          <w:numId w:val="1"/>
        </w:numPr>
        <w:spacing w:after="100"/>
      </w:pPr>
      <w:r>
        <w:t xml:space="preserve">[RegTech Analyst: AML &amp; ID Verification APIs](https://regtechanalyst.com/top-aml-and-identity-verification-apis-for-compliance-in-2026/)</w:t>
      </w:r>
    </w:p>
    <w:p>
      <w:pPr>
        <w:pStyle w:val="ListParagraph"/>
        <w:numPr>
          <w:ilvl w:val="0"/>
          <w:numId w:val="1"/>
        </w:numPr>
        <w:spacing w:after="100"/>
      </w:pPr>
      <w:r>
        <w:t xml:space="preserve">[EY Blockchain Audit](https://www.isaca.org/resources/news-and-trends/industry-news/2024/how-blockchain-technology-is-revolutionizing-audit-and-control-in-information-systems)</w:t>
      </w:r>
    </w:p>
    <w:p>
      <w:pPr>
        <w:pStyle w:val="Heading3"/>
        <w:spacing w:after="120" w:before="240"/>
        <w:outlineLvl w:val="2"/>
      </w:pPr>
      <w:r>
        <w:t xml:space="preserve">Geographic Markets</w:t>
      </w:r>
    </w:p>
    <w:p>
      <w:pPr>
        <w:pStyle w:val="ListParagraph"/>
        <w:numPr>
          <w:ilvl w:val="0"/>
          <w:numId w:val="1"/>
        </w:numPr>
        <w:spacing w:after="100"/>
      </w:pPr>
      <w:r>
        <w:t xml:space="preserve">[Kenya Digital Verifiable Credentials](https://techafricanews.com/2025/10/01/kenya-to-replace-paper-degrees-with-digital-verifiable-credentials/)</w:t>
      </w:r>
    </w:p>
    <w:p>
      <w:pPr>
        <w:pStyle w:val="ListParagraph"/>
        <w:numPr>
          <w:ilvl w:val="0"/>
          <w:numId w:val="1"/>
        </w:numPr>
        <w:spacing w:after="100"/>
      </w:pPr>
      <w:r>
        <w:t xml:space="preserve">[Kenya KCSE E-Certificates](https://ynews.digital/governance/knec-kcse-e-certificates-online-verification-2023/)</w:t>
      </w:r>
    </w:p>
    <w:p>
      <w:pPr>
        <w:pStyle w:val="ListParagraph"/>
        <w:numPr>
          <w:ilvl w:val="0"/>
          <w:numId w:val="1"/>
        </w:numPr>
        <w:spacing w:after="100"/>
      </w:pPr>
      <w:r>
        <w:t xml:space="preserve">[Cybernetica + TBI Kenya Pilot](https://cyber.ee/resources/news/tbi-wallet-kenya/)</w:t>
      </w:r>
    </w:p>
    <w:p>
      <w:pPr>
        <w:pStyle w:val="ListParagraph"/>
        <w:numPr>
          <w:ilvl w:val="0"/>
          <w:numId w:val="1"/>
        </w:numPr>
        <w:spacing w:after="100"/>
      </w:pPr>
      <w:r>
        <w:t xml:space="preserve">[Australia Microcredentials Funding](https://vocal.media/trader/australia-higher-education-market-2026-international-student-growth-digital-learning-and-research-innovation)</w:t>
      </w:r>
    </w:p>
    <w:p>
      <w:pPr>
        <w:pStyle w:val="ListParagraph"/>
        <w:numPr>
          <w:ilvl w:val="0"/>
          <w:numId w:val="1"/>
        </w:numPr>
        <w:spacing w:after="100"/>
      </w:pPr>
      <w:r>
        <w:t xml:space="preserve">[ReadyTech Digital Credentials](https://readytech.io/news-and-views/newsroom/readytech-launches-digital-credentials-technology-for-australian-providers-of-education-and-training)</w:t>
      </w:r>
    </w:p>
    <w:p>
      <w:pPr>
        <w:pStyle w:val="ListParagraph"/>
        <w:numPr>
          <w:ilvl w:val="0"/>
          <w:numId w:val="1"/>
        </w:numPr>
        <w:spacing w:after="100"/>
      </w:pPr>
      <w:r>
        <w:t xml:space="preserve">[Australian Universities Blockchain](https://www.lismorecitynews.com.au/story/8962584/uni-on-the-chain-australian-universities-are-leading-the-charge-on-blockchain-certified-degrees/)</w:t>
      </w:r>
    </w:p>
    <w:p>
      <w:pPr>
        <w:pStyle w:val="ListParagraph"/>
        <w:numPr>
          <w:ilvl w:val="0"/>
          <w:numId w:val="1"/>
        </w:numPr>
        <w:spacing w:after="100"/>
      </w:pPr>
      <w:r>
        <w:t xml:space="preserve">[Melbourne University Blockchain Pilot](https://www.ccn.com/melbourne-university-pilot-blockchain-student-records-aussie-first/)</w:t>
      </w:r>
    </w:p>
    <w:p>
      <w:pPr>
        <w:pStyle w:val="ListParagraph"/>
        <w:numPr>
          <w:ilvl w:val="0"/>
          <w:numId w:val="1"/>
        </w:numPr>
        <w:spacing w:after="100"/>
      </w:pPr>
      <w:r>
        <w:t xml:space="preserve">[MAS Regulatory Sandbox](https://www.mas.gov.sg/development/fintech/regulatory-sandbox)</w:t>
      </w:r>
    </w:p>
    <w:p>
      <w:pPr>
        <w:pStyle w:val="ListParagraph"/>
        <w:numPr>
          <w:ilvl w:val="0"/>
          <w:numId w:val="1"/>
        </w:numPr>
        <w:spacing w:after="100"/>
      </w:pPr>
      <w:r>
        <w:t xml:space="preserve">[Singapore Fintech Statistics 2025](https://abovea.tech/singapore-fintech-statistics-2025/)</w:t>
      </w:r>
    </w:p>
    <w:p>
      <w:pPr>
        <w:pStyle w:val="ListParagraph"/>
        <w:numPr>
          <w:ilvl w:val="0"/>
          <w:numId w:val="1"/>
        </w:numPr>
        <w:spacing w:after="100"/>
      </w:pPr>
      <w:r>
        <w:t xml:space="preserve">[eIDAS 2.0 Timeline](https://eidasreadiness.com/eidas-2-timeline)</w:t>
      </w:r>
    </w:p>
    <w:p>
      <w:pPr>
        <w:pStyle w:val="ListParagraph"/>
        <w:numPr>
          <w:ilvl w:val="0"/>
          <w:numId w:val="1"/>
        </w:numPr>
        <w:spacing w:after="100"/>
      </w:pPr>
      <w:r>
        <w:t xml:space="preserve">[EUDI Wallet Readiness](https://www.biometricupdate.com/202512/will-the-eudi-wallet-be-ready-in-2026-experts-say-probably-not)</w:t>
      </w:r>
    </w:p>
    <w:p>
      <w:pPr>
        <w:pStyle w:val="ListParagraph"/>
        <w:numPr>
          <w:ilvl w:val="0"/>
          <w:numId w:val="1"/>
        </w:numPr>
        <w:spacing w:after="100"/>
      </w:pPr>
      <w:r>
        <w:t xml:space="preserve">[EU Digital Identity - EC](https://commission.europa.eu/topics/digital-economy-and-society/european-digital-identity_en)</w:t>
      </w:r>
    </w:p>
    <w:p>
      <w:pPr>
        <w:pStyle w:val="ListParagraph"/>
        <w:numPr>
          <w:ilvl w:val="0"/>
          <w:numId w:val="1"/>
        </w:numPr>
        <w:spacing w:after="100"/>
      </w:pPr>
      <w:r>
        <w:t xml:space="preserve">[India DigiLocker / ABC ID](https://digilocker.app/abcid.html)</w:t>
      </w:r>
    </w:p>
    <w:p>
      <w:pPr>
        <w:pStyle w:val="ListParagraph"/>
        <w:numPr>
          <w:ilvl w:val="0"/>
          <w:numId w:val="1"/>
        </w:numPr>
        <w:spacing w:after="100"/>
      </w:pPr>
      <w:r>
        <w:t xml:space="preserve">[India Digital Credential Market](https://www.marketresearchfuture.com/reports/india-digital-credential-management-software-market-59477)</w:t>
      </w:r>
    </w:p>
    <w:p>
      <w:pPr>
        <w:pStyle w:val="ListParagraph"/>
        <w:numPr>
          <w:ilvl w:val="0"/>
          <w:numId w:val="1"/>
        </w:numPr>
        <w:spacing w:after="100"/>
      </w:pPr>
      <w:r>
        <w:t xml:space="preserve">[India Digital Public Infrastructure](https://sustainability.stanford.edu/news/creating-indias-digital-public-infrastructure)</w:t>
      </w:r>
    </w:p>
    <w:p>
      <w:pPr>
        <w:pStyle w:val="Heading3"/>
        <w:spacing w:after="120" w:before="240"/>
        <w:outlineLvl w:val="2"/>
      </w:pPr>
      <w:r>
        <w:t xml:space="preserve">Market Trends &amp; Funding</w:t>
      </w:r>
    </w:p>
    <w:p>
      <w:pPr>
        <w:pStyle w:val="ListParagraph"/>
        <w:numPr>
          <w:ilvl w:val="0"/>
          <w:numId w:val="1"/>
        </w:numPr>
        <w:spacing w:after="100"/>
      </w:pPr>
      <w:r>
        <w:t xml:space="preserve">[European RegTech Funding 2025](https://regtechanalyst.com/rebound-in-deals-over-100m-lifted-european-regtech-funding-by-51-yoy-in-2025/)</w:t>
      </w:r>
    </w:p>
    <w:p>
      <w:pPr>
        <w:pStyle w:val="ListParagraph"/>
        <w:numPr>
          <w:ilvl w:val="0"/>
          <w:numId w:val="1"/>
        </w:numPr>
        <w:spacing w:after="100"/>
      </w:pPr>
      <w:r>
        <w:t xml:space="preserve">[AI Venture Funding 2025 - Crunchbase](https://news.crunchbase.com/ai/big-funding-trends-charts-eoy-2025/)</w:t>
      </w:r>
    </w:p>
    <w:p>
      <w:pPr>
        <w:pStyle w:val="ListParagraph"/>
        <w:numPr>
          <w:ilvl w:val="0"/>
          <w:numId w:val="1"/>
        </w:numPr>
        <w:spacing w:after="100"/>
      </w:pPr>
      <w:r>
        <w:t xml:space="preserve">[US State Credential Initiatives](https://hcmstrategists.com/news-updates/new-insights-for-2025-how-states-are-funding-and-expanding-short-term-credential-pathways)</w:t>
      </w:r>
    </w:p>
    <w:p>
      <w:pPr>
        <w:pStyle w:val="ListParagraph"/>
        <w:numPr>
          <w:ilvl w:val="0"/>
          <w:numId w:val="1"/>
        </w:numPr>
        <w:spacing w:after="100"/>
      </w:pPr>
      <w:r>
        <w:t xml:space="preserve">[US DOE $50M Credential Funding](https://credentialengine.org/2025/11/12/funding-opportunity-via-u-s-department-of-education-50-million-available-to-support-high-quality-short-term-programs-via-talent-marketplaces-and-credential-registries/)</w:t>
      </w:r>
    </w:p>
    <w:p>
      <w:pPr>
        <w:pStyle w:val="ListParagraph"/>
        <w:numPr>
          <w:ilvl w:val="0"/>
          <w:numId w:val="1"/>
        </w:numPr>
        <w:spacing w:after="100"/>
      </w:pPr>
      <w:r>
        <w:t xml:space="preserve">[State Government Guide to Digital Identity Wallets 2026](https://everycred.com/blog/2026-state-government-guide-to-digital-identity-wallets-verifiable-credentials/)</w:t>
      </w:r>
    </w:p>
    <w:p>
      <w:pPr>
        <w:pStyle w:val="ListParagraph"/>
        <w:numPr>
          <w:ilvl w:val="0"/>
          <w:numId w:val="1"/>
        </w:numPr>
        <w:spacing w:after="100"/>
      </w:pPr>
      <w:r>
        <w:t xml:space="preserve">[Gartner DevOps Compliance Automation](https://regscale.com/blog/gartner-market-guide-devops-compliance-automation/)</w:t>
      </w:r>
    </w:p>
    <w:p>
      <w:pPr>
        <w:pStyle w:val="ListParagraph"/>
        <w:numPr>
          <w:ilvl w:val="0"/>
          <w:numId w:val="1"/>
        </w:numPr>
        <w:spacing w:after="100"/>
      </w:pPr>
      <w:r>
        <w:t xml:space="preserve">[Blockchain Timestamping 2025 - OriginStamp](https://originstamp.com/blog/reader/blockchain-timestamping-2025-data-integrity/en)</w:t>
      </w:r>
    </w:p>
    <w:p>
      <w:pPr>
        <w:pStyle w:val="ListParagraph"/>
        <w:numPr>
          <w:ilvl w:val="0"/>
          <w:numId w:val="1"/>
        </w:numPr>
        <w:spacing w:after="100"/>
      </w:pPr>
      <w:r>
        <w:t xml:space="preserve">[Verifiable Credentials Guide 2026 - Dock](https://www.dock.io/post/verifiable-credentials)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left"/>
    </w:pPr>
    <w:r>
      <w:rPr>
        <w:rFonts w:ascii="Arial" w:cs="Arial" w:eastAsia="Arial" w:hAnsi="Arial"/>
        <w:sz w:val="20"/>
        <w:szCs w:val="20"/>
      </w:rPr>
      <w:t xml:space="preserve">DRAFT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2026-03-24T22:44:03.717Z</dcterms:created>
  <dcterms:modified xsi:type="dcterms:W3CDTF">2026-03-24T22:44:03.719Z</dcterms:modified>
</cp:coreProperties>
</file>

<file path=docProps/custom.xml><?xml version="1.0" encoding="utf-8"?>
<Properties xmlns="http://schemas.openxmlformats.org/officeDocument/2006/custom-properties" xmlns:vt="http://schemas.openxmlformats.org/officeDocument/2006/docPropsVTypes"/>
</file>