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HRSoft</w:t>
      </w:r>
    </w:p>
    <w:p>
      <w:pPr>
        <w:spacing w:after="100"/>
        <w:jc w:val="center"/>
      </w:pPr>
      <w:r>
        <w:rPr>
          <w:rFonts w:ascii="Arial" w:cs="Arial" w:eastAsia="Arial" w:hAnsi="Arial"/>
          <w:color w:val="2E8B8B"/>
          <w:sz w:val="40"/>
          <w:szCs w:val="40"/>
        </w:rPr>
        <w:t xml:space="preserve">Sales &amp; Market Intelligence</w:t>
      </w:r>
    </w:p>
    <w:p>
      <w:pPr>
        <w:pBdr>
          <w:bottom w:val="single" w:color="2E75B6" w:sz="6" w:space="1"/>
        </w:pBdr>
        <w:spacing w:after="600"/>
        <w:jc w:val="center"/>
      </w:pPr>
    </w:p>
    <w:p>
      <w:pPr>
        <w:spacing w:after="100"/>
        <w:jc w:val="center"/>
      </w:pPr>
      <w:r>
        <w:rPr>
          <w:rFonts w:ascii="Arial" w:cs="Arial" w:eastAsia="Arial" w:hAnsi="Arial"/>
          <w:color w:val="666666"/>
          <w:sz w:val="24"/>
          <w:szCs w:val="24"/>
        </w:rPr>
        <w:t xml:space="preserve">Compensation Management Market Analysis</w:t>
      </w:r>
    </w:p>
    <w:p>
      <w:pPr>
        <w:spacing w:after="100"/>
        <w:jc w:val="center"/>
      </w:pPr>
      <w:r>
        <w:rPr>
          <w:rFonts w:ascii="Arial" w:cs="Arial" w:eastAsia="Arial" w:hAnsi="Arial"/>
          <w:color w:val="666666"/>
          <w:sz w:val="24"/>
          <w:szCs w:val="24"/>
        </w:rPr>
        <w:t xml:space="preserve">March 2026</w:t>
      </w:r>
    </w:p>
    <w:p>
      <w:pPr>
        <w:spacing w:after="200"/>
        <w:jc w:val="center"/>
      </w:pPr>
      <w:r>
        <w:rPr>
          <w:rFonts w:ascii="Arial" w:cs="Arial" w:eastAsia="Arial" w:hAnsi="Arial"/>
          <w:i/>
          <w:iCs/>
          <w:color w:val="666666"/>
          <w:sz w:val="20"/>
          <w:szCs w:val="20"/>
        </w:rPr>
        <w:t xml:space="preserve">Prepared for HRSoft CRO</w:t>
      </w:r>
    </w:p>
    <w:p>
      <w:pPr>
        <w:spacing w:before="1200"/>
      </w:pPr>
    </w:p>
    <w:p>
      <w:pPr>
        <w:jc w:val="center"/>
      </w:pPr>
      <w:r>
        <w:rPr>
          <w:rFonts w:ascii="Arial" w:cs="Arial" w:eastAsia="Arial" w:hAnsi="Arial"/>
          <w:b/>
          <w:bCs/>
          <w:color w:val="CC0000"/>
          <w:sz w:val="22"/>
          <w:szCs w:val="22"/>
        </w:rPr>
        <w:t xml:space="preserve">CONFIDENTIAL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Market Overview</w:t>
      </w:r>
    </w:p>
    <w:p>
      <w:pPr>
        <w:spacing w:after="120"/>
        <w:jc w:val="left"/>
      </w:pPr>
      <w:r>
        <w:rPr>
          <w:rFonts w:ascii="Arial" w:cs="Arial" w:eastAsia="Arial" w:hAnsi="Arial"/>
          <w:b w:val="false"/>
          <w:bCs w:val="false"/>
          <w:i w:val="false"/>
          <w:iCs w:val="false"/>
          <w:color w:val="333333"/>
          <w:sz w:val="20"/>
          <w:szCs w:val="20"/>
        </w:rPr>
        <w:t xml:space="preserve">The global compensation management software market represents one of the fastest-growing segments in HRtech, driven by an unprecedented wave of pay transparency legislation, pay equity mandates, and the increasing complexity of modern compensation structures.</w:t>
      </w:r>
    </w:p>
    <w:p>
      <w:pPr>
        <w:pStyle w:val="Heading2"/>
        <w:spacing w:after="160" w:before="280"/>
      </w:pPr>
      <w:r>
        <w:rPr>
          <w:rFonts w:ascii="Arial" w:cs="Arial" w:eastAsia="Arial" w:hAnsi="Arial"/>
          <w:b/>
          <w:bCs/>
          <w:color w:val="2E8B8B"/>
          <w:sz w:val="26"/>
          <w:szCs w:val="26"/>
        </w:rPr>
        <w:t xml:space="preserve">1.1 Market Size &amp; Growth</w:t>
      </w:r>
    </w:p>
    <w:p>
      <w:pPr>
        <w:spacing w:after="120"/>
        <w:jc w:val="left"/>
      </w:pPr>
      <w:r>
        <w:rPr>
          <w:rFonts w:ascii="Arial" w:cs="Arial" w:eastAsia="Arial" w:hAnsi="Arial"/>
          <w:b w:val="false"/>
          <w:bCs w:val="false"/>
          <w:i w:val="false"/>
          <w:iCs w:val="false"/>
          <w:color w:val="333333"/>
          <w:sz w:val="20"/>
          <w:szCs w:val="20"/>
        </w:rPr>
        <w:t xml:space="preserve">The compensation management software market is valued between $3.8B and $5.2B in 2025-2026, depending on scope definition. Consensus projections indicate 8-10% CAGR through 2030, reaching $11-18B. The broadest estimates (including incentive compensation and sales compensation management) project the market at $18.1B by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2025-26 Value</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2030 Projection</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CAGR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Research &amp; Markets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$3.77B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$6.14B (2032)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7.2%</w:t>
            </w:r>
          </w:p>
        </w:tc>
      </w:tr>
      <w:tr>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Research Nester</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$4.69B</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$5.62B</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8.1%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Market Research Future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$5.74B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$11.8B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8.3%</w:t>
            </w:r>
          </w:p>
        </w:tc>
      </w:tr>
      <w:tr>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Globe Newswire</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$9.40B (broad)</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$18.1B</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9.8%</w:t>
            </w:r>
          </w:p>
        </w:tc>
      </w:tr>
    </w:tbl>
    <w:p>
      <w:pPr>
        <w:spacing w:after="80"/>
      </w:pPr>
    </w:p>
    <w:p>
      <w:pPr>
        <w:pStyle w:val="Heading2"/>
        <w:spacing w:after="160" w:before="280"/>
      </w:pPr>
      <w:r>
        <w:rPr>
          <w:rFonts w:ascii="Arial" w:cs="Arial" w:eastAsia="Arial" w:hAnsi="Arial"/>
          <w:b/>
          <w:bCs/>
          <w:color w:val="2E8B8B"/>
          <w:sz w:val="26"/>
          <w:szCs w:val="26"/>
        </w:rPr>
        <w:t xml:space="preserve">1.2 Key Market Drivers</w:t>
      </w:r>
    </w:p>
    <w:p>
      <w:pPr>
        <w:pStyle w:val="ListParagraph"/>
        <w:numPr>
          <w:ilvl w:val="0"/>
          <w:numId w:val="2"/>
        </w:numPr>
        <w:spacing w:after="60"/>
      </w:pPr>
      <w:r>
        <w:rPr>
          <w:rFonts w:ascii="Arial" w:cs="Arial" w:eastAsia="Arial" w:hAnsi="Arial"/>
          <w:b/>
          <w:bCs/>
          <w:color w:val="333333"/>
          <w:sz w:val="20"/>
          <w:szCs w:val="20"/>
        </w:rPr>
        <w:t xml:space="preserve">Pay Transparency Legislation: </w:t>
      </w:r>
      <w:r>
        <w:rPr>
          <w:rFonts w:ascii="Arial" w:cs="Arial" w:eastAsia="Arial" w:hAnsi="Arial"/>
          <w:color w:val="333333"/>
          <w:sz w:val="20"/>
          <w:szCs w:val="20"/>
        </w:rPr>
        <w:t xml:space="preserve">16+ US states and the EU have enacted pay transparency laws. The EU Pay Transparency Directive (June 2026 deadline) alone creates compliance urgency for every company with EU employees.</w:t>
      </w:r>
    </w:p>
    <w:p>
      <w:pPr>
        <w:pStyle w:val="ListParagraph"/>
        <w:numPr>
          <w:ilvl w:val="0"/>
          <w:numId w:val="2"/>
        </w:numPr>
        <w:spacing w:after="60"/>
      </w:pPr>
      <w:r>
        <w:rPr>
          <w:rFonts w:ascii="Arial" w:cs="Arial" w:eastAsia="Arial" w:hAnsi="Arial"/>
          <w:b/>
          <w:bCs/>
          <w:color w:val="333333"/>
          <w:sz w:val="20"/>
          <w:szCs w:val="20"/>
        </w:rPr>
        <w:t xml:space="preserve">Pay Equity Audits: </w:t>
      </w:r>
      <w:r>
        <w:rPr>
          <w:rFonts w:ascii="Arial" w:cs="Arial" w:eastAsia="Arial" w:hAnsi="Arial"/>
          <w:color w:val="333333"/>
          <w:sz w:val="20"/>
          <w:szCs w:val="20"/>
        </w:rPr>
        <w:t xml:space="preserve">Mandatory gender pay gap reporting in EU, UK, Australia, and Canada. Companies face fines up to $250K per violation in NYC alone.</w:t>
      </w:r>
    </w:p>
    <w:p>
      <w:pPr>
        <w:pStyle w:val="ListParagraph"/>
        <w:numPr>
          <w:ilvl w:val="0"/>
          <w:numId w:val="2"/>
        </w:numPr>
        <w:spacing w:after="60"/>
      </w:pPr>
      <w:r>
        <w:rPr>
          <w:rFonts w:ascii="Arial" w:cs="Arial" w:eastAsia="Arial" w:hAnsi="Arial"/>
          <w:b/>
          <w:bCs/>
          <w:color w:val="333333"/>
          <w:sz w:val="20"/>
          <w:szCs w:val="20"/>
        </w:rPr>
        <w:t xml:space="preserve">SEC Pay-vs-Performance: </w:t>
      </w:r>
      <w:r>
        <w:rPr>
          <w:rFonts w:ascii="Arial" w:cs="Arial" w:eastAsia="Arial" w:hAnsi="Arial"/>
          <w:color w:val="333333"/>
          <w:sz w:val="20"/>
          <w:szCs w:val="20"/>
        </w:rPr>
        <w:t xml:space="preserve">Public companies must disclose the relationship between executive compensation and financial performance under Item 402(v) of Regulation S-K.</w:t>
      </w:r>
    </w:p>
    <w:p>
      <w:pPr>
        <w:pStyle w:val="ListParagraph"/>
        <w:numPr>
          <w:ilvl w:val="0"/>
          <w:numId w:val="2"/>
        </w:numPr>
        <w:spacing w:after="60"/>
      </w:pPr>
      <w:r>
        <w:rPr>
          <w:rFonts w:ascii="Arial" w:cs="Arial" w:eastAsia="Arial" w:hAnsi="Arial"/>
          <w:b/>
          <w:bCs/>
          <w:color w:val="333333"/>
          <w:sz w:val="20"/>
          <w:szCs w:val="20"/>
        </w:rPr>
        <w:t xml:space="preserve">Remote/Hybrid Work: </w:t>
      </w:r>
      <w:r>
        <w:rPr>
          <w:rFonts w:ascii="Arial" w:cs="Arial" w:eastAsia="Arial" w:hAnsi="Arial"/>
          <w:color w:val="333333"/>
          <w:sz w:val="20"/>
          <w:szCs w:val="20"/>
        </w:rPr>
        <w:t xml:space="preserve">Geographic wage variation for remote employees requires real-time benchmarking integrated with location data. 55% of tech roles are now hybrid/remote.</w:t>
      </w:r>
    </w:p>
    <w:p>
      <w:pPr>
        <w:pStyle w:val="ListParagraph"/>
        <w:numPr>
          <w:ilvl w:val="0"/>
          <w:numId w:val="2"/>
        </w:numPr>
        <w:spacing w:after="60"/>
      </w:pPr>
      <w:r>
        <w:rPr>
          <w:rFonts w:ascii="Arial" w:cs="Arial" w:eastAsia="Arial" w:hAnsi="Arial"/>
          <w:b/>
          <w:bCs/>
          <w:color w:val="333333"/>
          <w:sz w:val="20"/>
          <w:szCs w:val="20"/>
        </w:rPr>
        <w:t xml:space="preserve">Talent Competition: </w:t>
      </w:r>
      <w:r>
        <w:rPr>
          <w:rFonts w:ascii="Arial" w:cs="Arial" w:eastAsia="Arial" w:hAnsi="Arial"/>
          <w:color w:val="333333"/>
          <w:sz w:val="20"/>
          <w:szCs w:val="20"/>
        </w:rPr>
        <w:t xml:space="preserve">AI, cybersecurity, and data science roles command 15-30% premiums. Sophisticated comp planning is table stakes for talent acquisition.</w:t>
      </w:r>
    </w:p>
    <w:p>
      <w:pPr>
        <w:pStyle w:val="ListParagraph"/>
        <w:numPr>
          <w:ilvl w:val="0"/>
          <w:numId w:val="2"/>
        </w:numPr>
        <w:spacing w:after="60"/>
      </w:pPr>
      <w:r>
        <w:rPr>
          <w:rFonts w:ascii="Arial" w:cs="Arial" w:eastAsia="Arial" w:hAnsi="Arial"/>
          <w:b/>
          <w:bCs/>
          <w:color w:val="333333"/>
          <w:sz w:val="20"/>
          <w:szCs w:val="20"/>
        </w:rPr>
        <w:t xml:space="preserve">PE Operational Improvements: </w:t>
      </w:r>
      <w:r>
        <w:rPr>
          <w:rFonts w:ascii="Arial" w:cs="Arial" w:eastAsia="Arial" w:hAnsi="Arial"/>
          <w:color w:val="333333"/>
          <w:sz w:val="20"/>
          <w:szCs w:val="20"/>
        </w:rPr>
        <w:t xml:space="preserve">With purchase price multiples at historic highs, operational improvements are the primary value creation path. Gryphon's investment in HRSoft validates this thesis.</w:t>
      </w:r>
    </w:p>
    <w:p>
      <w:pPr>
        <w:pStyle w:val="Heading2"/>
        <w:spacing w:after="160" w:before="280"/>
      </w:pPr>
      <w:r>
        <w:rPr>
          <w:rFonts w:ascii="Arial" w:cs="Arial" w:eastAsia="Arial" w:hAnsi="Arial"/>
          <w:b/>
          <w:bCs/>
          <w:color w:val="2E8B8B"/>
          <w:sz w:val="26"/>
          <w:szCs w:val="26"/>
        </w:rPr>
        <w:t xml:space="preserve">1.3 Market Segmentation</w:t>
      </w:r>
    </w:p>
    <w:p>
      <w:pPr>
        <w:spacing w:after="120"/>
        <w:jc w:val="left"/>
      </w:pPr>
      <w:r>
        <w:rPr>
          <w:rFonts w:ascii="Arial" w:cs="Arial" w:eastAsia="Arial" w:hAnsi="Arial"/>
          <w:b w:val="false"/>
          <w:bCs w:val="false"/>
          <w:i w:val="false"/>
          <w:iCs w:val="false"/>
          <w:color w:val="333333"/>
          <w:sz w:val="20"/>
          <w:szCs w:val="20"/>
        </w:rPr>
        <w:t xml:space="preserve">By enterprise size, large enterprises (1,000+ employees) account for approximately $3.0B of the market, while SMEs represent $2.07B and are growing faster. By industry, financial services is the largest vertical ($5.8B projected by 2035), followed by technology ($6.2B), healthcare, and manufacturing.</w:t>
      </w:r>
    </w:p>
    <w:p>
      <w:pPr>
        <w:spacing w:after="120"/>
        <w:jc w:val="left"/>
      </w:pPr>
      <w:r>
        <w:rPr>
          <w:rFonts w:ascii="Arial" w:cs="Arial" w:eastAsia="Arial" w:hAnsi="Arial"/>
          <w:b w:val="false"/>
          <w:bCs w:val="false"/>
          <w:i w:val="false"/>
          <w:iCs w:val="false"/>
          <w:color w:val="333333"/>
          <w:sz w:val="20"/>
          <w:szCs w:val="20"/>
        </w:rPr>
        <w:t xml:space="preserve">Cloud-based deployment is the dominant model. Integration with HRIS platforms (Workday, UKG, ADP, BambooHR) is now table stakes. Standalone compensation tools are declining; integrated total rewards platforms are the future.</w:t>
      </w:r>
    </w:p>
    <w:p>
      <w:pPr>
        <w:pStyle w:val="Heading2"/>
        <w:spacing w:after="160" w:before="280"/>
      </w:pPr>
      <w:r>
        <w:rPr>
          <w:rFonts w:ascii="Arial" w:cs="Arial" w:eastAsia="Arial" w:hAnsi="Arial"/>
          <w:b/>
          <w:bCs/>
          <w:color w:val="2E8B8B"/>
          <w:sz w:val="26"/>
          <w:szCs w:val="26"/>
        </w:rPr>
        <w:t xml:space="preserve">1.4 Technology Trends</w:t>
      </w:r>
    </w:p>
    <w:p>
      <w:pPr>
        <w:pStyle w:val="ListParagraph"/>
        <w:numPr>
          <w:ilvl w:val="0"/>
          <w:numId w:val="3"/>
        </w:numPr>
        <w:spacing w:after="60"/>
      </w:pPr>
      <w:r>
        <w:rPr>
          <w:rFonts w:ascii="Arial" w:cs="Arial" w:eastAsia="Arial" w:hAnsi="Arial"/>
          <w:b/>
          <w:bCs/>
          <w:color w:val="333333"/>
          <w:sz w:val="20"/>
          <w:szCs w:val="20"/>
        </w:rPr>
        <w:t xml:space="preserve">AI-Powered Compensation: </w:t>
      </w:r>
      <w:r>
        <w:rPr>
          <w:rFonts w:ascii="Arial" w:cs="Arial" w:eastAsia="Arial" w:hAnsi="Arial"/>
          <w:color w:val="333333"/>
          <w:sz w:val="20"/>
          <w:szCs w:val="20"/>
        </w:rPr>
        <w:t xml:space="preserve">Agentic AI enabling real-time personalized total rewards. AI adoption in comp planning is doubling year-over-year.</w:t>
      </w:r>
    </w:p>
    <w:p>
      <w:pPr>
        <w:pStyle w:val="ListParagraph"/>
        <w:numPr>
          <w:ilvl w:val="0"/>
          <w:numId w:val="3"/>
        </w:numPr>
        <w:spacing w:after="60"/>
      </w:pPr>
      <w:r>
        <w:rPr>
          <w:rFonts w:ascii="Arial" w:cs="Arial" w:eastAsia="Arial" w:hAnsi="Arial"/>
          <w:b/>
          <w:bCs/>
          <w:color w:val="333333"/>
          <w:sz w:val="20"/>
          <w:szCs w:val="20"/>
        </w:rPr>
        <w:t xml:space="preserve">Real-Time Benchmarking: </w:t>
      </w:r>
      <w:r>
        <w:rPr>
          <w:rFonts w:ascii="Arial" w:cs="Arial" w:eastAsia="Arial" w:hAnsi="Arial"/>
          <w:color w:val="333333"/>
          <w:sz w:val="20"/>
          <w:szCs w:val="20"/>
        </w:rPr>
        <w:t xml:space="preserve">Live compensation data from 8,700+ companies (Pave) replacing quarterly survey-based approaches.</w:t>
      </w:r>
    </w:p>
    <w:p>
      <w:pPr>
        <w:pStyle w:val="ListParagraph"/>
        <w:numPr>
          <w:ilvl w:val="0"/>
          <w:numId w:val="3"/>
        </w:numPr>
        <w:spacing w:after="60"/>
      </w:pPr>
      <w:r>
        <w:rPr>
          <w:rFonts w:ascii="Arial" w:cs="Arial" w:eastAsia="Arial" w:hAnsi="Arial"/>
          <w:b/>
          <w:bCs/>
          <w:color w:val="333333"/>
          <w:sz w:val="20"/>
          <w:szCs w:val="20"/>
        </w:rPr>
        <w:t xml:space="preserve">Total Rewards Platforms: </w:t>
      </w:r>
      <w:r>
        <w:rPr>
          <w:rFonts w:ascii="Arial" w:cs="Arial" w:eastAsia="Arial" w:hAnsi="Arial"/>
          <w:color w:val="333333"/>
          <w:sz w:val="20"/>
          <w:szCs w:val="20"/>
        </w:rPr>
        <w:t xml:space="preserve">Unified management of salary, bonus, equity, benefits, and retirement in a single interface.</w:t>
      </w:r>
    </w:p>
    <w:p>
      <w:pPr>
        <w:pStyle w:val="ListParagraph"/>
        <w:numPr>
          <w:ilvl w:val="0"/>
          <w:numId w:val="3"/>
        </w:numPr>
        <w:spacing w:after="60"/>
      </w:pPr>
      <w:r>
        <w:rPr>
          <w:rFonts w:ascii="Arial" w:cs="Arial" w:eastAsia="Arial" w:hAnsi="Arial"/>
          <w:b/>
          <w:bCs/>
          <w:color w:val="333333"/>
          <w:sz w:val="20"/>
          <w:szCs w:val="20"/>
        </w:rPr>
        <w:t xml:space="preserve">HRIS Integration: </w:t>
      </w:r>
      <w:r>
        <w:rPr>
          <w:rFonts w:ascii="Arial" w:cs="Arial" w:eastAsia="Arial" w:hAnsi="Arial"/>
          <w:color w:val="333333"/>
          <w:sz w:val="20"/>
          <w:szCs w:val="20"/>
        </w:rPr>
        <w:t xml:space="preserve">Near-real-time API connections replacing nightly syncs. Bidirectional data flows between comp and HRIS.</w:t>
      </w:r>
    </w:p>
    <w:p>
      <w:r>
        <w:br w:type="page"/>
      </w:r>
    </w:p>
    <w:p>
      <w:pPr>
        <w:pStyle w:val="Heading1"/>
        <w:spacing w:after="200" w:before="360"/>
      </w:pPr>
      <w:r>
        <w:rPr>
          <w:rFonts w:ascii="Arial" w:cs="Arial" w:eastAsia="Arial" w:hAnsi="Arial"/>
          <w:b/>
          <w:bCs/>
          <w:color w:val="1B3A5C"/>
          <w:sz w:val="32"/>
          <w:szCs w:val="32"/>
        </w:rPr>
        <w:t xml:space="preserve">2. Competitive Landscape</w:t>
      </w:r>
    </w:p>
    <w:p>
      <w:pPr>
        <w:spacing w:after="120"/>
        <w:jc w:val="left"/>
      </w:pPr>
      <w:r>
        <w:rPr>
          <w:rFonts w:ascii="Arial" w:cs="Arial" w:eastAsia="Arial" w:hAnsi="Arial"/>
          <w:b w:val="false"/>
          <w:bCs w:val="false"/>
          <w:i w:val="false"/>
          <w:iCs w:val="false"/>
          <w:color w:val="333333"/>
          <w:sz w:val="20"/>
          <w:szCs w:val="20"/>
        </w:rPr>
        <w:t xml:space="preserve">The compensation management market includes 13+ significant players across four tiers: enterprise incumbents (Workday, SAP, Oracle), established specialists (Payscale, Salary.com, Beqom), growth-stage disruptors (Pave, Syndio, Lattice), and niche players (Figures, Assemble, Barley/Workleap, Forma).</w:t>
      </w:r>
    </w:p>
    <w:p>
      <w:pPr>
        <w:pStyle w:val="Heading2"/>
        <w:spacing w:after="160" w:before="280"/>
      </w:pPr>
      <w:r>
        <w:rPr>
          <w:rFonts w:ascii="Arial" w:cs="Arial" w:eastAsia="Arial" w:hAnsi="Arial"/>
          <w:b/>
          <w:bCs/>
          <w:color w:val="2E8B8B"/>
          <w:sz w:val="26"/>
          <w:szCs w:val="26"/>
        </w:rPr>
        <w:t xml:space="preserve">2.1 Enterprise Incumbents</w:t>
      </w:r>
    </w:p>
    <w:p>
      <w:pPr>
        <w:pStyle w:val="Heading3"/>
        <w:spacing w:after="120" w:before="200"/>
      </w:pPr>
      <w:r>
        <w:rPr>
          <w:rFonts w:ascii="Arial" w:cs="Arial" w:eastAsia="Arial" w:hAnsi="Arial"/>
          <w:b/>
          <w:bCs/>
          <w:color w:val="1B3A5C"/>
          <w:sz w:val="22"/>
          <w:szCs w:val="22"/>
        </w:rPr>
        <w:t xml:space="preserve">Workday Advanced Compensation</w:t>
      </w:r>
    </w:p>
    <w:p>
      <w:pPr>
        <w:pStyle w:val="ListParagraph"/>
        <w:numPr>
          <w:ilvl w:val="0"/>
          <w:numId w:val="4"/>
        </w:numPr>
        <w:spacing w:after="60"/>
      </w:pPr>
      <w:r>
        <w:rPr>
          <w:rFonts w:ascii="Arial" w:cs="Arial" w:eastAsia="Arial" w:hAnsi="Arial"/>
          <w:color w:val="333333"/>
          <w:sz w:val="20"/>
          <w:szCs w:val="20"/>
        </w:rPr>
        <w:t xml:space="preserve">Revenue: Public (WDAY). Compensation is a premium module within HCM suite.</w:t>
      </w:r>
    </w:p>
    <w:p>
      <w:pPr>
        <w:pStyle w:val="ListParagraph"/>
        <w:numPr>
          <w:ilvl w:val="0"/>
          <w:numId w:val="4"/>
        </w:numPr>
        <w:spacing w:after="60"/>
      </w:pPr>
      <w:r>
        <w:rPr>
          <w:rFonts w:ascii="Arial" w:cs="Arial" w:eastAsia="Arial" w:hAnsi="Arial"/>
          <w:color w:val="333333"/>
          <w:sz w:val="20"/>
          <w:szCs w:val="20"/>
        </w:rPr>
        <w:t xml:space="preserve">Customers: 880+ using Advanced Compensation. Fortune 500 heavy.</w:t>
      </w:r>
    </w:p>
    <w:p>
      <w:pPr>
        <w:pStyle w:val="ListParagraph"/>
        <w:numPr>
          <w:ilvl w:val="0"/>
          <w:numId w:val="4"/>
        </w:numPr>
        <w:spacing w:after="60"/>
      </w:pPr>
      <w:r>
        <w:rPr>
          <w:rFonts w:ascii="Arial" w:cs="Arial" w:eastAsia="Arial" w:hAnsi="Arial"/>
          <w:color w:val="333333"/>
          <w:sz w:val="20"/>
          <w:szCs w:val="20"/>
        </w:rPr>
        <w:t xml:space="preserve">Pricing: $40-60 PEPM; minimum contracts $300K+.</w:t>
      </w:r>
    </w:p>
    <w:p>
      <w:pPr>
        <w:pStyle w:val="ListParagraph"/>
        <w:numPr>
          <w:ilvl w:val="0"/>
          <w:numId w:val="4"/>
        </w:numPr>
        <w:spacing w:after="60"/>
      </w:pPr>
      <w:r>
        <w:rPr>
          <w:rFonts w:ascii="Arial" w:cs="Arial" w:eastAsia="Arial" w:hAnsi="Arial"/>
          <w:color w:val="333333"/>
          <w:sz w:val="20"/>
          <w:szCs w:val="20"/>
        </w:rPr>
        <w:t xml:space="preserve">Strengths: Most full-featured comp platform per Nucleus Research and IDC. Real-time market benchmarks via Compa partnership. Integrated with full HCM ecosystem.</w:t>
      </w:r>
    </w:p>
    <w:p>
      <w:pPr>
        <w:pStyle w:val="ListParagraph"/>
        <w:numPr>
          <w:ilvl w:val="0"/>
          <w:numId w:val="4"/>
        </w:numPr>
        <w:spacing w:after="60"/>
      </w:pPr>
      <w:r>
        <w:rPr>
          <w:rFonts w:ascii="Arial" w:cs="Arial" w:eastAsia="Arial" w:hAnsi="Arial"/>
          <w:color w:val="333333"/>
          <w:sz w:val="20"/>
          <w:szCs w:val="20"/>
        </w:rPr>
        <w:t xml:space="preserve">Weaknesses: Expensive and opaque pricing. Long implementation (12-18 months). Requires significant IT involvement. High vendor lock-in. Workflow automation limited.</w:t>
      </w:r>
    </w:p>
    <w:p>
      <w:pPr>
        <w:pStyle w:val="ListParagraph"/>
        <w:numPr>
          <w:ilvl w:val="0"/>
          <w:numId w:val="4"/>
        </w:numPr>
        <w:spacing w:after="60"/>
      </w:pPr>
      <w:r>
        <w:rPr>
          <w:rFonts w:ascii="Arial" w:cs="Arial" w:eastAsia="Arial" w:hAnsi="Arial"/>
          <w:color w:val="333333"/>
          <w:sz w:val="20"/>
          <w:szCs w:val="20"/>
        </w:rPr>
        <w:t xml:space="preserve">HRSoft Exploit: Position as purpose-built, faster to implement, lower TCO. Target Workday shops needing specialized comp beyond basic module.</w:t>
      </w:r>
    </w:p>
    <w:p>
      <w:pPr>
        <w:pStyle w:val="Heading3"/>
        <w:spacing w:after="120" w:before="200"/>
      </w:pPr>
      <w:r>
        <w:rPr>
          <w:rFonts w:ascii="Arial" w:cs="Arial" w:eastAsia="Arial" w:hAnsi="Arial"/>
          <w:b/>
          <w:bCs/>
          <w:color w:val="1B3A5C"/>
          <w:sz w:val="22"/>
          <w:szCs w:val="22"/>
        </w:rPr>
        <w:t xml:space="preserve">SAP SuccessFactors Compensation</w:t>
      </w:r>
    </w:p>
    <w:p>
      <w:pPr>
        <w:pStyle w:val="ListParagraph"/>
        <w:numPr>
          <w:ilvl w:val="0"/>
          <w:numId w:val="5"/>
        </w:numPr>
        <w:spacing w:after="60"/>
      </w:pPr>
      <w:r>
        <w:rPr>
          <w:rFonts w:ascii="Arial" w:cs="Arial" w:eastAsia="Arial" w:hAnsi="Arial"/>
          <w:color w:val="333333"/>
          <w:sz w:val="20"/>
          <w:szCs w:val="20"/>
        </w:rPr>
        <w:t xml:space="preserve">Revenue: Part of SAP SE (public). 880+ companies using; 370 in customer database.</w:t>
      </w:r>
    </w:p>
    <w:p>
      <w:pPr>
        <w:pStyle w:val="ListParagraph"/>
        <w:numPr>
          <w:ilvl w:val="0"/>
          <w:numId w:val="5"/>
        </w:numPr>
        <w:spacing w:after="60"/>
      </w:pPr>
      <w:r>
        <w:rPr>
          <w:rFonts w:ascii="Arial" w:cs="Arial" w:eastAsia="Arial" w:hAnsi="Arial"/>
          <w:color w:val="333333"/>
          <w:sz w:val="20"/>
          <w:szCs w:val="20"/>
        </w:rPr>
        <w:t xml:space="preserve">Customers: 56.7% US, 10% Germany, 7.5% Canada. Mostly 10,000+ employees.</w:t>
      </w:r>
    </w:p>
    <w:p>
      <w:pPr>
        <w:pStyle w:val="ListParagraph"/>
        <w:numPr>
          <w:ilvl w:val="0"/>
          <w:numId w:val="5"/>
        </w:numPr>
        <w:spacing w:after="60"/>
      </w:pPr>
      <w:r>
        <w:rPr>
          <w:rFonts w:ascii="Arial" w:cs="Arial" w:eastAsia="Arial" w:hAnsi="Arial"/>
          <w:color w:val="333333"/>
          <w:sz w:val="20"/>
          <w:szCs w:val="20"/>
        </w:rPr>
        <w:t xml:space="preserve">Pricing: Custom enterprise quotes within SuccessFactors suite.</w:t>
      </w:r>
    </w:p>
    <w:p>
      <w:pPr>
        <w:pStyle w:val="ListParagraph"/>
        <w:numPr>
          <w:ilvl w:val="0"/>
          <w:numId w:val="5"/>
        </w:numPr>
        <w:spacing w:after="60"/>
      </w:pPr>
      <w:r>
        <w:rPr>
          <w:rFonts w:ascii="Arial" w:cs="Arial" w:eastAsia="Arial" w:hAnsi="Arial"/>
          <w:color w:val="333333"/>
          <w:sz w:val="20"/>
          <w:szCs w:val="20"/>
        </w:rPr>
        <w:t xml:space="preserve">Strengths: Multi-currency, global capability. Calibration tools tied to performance. Advanced modeling.</w:t>
      </w:r>
    </w:p>
    <w:p>
      <w:pPr>
        <w:pStyle w:val="ListParagraph"/>
        <w:numPr>
          <w:ilvl w:val="0"/>
          <w:numId w:val="5"/>
        </w:numPr>
        <w:spacing w:after="60"/>
      </w:pPr>
      <w:r>
        <w:rPr>
          <w:rFonts w:ascii="Arial" w:cs="Arial" w:eastAsia="Arial" w:hAnsi="Arial"/>
          <w:color w:val="333333"/>
          <w:sz w:val="20"/>
          <w:szCs w:val="20"/>
        </w:rPr>
        <w:t xml:space="preserve">Weaknesses: Clunky, outdated UI (major complaint). Rigid configuration; cannot adapt mid-cycle. Heavy IT dependency. Worksheet generation failures documented in SAP KB. Losing market share to dedicated platforms.</w:t>
      </w:r>
    </w:p>
    <w:p>
      <w:pPr>
        <w:pStyle w:val="ListParagraph"/>
        <w:numPr>
          <w:ilvl w:val="0"/>
          <w:numId w:val="5"/>
        </w:numPr>
        <w:spacing w:after="60"/>
      </w:pPr>
      <w:r>
        <w:rPr>
          <w:rFonts w:ascii="Arial" w:cs="Arial" w:eastAsia="Arial" w:hAnsi="Arial"/>
          <w:color w:val="333333"/>
          <w:sz w:val="20"/>
          <w:szCs w:val="20"/>
        </w:rPr>
        <w:t xml:space="preserve">HRSoft Exploit: Modern UI, mid-cycle flexibility, faster time-to-value. Target frustrated SAP shops.</w:t>
      </w:r>
    </w:p>
    <w:p>
      <w:pPr>
        <w:pStyle w:val="Heading3"/>
        <w:spacing w:after="120" w:before="200"/>
      </w:pPr>
      <w:r>
        <w:rPr>
          <w:rFonts w:ascii="Arial" w:cs="Arial" w:eastAsia="Arial" w:hAnsi="Arial"/>
          <w:b/>
          <w:bCs/>
          <w:color w:val="1B3A5C"/>
          <w:sz w:val="22"/>
          <w:szCs w:val="22"/>
        </w:rPr>
        <w:t xml:space="preserve">Oracle HCM Compensation</w:t>
      </w:r>
    </w:p>
    <w:p>
      <w:pPr>
        <w:pStyle w:val="ListParagraph"/>
        <w:numPr>
          <w:ilvl w:val="0"/>
          <w:numId w:val="6"/>
        </w:numPr>
        <w:spacing w:after="60"/>
      </w:pPr>
      <w:r>
        <w:rPr>
          <w:rFonts w:ascii="Arial" w:cs="Arial" w:eastAsia="Arial" w:hAnsi="Arial"/>
          <w:color w:val="333333"/>
          <w:sz w:val="20"/>
          <w:szCs w:val="20"/>
        </w:rPr>
        <w:t xml:space="preserve">Revenue: Part of Oracle Corp (public). 43.6% market share (highest in segment). 12,234+ companies using Oracle HCM Cloud.</w:t>
      </w:r>
    </w:p>
    <w:p>
      <w:pPr>
        <w:pStyle w:val="ListParagraph"/>
        <w:numPr>
          <w:ilvl w:val="0"/>
          <w:numId w:val="6"/>
        </w:numPr>
        <w:spacing w:after="60"/>
      </w:pPr>
      <w:r>
        <w:rPr>
          <w:rFonts w:ascii="Arial" w:cs="Arial" w:eastAsia="Arial" w:hAnsi="Arial"/>
          <w:color w:val="333333"/>
          <w:sz w:val="20"/>
          <w:szCs w:val="20"/>
        </w:rPr>
        <w:t xml:space="preserve">Pricing: $15 PEPM base; $25-30 with full suite. Add-on modules $3-5 each.</w:t>
      </w:r>
    </w:p>
    <w:p>
      <w:pPr>
        <w:pStyle w:val="ListParagraph"/>
        <w:numPr>
          <w:ilvl w:val="0"/>
          <w:numId w:val="6"/>
        </w:numPr>
        <w:spacing w:after="60"/>
      </w:pPr>
      <w:r>
        <w:rPr>
          <w:rFonts w:ascii="Arial" w:cs="Arial" w:eastAsia="Arial" w:hAnsi="Arial"/>
          <w:color w:val="333333"/>
          <w:sz w:val="20"/>
          <w:szCs w:val="20"/>
        </w:rPr>
        <w:t xml:space="preserve">Strengths: Multi-currency, multi-country. Comprehensive pay component view. Global allocation.</w:t>
      </w:r>
    </w:p>
    <w:p>
      <w:pPr>
        <w:pStyle w:val="ListParagraph"/>
        <w:numPr>
          <w:ilvl w:val="0"/>
          <w:numId w:val="6"/>
        </w:numPr>
        <w:spacing w:after="60"/>
      </w:pPr>
      <w:r>
        <w:rPr>
          <w:rFonts w:ascii="Arial" w:cs="Arial" w:eastAsia="Arial" w:hAnsi="Arial"/>
          <w:color w:val="333333"/>
          <w:sz w:val="20"/>
          <w:szCs w:val="20"/>
        </w:rPr>
        <w:t xml:space="preserve">Weaknesses: Implementation complexity (12-18 months typical). Limited flexibility for non-standard structures. Dated UI. Vendor lock-in. Reporting customization limited.</w:t>
      </w:r>
    </w:p>
    <w:p>
      <w:pPr>
        <w:pStyle w:val="ListParagraph"/>
        <w:numPr>
          <w:ilvl w:val="0"/>
          <w:numId w:val="6"/>
        </w:numPr>
        <w:spacing w:after="60"/>
      </w:pPr>
      <w:r>
        <w:rPr>
          <w:rFonts w:ascii="Arial" w:cs="Arial" w:eastAsia="Arial" w:hAnsi="Arial"/>
          <w:color w:val="333333"/>
          <w:sz w:val="20"/>
          <w:szCs w:val="20"/>
        </w:rPr>
        <w:t xml:space="preserve">HRSoft Exploit: Specialized comp expertise vs. generalist HCM. Faster deployment. Better financial services vertical coverage.</w:t>
      </w:r>
    </w:p>
    <w:p>
      <w:pPr>
        <w:pStyle w:val="Heading2"/>
        <w:spacing w:after="160" w:before="280"/>
      </w:pPr>
      <w:r>
        <w:rPr>
          <w:rFonts w:ascii="Arial" w:cs="Arial" w:eastAsia="Arial" w:hAnsi="Arial"/>
          <w:b/>
          <w:bCs/>
          <w:color w:val="2E8B8B"/>
          <w:sz w:val="26"/>
          <w:szCs w:val="26"/>
        </w:rPr>
        <w:t xml:space="preserve">2.2 Established Specialists</w:t>
      </w:r>
    </w:p>
    <w:p>
      <w:pPr>
        <w:pStyle w:val="Heading3"/>
        <w:spacing w:after="120" w:before="200"/>
      </w:pPr>
      <w:r>
        <w:rPr>
          <w:rFonts w:ascii="Arial" w:cs="Arial" w:eastAsia="Arial" w:hAnsi="Arial"/>
          <w:b/>
          <w:bCs/>
          <w:color w:val="1B3A5C"/>
          <w:sz w:val="22"/>
          <w:szCs w:val="22"/>
        </w:rPr>
        <w:t xml:space="preserve">Payscale</w:t>
      </w:r>
    </w:p>
    <w:p>
      <w:pPr>
        <w:pStyle w:val="ListParagraph"/>
        <w:numPr>
          <w:ilvl w:val="0"/>
          <w:numId w:val="7"/>
        </w:numPr>
        <w:spacing w:after="60"/>
      </w:pPr>
      <w:r>
        <w:rPr>
          <w:rFonts w:ascii="Arial" w:cs="Arial" w:eastAsia="Arial" w:hAnsi="Arial"/>
          <w:color w:val="333333"/>
          <w:sz w:val="20"/>
          <w:szCs w:val="20"/>
        </w:rPr>
        <w:t xml:space="preserve">Funding: $118M raised across 10 rounds. 746 employees.</w:t>
      </w:r>
    </w:p>
    <w:p>
      <w:pPr>
        <w:pStyle w:val="ListParagraph"/>
        <w:numPr>
          <w:ilvl w:val="0"/>
          <w:numId w:val="7"/>
        </w:numPr>
        <w:spacing w:after="60"/>
      </w:pPr>
      <w:r>
        <w:rPr>
          <w:rFonts w:ascii="Arial" w:cs="Arial" w:eastAsia="Arial" w:hAnsi="Arial"/>
          <w:color w:val="333333"/>
          <w:sz w:val="20"/>
          <w:szCs w:val="20"/>
        </w:rPr>
        <w:t xml:space="preserve">Pricing: SaaS subscription. Average $27K/year; range $27K-$120K.</w:t>
      </w:r>
    </w:p>
    <w:p>
      <w:pPr>
        <w:pStyle w:val="ListParagraph"/>
        <w:numPr>
          <w:ilvl w:val="0"/>
          <w:numId w:val="7"/>
        </w:numPr>
        <w:spacing w:after="60"/>
      </w:pPr>
      <w:r>
        <w:rPr>
          <w:rFonts w:ascii="Arial" w:cs="Arial" w:eastAsia="Arial" w:hAnsi="Arial"/>
          <w:color w:val="333333"/>
          <w:sz w:val="20"/>
          <w:szCs w:val="20"/>
        </w:rPr>
        <w:t xml:space="preserve">Strengths: Largest salary survey dataset. Established data provider. Acquired Datapeople (Sept 2025).</w:t>
      </w:r>
    </w:p>
    <w:p>
      <w:pPr>
        <w:pStyle w:val="ListParagraph"/>
        <w:numPr>
          <w:ilvl w:val="0"/>
          <w:numId w:val="7"/>
        </w:numPr>
        <w:spacing w:after="60"/>
      </w:pPr>
      <w:r>
        <w:rPr>
          <w:rFonts w:ascii="Arial" w:cs="Arial" w:eastAsia="Arial" w:hAnsi="Arial"/>
          <w:color w:val="333333"/>
          <w:sz w:val="20"/>
          <w:szCs w:val="20"/>
        </w:rPr>
        <w:t xml:space="preserve">Weaknesses: Organizations outgrow Payscale as they scale globally. Limited job architecture depth, pay equity analysis, scenario modeling. Weak international data. Survey-first approach lacks agility.</w:t>
      </w:r>
    </w:p>
    <w:p>
      <w:pPr>
        <w:pStyle w:val="ListParagraph"/>
        <w:numPr>
          <w:ilvl w:val="0"/>
          <w:numId w:val="7"/>
        </w:numPr>
        <w:spacing w:after="60"/>
      </w:pPr>
      <w:r>
        <w:rPr>
          <w:rFonts w:ascii="Arial" w:cs="Arial" w:eastAsia="Arial" w:hAnsi="Arial"/>
          <w:color w:val="333333"/>
          <w:sz w:val="20"/>
          <w:szCs w:val="20"/>
        </w:rPr>
        <w:t xml:space="preserve">HRSoft Exploit: Full lifecycle management vs. benchmarking-only. Superior financial services depth. Enterprise-grade planning and execution.</w:t>
      </w:r>
    </w:p>
    <w:p>
      <w:pPr>
        <w:pStyle w:val="Heading3"/>
        <w:spacing w:after="120" w:before="200"/>
      </w:pPr>
      <w:r>
        <w:rPr>
          <w:rFonts w:ascii="Arial" w:cs="Arial" w:eastAsia="Arial" w:hAnsi="Arial"/>
          <w:b/>
          <w:bCs/>
          <w:color w:val="1B3A5C"/>
          <w:sz w:val="22"/>
          <w:szCs w:val="22"/>
        </w:rPr>
        <w:t xml:space="preserve">Salary.com / CompAnalyst</w:t>
      </w:r>
    </w:p>
    <w:p>
      <w:pPr>
        <w:pStyle w:val="ListParagraph"/>
        <w:numPr>
          <w:ilvl w:val="0"/>
          <w:numId w:val="8"/>
        </w:numPr>
        <w:spacing w:after="60"/>
      </w:pPr>
      <w:r>
        <w:rPr>
          <w:rFonts w:ascii="Arial" w:cs="Arial" w:eastAsia="Arial" w:hAnsi="Arial"/>
          <w:color w:val="333333"/>
          <w:sz w:val="20"/>
          <w:szCs w:val="20"/>
        </w:rPr>
        <w:t xml:space="preserve">Market share: 0.21% in comp space. 62% large enterprises (&gt;$1B revenue).</w:t>
      </w:r>
    </w:p>
    <w:p>
      <w:pPr>
        <w:pStyle w:val="ListParagraph"/>
        <w:numPr>
          <w:ilvl w:val="0"/>
          <w:numId w:val="8"/>
        </w:numPr>
        <w:spacing w:after="60"/>
      </w:pPr>
      <w:r>
        <w:rPr>
          <w:rFonts w:ascii="Arial" w:cs="Arial" w:eastAsia="Arial" w:hAnsi="Arial"/>
          <w:color w:val="333333"/>
          <w:sz w:val="20"/>
          <w:szCs w:val="20"/>
        </w:rPr>
        <w:t xml:space="preserve">Strengths: 10B+ market data points. CompAnalyst AI for role grouping and pay equity. Gartner Leader.</w:t>
      </w:r>
    </w:p>
    <w:p>
      <w:pPr>
        <w:pStyle w:val="ListParagraph"/>
        <w:numPr>
          <w:ilvl w:val="0"/>
          <w:numId w:val="8"/>
        </w:numPr>
        <w:spacing w:after="60"/>
      </w:pPr>
      <w:r>
        <w:rPr>
          <w:rFonts w:ascii="Arial" w:cs="Arial" w:eastAsia="Arial" w:hAnsi="Arial"/>
          <w:color w:val="333333"/>
          <w:sz w:val="20"/>
          <w:szCs w:val="20"/>
        </w:rPr>
        <w:t xml:space="preserve">Weaknesses: Limited market share despite strong product. Enterprise-focused, may be too complex for mid-market. Opaque pricing for smaller companies.</w:t>
      </w:r>
    </w:p>
    <w:p>
      <w:pPr>
        <w:pStyle w:val="Heading3"/>
        <w:spacing w:after="120" w:before="200"/>
      </w:pPr>
      <w:r>
        <w:rPr>
          <w:rFonts w:ascii="Arial" w:cs="Arial" w:eastAsia="Arial" w:hAnsi="Arial"/>
          <w:b/>
          <w:bCs/>
          <w:color w:val="1B3A5C"/>
          <w:sz w:val="22"/>
          <w:szCs w:val="22"/>
        </w:rPr>
        <w:t xml:space="preserve">Beqom</w:t>
      </w:r>
    </w:p>
    <w:p>
      <w:pPr>
        <w:pStyle w:val="ListParagraph"/>
        <w:numPr>
          <w:ilvl w:val="0"/>
          <w:numId w:val="9"/>
        </w:numPr>
        <w:spacing w:after="60"/>
      </w:pPr>
      <w:r>
        <w:rPr>
          <w:rFonts w:ascii="Arial" w:cs="Arial" w:eastAsia="Arial" w:hAnsi="Arial"/>
          <w:color w:val="333333"/>
          <w:sz w:val="20"/>
          <w:szCs w:val="20"/>
        </w:rPr>
        <w:t xml:space="preserve">Funding: $335M from Goldman Sachs, Renaissance, Eurazeo. Revenue $46.1M (Dec 2024).</w:t>
      </w:r>
    </w:p>
    <w:p>
      <w:pPr>
        <w:pStyle w:val="ListParagraph"/>
        <w:numPr>
          <w:ilvl w:val="0"/>
          <w:numId w:val="9"/>
        </w:numPr>
        <w:spacing w:after="60"/>
      </w:pPr>
      <w:r>
        <w:rPr>
          <w:rFonts w:ascii="Arial" w:cs="Arial" w:eastAsia="Arial" w:hAnsi="Arial"/>
          <w:color w:val="333333"/>
          <w:sz w:val="20"/>
          <w:szCs w:val="20"/>
        </w:rPr>
        <w:t xml:space="preserve">Customers: 3M+ across Global 5000 enterprises.</w:t>
      </w:r>
    </w:p>
    <w:p>
      <w:pPr>
        <w:pStyle w:val="ListParagraph"/>
        <w:numPr>
          <w:ilvl w:val="0"/>
          <w:numId w:val="9"/>
        </w:numPr>
        <w:spacing w:after="60"/>
      </w:pPr>
      <w:r>
        <w:rPr>
          <w:rFonts w:ascii="Arial" w:cs="Arial" w:eastAsia="Arial" w:hAnsi="Arial"/>
          <w:color w:val="333333"/>
          <w:sz w:val="20"/>
          <w:szCs w:val="20"/>
        </w:rPr>
        <w:t xml:space="preserve">Strengths: AI-powered total compensation. Self-service for large enterprises. MS Dynamics integration.</w:t>
      </w:r>
    </w:p>
    <w:p>
      <w:pPr>
        <w:pStyle w:val="ListParagraph"/>
        <w:numPr>
          <w:ilvl w:val="0"/>
          <w:numId w:val="9"/>
        </w:numPr>
        <w:spacing w:after="60"/>
      </w:pPr>
      <w:r>
        <w:rPr>
          <w:rFonts w:ascii="Arial" w:cs="Arial" w:eastAsia="Arial" w:hAnsi="Arial"/>
          <w:color w:val="333333"/>
          <w:sz w:val="20"/>
          <w:szCs w:val="20"/>
        </w:rPr>
        <w:t xml:space="preserve">Weaknesses: High customization = steep learning curve. Long implementation. Slow support. Outdated/cumbersome UI. Pricing prohibitive for mid-market.</w:t>
      </w:r>
    </w:p>
    <w:p>
      <w:pPr>
        <w:pStyle w:val="ListParagraph"/>
        <w:numPr>
          <w:ilvl w:val="0"/>
          <w:numId w:val="9"/>
        </w:numPr>
        <w:spacing w:after="60"/>
      </w:pPr>
      <w:r>
        <w:rPr>
          <w:rFonts w:ascii="Arial" w:cs="Arial" w:eastAsia="Arial" w:hAnsi="Arial"/>
          <w:color w:val="333333"/>
          <w:sz w:val="20"/>
          <w:szCs w:val="20"/>
        </w:rPr>
        <w:t xml:space="preserve">HRSoft Exploit: Easier adoption, faster implementation, better financial services vertical. Target beqom customers frustrated with support and UI.</w:t>
      </w:r>
    </w:p>
    <w:p>
      <w:pPr>
        <w:pStyle w:val="Heading2"/>
        <w:spacing w:after="160" w:before="280"/>
      </w:pPr>
      <w:r>
        <w:rPr>
          <w:rFonts w:ascii="Arial" w:cs="Arial" w:eastAsia="Arial" w:hAnsi="Arial"/>
          <w:b/>
          <w:bCs/>
          <w:color w:val="2E8B8B"/>
          <w:sz w:val="26"/>
          <w:szCs w:val="26"/>
        </w:rPr>
        <w:t xml:space="preserve">2.3 Growth-Stage Disruptors</w:t>
      </w:r>
    </w:p>
    <w:p>
      <w:pPr>
        <w:pStyle w:val="Heading3"/>
        <w:spacing w:after="120" w:before="200"/>
      </w:pPr>
      <w:r>
        <w:rPr>
          <w:rFonts w:ascii="Arial" w:cs="Arial" w:eastAsia="Arial" w:hAnsi="Arial"/>
          <w:b/>
          <w:bCs/>
          <w:color w:val="1B3A5C"/>
          <w:sz w:val="22"/>
          <w:szCs w:val="22"/>
        </w:rPr>
        <w:t xml:space="preserve">Pave</w:t>
      </w:r>
    </w:p>
    <w:p>
      <w:pPr>
        <w:pStyle w:val="ListParagraph"/>
        <w:numPr>
          <w:ilvl w:val="0"/>
          <w:numId w:val="10"/>
        </w:numPr>
        <w:spacing w:after="60"/>
      </w:pPr>
      <w:r>
        <w:rPr>
          <w:rFonts w:ascii="Arial" w:cs="Arial" w:eastAsia="Arial" w:hAnsi="Arial"/>
          <w:color w:val="333333"/>
          <w:sz w:val="20"/>
          <w:szCs w:val="20"/>
        </w:rPr>
        <w:t xml:space="preserve">Funding: $175M total. $1.6B valuation (unicorn). 8,700+ customers.</w:t>
      </w:r>
    </w:p>
    <w:p>
      <w:pPr>
        <w:pStyle w:val="ListParagraph"/>
        <w:numPr>
          <w:ilvl w:val="0"/>
          <w:numId w:val="10"/>
        </w:numPr>
        <w:spacing w:after="60"/>
      </w:pPr>
      <w:r>
        <w:rPr>
          <w:rFonts w:ascii="Arial" w:cs="Arial" w:eastAsia="Arial" w:hAnsi="Arial"/>
          <w:color w:val="333333"/>
          <w:sz w:val="20"/>
          <w:szCs w:val="20"/>
        </w:rPr>
        <w:t xml:space="preserve">Pricing: Per-user SaaS; free tier for benchmarking data.</w:t>
      </w:r>
    </w:p>
    <w:p>
      <w:pPr>
        <w:pStyle w:val="ListParagraph"/>
        <w:numPr>
          <w:ilvl w:val="0"/>
          <w:numId w:val="10"/>
        </w:numPr>
        <w:spacing w:after="60"/>
      </w:pPr>
      <w:r>
        <w:rPr>
          <w:rFonts w:ascii="Arial" w:cs="Arial" w:eastAsia="Arial" w:hAnsi="Arial"/>
          <w:color w:val="333333"/>
          <w:sz w:val="20"/>
          <w:szCs w:val="20"/>
        </w:rPr>
        <w:t xml:space="preserve">Strengths: Real-time comp data. Clean UI. Tech/startup focus. Google Cloud AI partnership.</w:t>
      </w:r>
    </w:p>
    <w:p>
      <w:pPr>
        <w:pStyle w:val="ListParagraph"/>
        <w:numPr>
          <w:ilvl w:val="0"/>
          <w:numId w:val="10"/>
        </w:numPr>
        <w:spacing w:after="60"/>
      </w:pPr>
      <w:r>
        <w:rPr>
          <w:rFonts w:ascii="Arial" w:cs="Arial" w:eastAsia="Arial" w:hAnsi="Arial"/>
          <w:color w:val="333333"/>
          <w:sz w:val="20"/>
          <w:szCs w:val="20"/>
        </w:rPr>
        <w:t xml:space="preserve">Weaknesses: Customization limited for complex structures. Reporting insufficient for advanced needs. CSM dependency for cycle management. Data gaps in non-tech. Expensive.</w:t>
      </w:r>
    </w:p>
    <w:p>
      <w:pPr>
        <w:pStyle w:val="ListParagraph"/>
        <w:numPr>
          <w:ilvl w:val="0"/>
          <w:numId w:val="10"/>
        </w:numPr>
        <w:spacing w:after="60"/>
      </w:pPr>
      <w:r>
        <w:rPr>
          <w:rFonts w:ascii="Arial" w:cs="Arial" w:eastAsia="Arial" w:hAnsi="Arial"/>
          <w:color w:val="333333"/>
          <w:sz w:val="20"/>
          <w:szCs w:val="20"/>
        </w:rPr>
        <w:t xml:space="preserve">HRSoft Exploit: Enterprise complexity handling, financial services depth, carried interest capability.</w:t>
      </w:r>
    </w:p>
    <w:p>
      <w:pPr>
        <w:pStyle w:val="Heading3"/>
        <w:spacing w:after="120" w:before="200"/>
      </w:pPr>
      <w:r>
        <w:rPr>
          <w:rFonts w:ascii="Arial" w:cs="Arial" w:eastAsia="Arial" w:hAnsi="Arial"/>
          <w:b/>
          <w:bCs/>
          <w:color w:val="1B3A5C"/>
          <w:sz w:val="22"/>
          <w:szCs w:val="22"/>
        </w:rPr>
        <w:t xml:space="preserve">Syndio</w:t>
      </w:r>
    </w:p>
    <w:p>
      <w:pPr>
        <w:pStyle w:val="ListParagraph"/>
        <w:numPr>
          <w:ilvl w:val="0"/>
          <w:numId w:val="11"/>
        </w:numPr>
        <w:spacing w:after="60"/>
      </w:pPr>
      <w:r>
        <w:rPr>
          <w:rFonts w:ascii="Arial" w:cs="Arial" w:eastAsia="Arial" w:hAnsi="Arial"/>
          <w:color w:val="333333"/>
          <w:sz w:val="20"/>
          <w:szCs w:val="20"/>
        </w:rPr>
        <w:t xml:space="preserve">Funding: $81.2M. Series C led by Emerson Collective. 300+ customers including 30% of Fortune's Most Admired.</w:t>
      </w:r>
    </w:p>
    <w:p>
      <w:pPr>
        <w:pStyle w:val="ListParagraph"/>
        <w:numPr>
          <w:ilvl w:val="0"/>
          <w:numId w:val="11"/>
        </w:numPr>
        <w:spacing w:after="60"/>
      </w:pPr>
      <w:r>
        <w:rPr>
          <w:rFonts w:ascii="Arial" w:cs="Arial" w:eastAsia="Arial" w:hAnsi="Arial"/>
          <w:color w:val="333333"/>
          <w:sz w:val="20"/>
          <w:szCs w:val="20"/>
        </w:rPr>
        <w:t xml:space="preserve">Strengths: First AI-native platform for pay decisions. Global pay transparency. Strong brand.</w:t>
      </w:r>
    </w:p>
    <w:p>
      <w:pPr>
        <w:pStyle w:val="ListParagraph"/>
        <w:numPr>
          <w:ilvl w:val="0"/>
          <w:numId w:val="11"/>
        </w:numPr>
        <w:spacing w:after="60"/>
      </w:pPr>
      <w:r>
        <w:rPr>
          <w:rFonts w:ascii="Arial" w:cs="Arial" w:eastAsia="Arial" w:hAnsi="Arial"/>
          <w:color w:val="333333"/>
          <w:sz w:val="20"/>
          <w:szCs w:val="20"/>
        </w:rPr>
        <w:t xml:space="preserve">Weaknesses: Pay equity-focused only, not full comp lifecycle. No merit budgeting or planning. Primarily analytics/compliance vs. execution.</w:t>
      </w:r>
    </w:p>
    <w:p>
      <w:pPr>
        <w:pStyle w:val="ListParagraph"/>
        <w:numPr>
          <w:ilvl w:val="0"/>
          <w:numId w:val="11"/>
        </w:numPr>
        <w:spacing w:after="60"/>
      </w:pPr>
      <w:r>
        <w:rPr>
          <w:rFonts w:ascii="Arial" w:cs="Arial" w:eastAsia="Arial" w:hAnsi="Arial"/>
          <w:color w:val="333333"/>
          <w:sz w:val="20"/>
          <w:szCs w:val="20"/>
        </w:rPr>
        <w:t xml:space="preserve">HRSoft Exploit: Full lifecycle + equity analytics. Position as the execution layer that complements Syndio analytics.</w:t>
      </w:r>
    </w:p>
    <w:p>
      <w:pPr>
        <w:pStyle w:val="Heading3"/>
        <w:spacing w:after="120" w:before="200"/>
      </w:pPr>
      <w:r>
        <w:rPr>
          <w:rFonts w:ascii="Arial" w:cs="Arial" w:eastAsia="Arial" w:hAnsi="Arial"/>
          <w:b/>
          <w:bCs/>
          <w:color w:val="1B3A5C"/>
          <w:sz w:val="22"/>
          <w:szCs w:val="22"/>
        </w:rPr>
        <w:t xml:space="preserve">Lattice</w:t>
      </w:r>
    </w:p>
    <w:p>
      <w:pPr>
        <w:pStyle w:val="ListParagraph"/>
        <w:numPr>
          <w:ilvl w:val="0"/>
          <w:numId w:val="12"/>
        </w:numPr>
        <w:spacing w:after="60"/>
      </w:pPr>
      <w:r>
        <w:rPr>
          <w:rFonts w:ascii="Arial" w:cs="Arial" w:eastAsia="Arial" w:hAnsi="Arial"/>
          <w:color w:val="333333"/>
          <w:sz w:val="20"/>
          <w:szCs w:val="20"/>
        </w:rPr>
        <w:t xml:space="preserve">Funding: $2.3B valuation (Series C, 2021). Pricing: $14-22 PEPM; comp module adds $72/PEPM premium.</w:t>
      </w:r>
    </w:p>
    <w:p>
      <w:pPr>
        <w:pStyle w:val="ListParagraph"/>
        <w:numPr>
          <w:ilvl w:val="0"/>
          <w:numId w:val="12"/>
        </w:numPr>
        <w:spacing w:after="60"/>
      </w:pPr>
      <w:r>
        <w:rPr>
          <w:rFonts w:ascii="Arial" w:cs="Arial" w:eastAsia="Arial" w:hAnsi="Arial"/>
          <w:color w:val="333333"/>
          <w:sz w:val="20"/>
          <w:szCs w:val="20"/>
        </w:rPr>
        <w:t xml:space="preserve">Strengths: Integrated performance platform. Comp linked to reviews. Easy to use.</w:t>
      </w:r>
    </w:p>
    <w:p>
      <w:pPr>
        <w:pStyle w:val="ListParagraph"/>
        <w:numPr>
          <w:ilvl w:val="0"/>
          <w:numId w:val="12"/>
        </w:numPr>
        <w:spacing w:after="60"/>
      </w:pPr>
      <w:r>
        <w:rPr>
          <w:rFonts w:ascii="Arial" w:cs="Arial" w:eastAsia="Arial" w:hAnsi="Arial"/>
          <w:color w:val="333333"/>
          <w:sz w:val="20"/>
          <w:szCs w:val="20"/>
        </w:rPr>
        <w:t xml:space="preserve">Weaknesses: Comp is an add-on, not core. Packet sharing unreliable. No KPI dashboard. Limited for complex comp structures.</w:t>
      </w:r>
    </w:p>
    <w:p>
      <w:pPr>
        <w:pStyle w:val="ListParagraph"/>
        <w:numPr>
          <w:ilvl w:val="0"/>
          <w:numId w:val="12"/>
        </w:numPr>
        <w:spacing w:after="60"/>
      </w:pPr>
      <w:r>
        <w:rPr>
          <w:rFonts w:ascii="Arial" w:cs="Arial" w:eastAsia="Arial" w:hAnsi="Arial"/>
          <w:color w:val="333333"/>
          <w:sz w:val="20"/>
          <w:szCs w:val="20"/>
        </w:rPr>
        <w:t xml:space="preserve">HRSoft Exploit: Comp-first platform vs. bolted-on module. Superior depth for financial services.</w:t>
      </w:r>
    </w:p>
    <w:p>
      <w:pPr>
        <w:pStyle w:val="Heading2"/>
        <w:spacing w:after="160" w:before="280"/>
      </w:pPr>
      <w:r>
        <w:rPr>
          <w:rFonts w:ascii="Arial" w:cs="Arial" w:eastAsia="Arial" w:hAnsi="Arial"/>
          <w:b/>
          <w:bCs/>
          <w:color w:val="2E8B8B"/>
          <w:sz w:val="26"/>
          <w:szCs w:val="26"/>
        </w:rPr>
        <w:t xml:space="preserve">2.4 Key Acquisitions (2025-2026)</w:t>
      </w:r>
    </w:p>
    <w:p>
      <w:pPr>
        <w:pStyle w:val="ListParagraph"/>
        <w:numPr>
          <w:ilvl w:val="0"/>
          <w:numId w:val="13"/>
        </w:numPr>
        <w:spacing w:after="60"/>
      </w:pPr>
      <w:r>
        <w:rPr>
          <w:rFonts w:ascii="Arial" w:cs="Arial" w:eastAsia="Arial" w:hAnsi="Arial"/>
          <w:color w:val="333333"/>
          <w:sz w:val="20"/>
          <w:szCs w:val="20"/>
        </w:rPr>
        <w:t xml:space="preserve">ADP acquired Pequity (Oct 2025) — major payroll player entering comp software</w:t>
      </w:r>
    </w:p>
    <w:p>
      <w:pPr>
        <w:pStyle w:val="ListParagraph"/>
        <w:numPr>
          <w:ilvl w:val="0"/>
          <w:numId w:val="13"/>
        </w:numPr>
        <w:spacing w:after="60"/>
      </w:pPr>
      <w:r>
        <w:rPr>
          <w:rFonts w:ascii="Arial" w:cs="Arial" w:eastAsia="Arial" w:hAnsi="Arial"/>
          <w:color w:val="333333"/>
          <w:sz w:val="20"/>
          <w:szCs w:val="20"/>
        </w:rPr>
        <w:t xml:space="preserve">Workleap acquired Barley (Jul 2025) — consolidation of comp into performance platforms</w:t>
      </w:r>
    </w:p>
    <w:p>
      <w:pPr>
        <w:pStyle w:val="ListParagraph"/>
        <w:numPr>
          <w:ilvl w:val="0"/>
          <w:numId w:val="13"/>
        </w:numPr>
        <w:spacing w:after="60"/>
      </w:pPr>
      <w:r>
        <w:rPr>
          <w:rFonts w:ascii="Arial" w:cs="Arial" w:eastAsia="Arial" w:hAnsi="Arial"/>
          <w:color w:val="333333"/>
          <w:sz w:val="20"/>
          <w:szCs w:val="20"/>
        </w:rPr>
        <w:t xml:space="preserve">Pave acquired Option Impact — consolidation of equity benchmarking data</w:t>
      </w:r>
    </w:p>
    <w:p>
      <w:pPr>
        <w:pStyle w:val="ListParagraph"/>
        <w:numPr>
          <w:ilvl w:val="0"/>
          <w:numId w:val="13"/>
        </w:numPr>
        <w:spacing w:after="60"/>
      </w:pPr>
      <w:r>
        <w:rPr>
          <w:rFonts w:ascii="Arial" w:cs="Arial" w:eastAsia="Arial" w:hAnsi="Arial"/>
          <w:color w:val="333333"/>
          <w:sz w:val="20"/>
          <w:szCs w:val="20"/>
        </w:rPr>
        <w:t xml:space="preserve">Gryphon Investors majority investment in HRSoft (March 2026) — validates market maturity</w:t>
      </w:r>
    </w:p>
    <w:p>
      <w:r>
        <w:br w:type="page"/>
      </w:r>
    </w:p>
    <w:p>
      <w:pPr>
        <w:pStyle w:val="Heading1"/>
        <w:spacing w:after="200" w:before="360"/>
      </w:pPr>
      <w:r>
        <w:rPr>
          <w:rFonts w:ascii="Arial" w:cs="Arial" w:eastAsia="Arial" w:hAnsi="Arial"/>
          <w:b/>
          <w:bCs/>
          <w:color w:val="1B3A5C"/>
          <w:sz w:val="32"/>
          <w:szCs w:val="32"/>
        </w:rPr>
        <w:t xml:space="preserve">3. Hot Leads &amp; Buying Signals</w:t>
      </w:r>
    </w:p>
    <w:p>
      <w:pPr>
        <w:spacing w:after="120"/>
        <w:jc w:val="left"/>
      </w:pPr>
      <w:r>
        <w:rPr>
          <w:rFonts w:ascii="Arial" w:cs="Arial" w:eastAsia="Arial" w:hAnsi="Arial"/>
          <w:b w:val="false"/>
          <w:bCs w:val="false"/>
          <w:i w:val="false"/>
          <w:iCs w:val="false"/>
          <w:color w:val="333333"/>
          <w:sz w:val="20"/>
          <w:szCs w:val="20"/>
        </w:rPr>
        <w:t xml:space="preserve">The following signals indicate companies actively in-market or about to be for compensation management software.</w:t>
      </w:r>
    </w:p>
    <w:p>
      <w:pPr>
        <w:pStyle w:val="Heading2"/>
        <w:spacing w:after="160" w:before="280"/>
      </w:pPr>
      <w:r>
        <w:rPr>
          <w:rFonts w:ascii="Arial" w:cs="Arial" w:eastAsia="Arial" w:hAnsi="Arial"/>
          <w:b/>
          <w:bCs/>
          <w:color w:val="2E8B8B"/>
          <w:sz w:val="26"/>
          <w:szCs w:val="26"/>
        </w:rPr>
        <w:t xml:space="preserve">3.1 Companies Hiring Senior Comp Roles</w:t>
      </w:r>
    </w:p>
    <w:p>
      <w:pPr>
        <w:spacing w:after="120"/>
        <w:jc w:val="left"/>
      </w:pPr>
      <w:r>
        <w:rPr>
          <w:rFonts w:ascii="Arial" w:cs="Arial" w:eastAsia="Arial" w:hAnsi="Arial"/>
          <w:b w:val="false"/>
          <w:bCs w:val="false"/>
          <w:i w:val="false"/>
          <w:iCs w:val="false"/>
          <w:color w:val="333333"/>
          <w:sz w:val="20"/>
          <w:szCs w:val="20"/>
        </w:rPr>
        <w:t xml:space="preserve">Over 2,000 Director of Total Rewards positions and 979 VP Compensation positions are currently open across the US. Companies building out the compensation function are prime buyers.</w:t>
      </w:r>
    </w:p>
    <w:p>
      <w:pPr>
        <w:pStyle w:val="ListParagraph"/>
        <w:numPr>
          <w:ilvl w:val="0"/>
          <w:numId w:val="2"/>
        </w:numPr>
        <w:spacing w:after="60"/>
      </w:pPr>
      <w:r>
        <w:rPr>
          <w:rFonts w:ascii="Arial" w:cs="Arial" w:eastAsia="Arial" w:hAnsi="Arial"/>
          <w:color w:val="333333"/>
          <w:sz w:val="20"/>
          <w:szCs w:val="20"/>
        </w:rPr>
        <w:t xml:space="preserve">Salesforce: VP Global Compensation posting (Jan 2026)</w:t>
      </w:r>
    </w:p>
    <w:p>
      <w:pPr>
        <w:pStyle w:val="ListParagraph"/>
        <w:numPr>
          <w:ilvl w:val="0"/>
          <w:numId w:val="2"/>
        </w:numPr>
        <w:spacing w:after="60"/>
      </w:pPr>
      <w:r>
        <w:rPr>
          <w:rFonts w:ascii="Arial" w:cs="Arial" w:eastAsia="Arial" w:hAnsi="Arial"/>
          <w:color w:val="333333"/>
          <w:sz w:val="20"/>
          <w:szCs w:val="20"/>
        </w:rPr>
        <w:t xml:space="preserve">Any company posting Director/VP Total Rewards with $125K-$457K salary ranges</w:t>
      </w:r>
    </w:p>
    <w:p>
      <w:pPr>
        <w:pStyle w:val="ListParagraph"/>
        <w:numPr>
          <w:ilvl w:val="0"/>
          <w:numId w:val="2"/>
        </w:numPr>
        <w:spacing w:after="60"/>
      </w:pPr>
      <w:r>
        <w:rPr>
          <w:rFonts w:ascii="Arial" w:cs="Arial" w:eastAsia="Arial" w:hAnsi="Arial"/>
          <w:color w:val="333333"/>
          <w:sz w:val="20"/>
          <w:szCs w:val="20"/>
        </w:rPr>
        <w:t xml:space="preserve">143% increase in CPO postings since 2020; 30 new CHROs appointed in 2024</w:t>
      </w:r>
    </w:p>
    <w:p>
      <w:pPr>
        <w:pStyle w:val="Heading2"/>
        <w:spacing w:after="160" w:before="280"/>
      </w:pPr>
      <w:r>
        <w:rPr>
          <w:rFonts w:ascii="Arial" w:cs="Arial" w:eastAsia="Arial" w:hAnsi="Arial"/>
          <w:b/>
          <w:bCs/>
          <w:color w:val="2E8B8B"/>
          <w:sz w:val="26"/>
          <w:szCs w:val="26"/>
        </w:rPr>
        <w:t xml:space="preserve">3.2 Pay Transparency Compliance Buyers</w:t>
      </w:r>
    </w:p>
    <w:p>
      <w:pPr>
        <w:pStyle w:val="ListParagraph"/>
        <w:numPr>
          <w:ilvl w:val="0"/>
          <w:numId w:val="3"/>
        </w:numPr>
        <w:spacing w:after="60"/>
      </w:pPr>
      <w:r>
        <w:rPr>
          <w:rFonts w:ascii="Arial" w:cs="Arial" w:eastAsia="Arial" w:hAnsi="Arial"/>
          <w:color w:val="333333"/>
          <w:sz w:val="20"/>
          <w:szCs w:val="20"/>
        </w:rPr>
        <w:t xml:space="preserve">California S.B. 642 (Jan 1, 2026): Tripled filing windows, driving urgent compliance tool adoption</w:t>
      </w:r>
    </w:p>
    <w:p>
      <w:pPr>
        <w:pStyle w:val="ListParagraph"/>
        <w:numPr>
          <w:ilvl w:val="0"/>
          <w:numId w:val="3"/>
        </w:numPr>
        <w:spacing w:after="60"/>
      </w:pPr>
      <w:r>
        <w:rPr>
          <w:rFonts w:ascii="Arial" w:cs="Arial" w:eastAsia="Arial" w:hAnsi="Arial"/>
          <w:color w:val="333333"/>
          <w:sz w:val="20"/>
          <w:szCs w:val="20"/>
        </w:rPr>
        <w:t xml:space="preserve">EU companies scrambling before June 7, 2026 deadline: Only 24% feel prepared</w:t>
      </w:r>
    </w:p>
    <w:p>
      <w:pPr>
        <w:pStyle w:val="ListParagraph"/>
        <w:numPr>
          <w:ilvl w:val="0"/>
          <w:numId w:val="3"/>
        </w:numPr>
        <w:spacing w:after="60"/>
      </w:pPr>
      <w:r>
        <w:rPr>
          <w:rFonts w:ascii="Arial" w:cs="Arial" w:eastAsia="Arial" w:hAnsi="Arial"/>
          <w:color w:val="333333"/>
          <w:sz w:val="20"/>
          <w:szCs w:val="20"/>
        </w:rPr>
        <w:t xml:space="preserve">30+ US state/local jurisdictions implementing pay transparency requirements by 2027</w:t>
      </w:r>
    </w:p>
    <w:p>
      <w:pPr>
        <w:pStyle w:val="ListParagraph"/>
        <w:numPr>
          <w:ilvl w:val="0"/>
          <w:numId w:val="3"/>
        </w:numPr>
        <w:spacing w:after="60"/>
      </w:pPr>
      <w:r>
        <w:rPr>
          <w:rFonts w:ascii="Arial" w:cs="Arial" w:eastAsia="Arial" w:hAnsi="Arial"/>
          <w:color w:val="333333"/>
          <w:sz w:val="20"/>
          <w:szCs w:val="20"/>
        </w:rPr>
        <w:t xml:space="preserve">Companies in states with new laws (NJ June 2025, IL Jan 2025, MA Oct 2025, VT Jul 2025)</w:t>
      </w:r>
    </w:p>
    <w:p>
      <w:pPr>
        <w:pStyle w:val="Heading2"/>
        <w:spacing w:after="160" w:before="280"/>
      </w:pPr>
      <w:r>
        <w:rPr>
          <w:rFonts w:ascii="Arial" w:cs="Arial" w:eastAsia="Arial" w:hAnsi="Arial"/>
          <w:b/>
          <w:bCs/>
          <w:color w:val="2E8B8B"/>
          <w:sz w:val="26"/>
          <w:szCs w:val="26"/>
        </w:rPr>
        <w:t xml:space="preserve">3.3 PE Portfolio Companies (Post-Acquisition)</w:t>
      </w:r>
    </w:p>
    <w:p>
      <w:pPr>
        <w:spacing w:after="120"/>
        <w:jc w:val="left"/>
      </w:pPr>
      <w:r>
        <w:rPr>
          <w:rFonts w:ascii="Arial" w:cs="Arial" w:eastAsia="Arial" w:hAnsi="Arial"/>
          <w:b w:val="false"/>
          <w:bCs w:val="false"/>
          <w:i w:val="false"/>
          <w:iCs w:val="false"/>
          <w:color w:val="333333"/>
          <w:sz w:val="20"/>
          <w:szCs w:val="20"/>
        </w:rPr>
        <w:t xml:space="preserve">36% of all M&amp;A activity in 2024 involved PE firms. Post-acquisition integration requires compensation alignment, equity grant tracking, and performance condition monitoring. PE operating partners now drive 47% of returns in buyouts through operational improvements.</w:t>
      </w:r>
    </w:p>
    <w:p>
      <w:pPr>
        <w:pStyle w:val="ListParagraph"/>
        <w:numPr>
          <w:ilvl w:val="0"/>
          <w:numId w:val="4"/>
        </w:numPr>
        <w:spacing w:after="60"/>
      </w:pPr>
      <w:r>
        <w:rPr>
          <w:rFonts w:ascii="Arial" w:cs="Arial" w:eastAsia="Arial" w:hAnsi="Arial"/>
          <w:color w:val="333333"/>
          <w:sz w:val="20"/>
          <w:szCs w:val="20"/>
        </w:rPr>
        <w:t xml:space="preserve">61% of PE initial equity grants include performance conditions requiring software tracking</w:t>
      </w:r>
    </w:p>
    <w:p>
      <w:pPr>
        <w:pStyle w:val="ListParagraph"/>
        <w:numPr>
          <w:ilvl w:val="0"/>
          <w:numId w:val="4"/>
        </w:numPr>
        <w:spacing w:after="60"/>
      </w:pPr>
      <w:r>
        <w:rPr>
          <w:rFonts w:ascii="Arial" w:cs="Arial" w:eastAsia="Arial" w:hAnsi="Arial"/>
          <w:color w:val="333333"/>
          <w:sz w:val="20"/>
          <w:szCs w:val="20"/>
        </w:rPr>
        <w:t xml:space="preserve">Gryphon Investors portfolio companies (26 current): Immediate warm leads</w:t>
      </w:r>
    </w:p>
    <w:p>
      <w:pPr>
        <w:pStyle w:val="ListParagraph"/>
        <w:numPr>
          <w:ilvl w:val="0"/>
          <w:numId w:val="4"/>
        </w:numPr>
        <w:spacing w:after="60"/>
      </w:pPr>
      <w:r>
        <w:rPr>
          <w:rFonts w:ascii="Arial" w:cs="Arial" w:eastAsia="Arial" w:hAnsi="Arial"/>
          <w:color w:val="333333"/>
          <w:sz w:val="20"/>
          <w:szCs w:val="20"/>
        </w:rPr>
        <w:t xml:space="preserve">Any newly acquired PE portfolio company within 6 months of close</w:t>
      </w:r>
    </w:p>
    <w:p>
      <w:pPr>
        <w:pStyle w:val="Heading2"/>
        <w:spacing w:after="160" w:before="280"/>
      </w:pPr>
      <w:r>
        <w:rPr>
          <w:rFonts w:ascii="Arial" w:cs="Arial" w:eastAsia="Arial" w:hAnsi="Arial"/>
          <w:b/>
          <w:bCs/>
          <w:color w:val="2E8B8B"/>
          <w:sz w:val="26"/>
          <w:szCs w:val="26"/>
        </w:rPr>
        <w:t xml:space="preserve">3.4 IPO-Bound Companies</w:t>
      </w:r>
    </w:p>
    <w:p>
      <w:pPr>
        <w:spacing w:after="120"/>
        <w:jc w:val="left"/>
      </w:pPr>
      <w:r>
        <w:rPr>
          <w:rFonts w:ascii="Arial" w:cs="Arial" w:eastAsia="Arial" w:hAnsi="Arial"/>
          <w:b w:val="false"/>
          <w:bCs w:val="false"/>
          <w:i w:val="false"/>
          <w:iCs w:val="false"/>
          <w:color w:val="333333"/>
          <w:sz w:val="20"/>
          <w:szCs w:val="20"/>
        </w:rPr>
        <w:t xml:space="preserve">Pre-IPO compensation prep begins 6-18 months before IPO. Requirements include establishing an independent comp committee, peer benchmarking, LTI restructuring, and CD&amp;A disclosure preparation. The 2026 IPO pipeline represents a significant pool of buyers.</w:t>
      </w:r>
    </w:p>
    <w:p>
      <w:pPr>
        <w:pStyle w:val="Heading2"/>
        <w:spacing w:after="160" w:before="280"/>
      </w:pPr>
      <w:r>
        <w:rPr>
          <w:rFonts w:ascii="Arial" w:cs="Arial" w:eastAsia="Arial" w:hAnsi="Arial"/>
          <w:b/>
          <w:bCs/>
          <w:color w:val="2E8B8B"/>
          <w:sz w:val="26"/>
          <w:szCs w:val="26"/>
        </w:rPr>
        <w:t xml:space="preserve">3.5 Gryphon Investors Portfolio Cross-Sell</w:t>
      </w:r>
    </w:p>
    <w:p>
      <w:pPr>
        <w:spacing w:after="120"/>
        <w:jc w:val="left"/>
      </w:pPr>
      <w:r>
        <w:rPr>
          <w:rFonts w:ascii="Arial" w:cs="Arial" w:eastAsia="Arial" w:hAnsi="Arial"/>
          <w:b w:val="false"/>
          <w:bCs w:val="false"/>
          <w:i w:val="false"/>
          <w:iCs w:val="false"/>
          <w:color w:val="333333"/>
          <w:sz w:val="20"/>
          <w:szCs w:val="20"/>
        </w:rPr>
        <w:t xml:space="preserve">Gryphon manages $10B+ in assets with 26 current portfolio companies and 112 total investments. These are the warmest leads available:</w:t>
      </w:r>
    </w:p>
    <w:p>
      <w:pPr>
        <w:pStyle w:val="ListParagraph"/>
        <w:numPr>
          <w:ilvl w:val="0"/>
          <w:numId w:val="5"/>
        </w:numPr>
        <w:spacing w:after="60"/>
      </w:pPr>
      <w:r>
        <w:rPr>
          <w:rFonts w:ascii="Arial" w:cs="Arial" w:eastAsia="Arial" w:hAnsi="Arial"/>
          <w:color w:val="333333"/>
          <w:sz w:val="20"/>
          <w:szCs w:val="20"/>
        </w:rPr>
        <w:t xml:space="preserve">Fortreum (cybersecurity): Variable comp tied to security metrics</w:t>
      </w:r>
    </w:p>
    <w:p>
      <w:pPr>
        <w:pStyle w:val="ListParagraph"/>
        <w:numPr>
          <w:ilvl w:val="0"/>
          <w:numId w:val="5"/>
        </w:numPr>
        <w:spacing w:after="60"/>
      </w:pPr>
      <w:r>
        <w:rPr>
          <w:rFonts w:ascii="Arial" w:cs="Arial" w:eastAsia="Arial" w:hAnsi="Arial"/>
          <w:color w:val="333333"/>
          <w:sz w:val="20"/>
          <w:szCs w:val="20"/>
        </w:rPr>
        <w:t xml:space="preserve">Safety Management Group (safety staffing, acquired Jan 2026): Performance-based comp</w:t>
      </w:r>
    </w:p>
    <w:p>
      <w:pPr>
        <w:pStyle w:val="ListParagraph"/>
        <w:numPr>
          <w:ilvl w:val="0"/>
          <w:numId w:val="5"/>
        </w:numPr>
        <w:spacing w:after="60"/>
      </w:pPr>
      <w:r>
        <w:rPr>
          <w:rFonts w:ascii="Arial" w:cs="Arial" w:eastAsia="Arial" w:hAnsi="Arial"/>
          <w:color w:val="333333"/>
          <w:sz w:val="20"/>
          <w:szCs w:val="20"/>
        </w:rPr>
        <w:t xml:space="preserve">Spindrift (beverages): Sales incentive compensation</w:t>
      </w:r>
    </w:p>
    <w:p>
      <w:pPr>
        <w:pStyle w:val="ListParagraph"/>
        <w:numPr>
          <w:ilvl w:val="0"/>
          <w:numId w:val="5"/>
        </w:numPr>
        <w:spacing w:after="60"/>
      </w:pPr>
      <w:r>
        <w:rPr>
          <w:rFonts w:ascii="Arial" w:cs="Arial" w:eastAsia="Arial" w:hAnsi="Arial"/>
          <w:color w:val="333333"/>
          <w:sz w:val="20"/>
          <w:szCs w:val="20"/>
        </w:rPr>
        <w:t xml:space="preserve">All 26 portfolio companies represent immediate intro opportunities via Gryphon operating partners</w:t>
      </w:r>
    </w:p>
    <w:p>
      <w:r>
        <w:br w:type="page"/>
      </w:r>
    </w:p>
    <w:p>
      <w:pPr>
        <w:pStyle w:val="Heading1"/>
        <w:spacing w:after="200" w:before="360"/>
      </w:pPr>
      <w:r>
        <w:rPr>
          <w:rFonts w:ascii="Arial" w:cs="Arial" w:eastAsia="Arial" w:hAnsi="Arial"/>
          <w:b/>
          <w:bCs/>
          <w:color w:val="1B3A5C"/>
          <w:sz w:val="32"/>
          <w:szCs w:val="32"/>
        </w:rPr>
        <w:t xml:space="preserve">4. Financial Services Deep Dive</w:t>
      </w:r>
    </w:p>
    <w:p>
      <w:pPr>
        <w:spacing w:after="120"/>
        <w:jc w:val="left"/>
      </w:pPr>
      <w:r>
        <w:rPr>
          <w:rFonts w:ascii="Arial" w:cs="Arial" w:eastAsia="Arial" w:hAnsi="Arial"/>
          <w:b w:val="false"/>
          <w:bCs w:val="false"/>
          <w:i w:val="false"/>
          <w:iCs w:val="false"/>
          <w:color w:val="333333"/>
          <w:sz w:val="20"/>
          <w:szCs w:val="20"/>
        </w:rPr>
        <w:t xml:space="preserve">Financial services is HRSoft's strongest vertical, validated by the #1 SelectHub ranking for financial services compensation. The segment is projected to reach $5.8B by 2035 and represents the most complex, regulation-heavy compensation environment in any industry.</w:t>
      </w:r>
    </w:p>
    <w:p>
      <w:pPr>
        <w:pStyle w:val="Heading2"/>
        <w:spacing w:after="160" w:before="280"/>
      </w:pPr>
      <w:r>
        <w:rPr>
          <w:rFonts w:ascii="Arial" w:cs="Arial" w:eastAsia="Arial" w:hAnsi="Arial"/>
          <w:b/>
          <w:bCs/>
          <w:color w:val="2E8B8B"/>
          <w:sz w:val="26"/>
          <w:szCs w:val="26"/>
        </w:rPr>
        <w:t xml:space="preserve">4.1 PE/VC Carried Interest Opportunity</w:t>
      </w:r>
    </w:p>
    <w:p>
      <w:pPr>
        <w:spacing w:after="120"/>
        <w:jc w:val="left"/>
      </w:pPr>
      <w:r>
        <w:rPr>
          <w:rFonts w:ascii="Arial" w:cs="Arial" w:eastAsia="Arial" w:hAnsi="Arial"/>
          <w:b w:val="false"/>
          <w:bCs w:val="false"/>
          <w:i w:val="false"/>
          <w:iCs w:val="false"/>
          <w:color w:val="333333"/>
          <w:sz w:val="20"/>
          <w:szCs w:val="20"/>
        </w:rPr>
        <w:t xml:space="preserve">There are 551 PE firms in the US managing a market growing from $465B (2024) to $1.2T (2033) at 10.2% CAGR. The majority rely on Excel spreadsheets for carried interest calculations, introducing significant risk for what is fundamentally a fiduciary responsibility.</w:t>
      </w:r>
    </w:p>
    <w:p>
      <w:pPr>
        <w:pStyle w:val="Heading3"/>
        <w:spacing w:after="120" w:before="200"/>
      </w:pPr>
      <w:r>
        <w:rPr>
          <w:rFonts w:ascii="Arial" w:cs="Arial" w:eastAsia="Arial" w:hAnsi="Arial"/>
          <w:b/>
          <w:bCs/>
          <w:color w:val="1B3A5C"/>
          <w:sz w:val="22"/>
          <w:szCs w:val="22"/>
        </w:rPr>
        <w:t xml:space="preserve">Why Carried Interest Is So Complex</w:t>
      </w:r>
    </w:p>
    <w:p>
      <w:pPr>
        <w:pStyle w:val="ListParagraph"/>
        <w:numPr>
          <w:ilvl w:val="0"/>
          <w:numId w:val="6"/>
        </w:numPr>
        <w:spacing w:after="60"/>
      </w:pPr>
      <w:r>
        <w:rPr>
          <w:rFonts w:ascii="Arial" w:cs="Arial" w:eastAsia="Arial" w:hAnsi="Arial"/>
          <w:color w:val="333333"/>
          <w:sz w:val="20"/>
          <w:szCs w:val="20"/>
        </w:rPr>
        <w:t xml:space="preserve">American-style waterfall models require individual deal performance tracking</w:t>
      </w:r>
    </w:p>
    <w:p>
      <w:pPr>
        <w:pStyle w:val="ListParagraph"/>
        <w:numPr>
          <w:ilvl w:val="0"/>
          <w:numId w:val="6"/>
        </w:numPr>
        <w:spacing w:after="60"/>
      </w:pPr>
      <w:r>
        <w:rPr>
          <w:rFonts w:ascii="Arial" w:cs="Arial" w:eastAsia="Arial" w:hAnsi="Arial"/>
          <w:color w:val="333333"/>
          <w:sz w:val="20"/>
          <w:szCs w:val="20"/>
        </w:rPr>
        <w:t xml:space="preserve">LP/GP waterfall assumptions, equity contribution splits, LP hurdle rates, GP catch-up provisions</w:t>
      </w:r>
    </w:p>
    <w:p>
      <w:pPr>
        <w:pStyle w:val="ListParagraph"/>
        <w:numPr>
          <w:ilvl w:val="0"/>
          <w:numId w:val="6"/>
        </w:numPr>
        <w:spacing w:after="60"/>
      </w:pPr>
      <w:r>
        <w:rPr>
          <w:rFonts w:ascii="Arial" w:cs="Arial" w:eastAsia="Arial" w:hAnsi="Arial"/>
          <w:color w:val="333333"/>
          <w:sz w:val="20"/>
          <w:szCs w:val="20"/>
        </w:rPr>
        <w:t xml:space="preserve">Multiple Excel template tools exist but lack controls, audit trails, and data integrity</w:t>
      </w:r>
    </w:p>
    <w:p>
      <w:pPr>
        <w:pStyle w:val="ListParagraph"/>
        <w:numPr>
          <w:ilvl w:val="0"/>
          <w:numId w:val="6"/>
        </w:numPr>
        <w:spacing w:after="60"/>
      </w:pPr>
      <w:r>
        <w:rPr>
          <w:rFonts w:ascii="Arial" w:cs="Arial" w:eastAsia="Arial" w:hAnsi="Arial"/>
          <w:color w:val="333333"/>
          <w:sz w:val="20"/>
          <w:szCs w:val="20"/>
        </w:rPr>
        <w:t xml:space="preserve">Calculation errors have fiduciary and regulatory consequences</w:t>
      </w:r>
    </w:p>
    <w:p>
      <w:pPr>
        <w:pStyle w:val="Heading3"/>
        <w:spacing w:after="120" w:before="200"/>
      </w:pPr>
      <w:r>
        <w:rPr>
          <w:rFonts w:ascii="Arial" w:cs="Arial" w:eastAsia="Arial" w:hAnsi="Arial"/>
          <w:b/>
          <w:bCs/>
          <w:color w:val="1B3A5C"/>
          <w:sz w:val="22"/>
          <w:szCs w:val="22"/>
        </w:rPr>
        <w:t xml:space="preserve">Target PE/VC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Firm</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AUM</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Focus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Blackstone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$1.0 Trillion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Largest PE firm globally</w:t>
            </w:r>
          </w:p>
        </w:tc>
      </w:tr>
      <w:tr>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Apollo Global Mgmt</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$840 Billion</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PE, distressed, credit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Thoma Bravo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$184 Billion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Largest tech buyout firm</w:t>
            </w:r>
          </w:p>
        </w:tc>
      </w:tr>
      <w:tr>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CVC Capital Partners</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$180 Billion</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Largest European PE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General Atlantic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$114 Billion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Growth equity</w:t>
            </w:r>
          </w:p>
        </w:tc>
      </w:tr>
      <w:tr>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KKR</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$7.9B+ gross carry</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LBOs and venture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Carlyle Group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Balanced buyouts</w:t>
            </w:r>
          </w:p>
        </w:tc>
      </w:tr>
      <w:tr>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Vista Equity Partners</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Major</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Software acquisitions</w:t>
            </w:r>
          </w:p>
        </w:tc>
      </w:tr>
    </w:tbl>
    <w:p>
      <w:pPr>
        <w:spacing w:after="80"/>
      </w:pPr>
    </w:p>
    <w:p>
      <w:pPr>
        <w:pStyle w:val="Heading2"/>
        <w:spacing w:after="160" w:before="280"/>
      </w:pPr>
      <w:r>
        <w:rPr>
          <w:rFonts w:ascii="Arial" w:cs="Arial" w:eastAsia="Arial" w:hAnsi="Arial"/>
          <w:b/>
          <w:bCs/>
          <w:color w:val="2E8B8B"/>
          <w:sz w:val="26"/>
          <w:szCs w:val="26"/>
        </w:rPr>
        <w:t xml:space="preserve">4.2 Investment Banks</w:t>
      </w:r>
    </w:p>
    <w:p>
      <w:pPr>
        <w:spacing w:after="120"/>
        <w:jc w:val="left"/>
      </w:pPr>
      <w:r>
        <w:rPr>
          <w:rFonts w:ascii="Arial" w:cs="Arial" w:eastAsia="Arial" w:hAnsi="Arial"/>
          <w:b w:val="false"/>
          <w:bCs w:val="false"/>
          <w:i w:val="false"/>
          <w:iCs w:val="false"/>
          <w:color w:val="333333"/>
          <w:sz w:val="20"/>
          <w:szCs w:val="20"/>
        </w:rPr>
        <w:t xml:space="preserve">Major investment banks manage highly complex deferred compensation structures where 30-50% of senior pay is deferred over 2-3 years. Legacy technology debt is massive: financial institutions spend $57.1B annually on outdated systems, with 70-90% of tech budgets going to maintenance rather than innovation.</w:t>
      </w:r>
    </w:p>
    <w:p>
      <w:pPr>
        <w:pStyle w:val="ListParagraph"/>
        <w:numPr>
          <w:ilvl w:val="0"/>
          <w:numId w:val="7"/>
        </w:numPr>
        <w:spacing w:after="60"/>
      </w:pPr>
      <w:r>
        <w:rPr>
          <w:rFonts w:ascii="Arial" w:cs="Arial" w:eastAsia="Arial" w:hAnsi="Arial"/>
          <w:color w:val="333333"/>
          <w:sz w:val="20"/>
          <w:szCs w:val="20"/>
        </w:rPr>
        <w:t xml:space="preserve">Goldman Sachs, Morgan Stanley, JPMorgan Chase, Bank of America: Primary targets</w:t>
      </w:r>
    </w:p>
    <w:p>
      <w:pPr>
        <w:pStyle w:val="ListParagraph"/>
        <w:numPr>
          <w:ilvl w:val="0"/>
          <w:numId w:val="7"/>
        </w:numPr>
        <w:spacing w:after="60"/>
      </w:pPr>
      <w:r>
        <w:rPr>
          <w:rFonts w:ascii="Arial" w:cs="Arial" w:eastAsia="Arial" w:hAnsi="Arial"/>
          <w:color w:val="333333"/>
          <w:sz w:val="20"/>
          <w:szCs w:val="20"/>
        </w:rPr>
        <w:t xml:space="preserve">Deferred comp increases with seniority: MDs at 30-50%, executives at Deutsche Bank defer all comp above ~$575K</w:t>
      </w:r>
    </w:p>
    <w:p>
      <w:pPr>
        <w:pStyle w:val="ListParagraph"/>
        <w:numPr>
          <w:ilvl w:val="0"/>
          <w:numId w:val="7"/>
        </w:numPr>
        <w:spacing w:after="60"/>
      </w:pPr>
      <w:r>
        <w:rPr>
          <w:rFonts w:ascii="Arial" w:cs="Arial" w:eastAsia="Arial" w:hAnsi="Arial"/>
          <w:color w:val="333333"/>
          <w:sz w:val="20"/>
          <w:szCs w:val="20"/>
        </w:rPr>
        <w:t xml:space="preserve">Clawback management is a critical pain point post-Dodd-Frank</w:t>
      </w:r>
    </w:p>
    <w:p>
      <w:pPr>
        <w:pStyle w:val="Heading2"/>
        <w:spacing w:after="160" w:before="280"/>
      </w:pPr>
      <w:r>
        <w:rPr>
          <w:rFonts w:ascii="Arial" w:cs="Arial" w:eastAsia="Arial" w:hAnsi="Arial"/>
          <w:b/>
          <w:bCs/>
          <w:color w:val="2E8B8B"/>
          <w:sz w:val="26"/>
          <w:szCs w:val="26"/>
        </w:rPr>
        <w:t xml:space="preserve">4.3 Regulatory Drivers</w:t>
      </w:r>
    </w:p>
    <w:p>
      <w:pPr>
        <w:pStyle w:val="ListParagraph"/>
        <w:numPr>
          <w:ilvl w:val="0"/>
          <w:numId w:val="8"/>
        </w:numPr>
        <w:spacing w:after="60"/>
      </w:pPr>
      <w:r>
        <w:rPr>
          <w:rFonts w:ascii="Arial" w:cs="Arial" w:eastAsia="Arial" w:hAnsi="Arial"/>
          <w:b/>
          <w:bCs/>
          <w:color w:val="333333"/>
          <w:sz w:val="20"/>
          <w:szCs w:val="20"/>
        </w:rPr>
        <w:t xml:space="preserve">SEC Pay-vs-Performance: </w:t>
      </w:r>
      <w:r>
        <w:rPr>
          <w:rFonts w:ascii="Arial" w:cs="Arial" w:eastAsia="Arial" w:hAnsi="Arial"/>
          <w:color w:val="333333"/>
          <w:sz w:val="20"/>
          <w:szCs w:val="20"/>
        </w:rPr>
        <w:t xml:space="preserve">Most fundamental change to exec comp rules since 2006. Requires complex valuations of unvested awards annually.</w:t>
      </w:r>
    </w:p>
    <w:p>
      <w:pPr>
        <w:pStyle w:val="ListParagraph"/>
        <w:numPr>
          <w:ilvl w:val="0"/>
          <w:numId w:val="8"/>
        </w:numPr>
        <w:spacing w:after="60"/>
      </w:pPr>
      <w:r>
        <w:rPr>
          <w:rFonts w:ascii="Arial" w:cs="Arial" w:eastAsia="Arial" w:hAnsi="Arial"/>
          <w:b/>
          <w:bCs/>
          <w:color w:val="333333"/>
          <w:sz w:val="20"/>
          <w:szCs w:val="20"/>
        </w:rPr>
        <w:t xml:space="preserve">Dodd-Frank Clawback: </w:t>
      </w:r>
      <w:r>
        <w:rPr>
          <w:rFonts w:ascii="Arial" w:cs="Arial" w:eastAsia="Arial" w:hAnsi="Arial"/>
          <w:color w:val="333333"/>
          <w:sz w:val="20"/>
          <w:szCs w:val="20"/>
        </w:rPr>
        <w:t xml:space="preserve">3-year lookback period for excess incentive compensation. Required implementation by Dec 1, 2023.</w:t>
      </w:r>
    </w:p>
    <w:p>
      <w:pPr>
        <w:pStyle w:val="ListParagraph"/>
        <w:numPr>
          <w:ilvl w:val="0"/>
          <w:numId w:val="8"/>
        </w:numPr>
        <w:spacing w:after="60"/>
      </w:pPr>
      <w:r>
        <w:rPr>
          <w:rFonts w:ascii="Arial" w:cs="Arial" w:eastAsia="Arial" w:hAnsi="Arial"/>
          <w:b/>
          <w:bCs/>
          <w:color w:val="333333"/>
          <w:sz w:val="20"/>
          <w:szCs w:val="20"/>
        </w:rPr>
        <w:t xml:space="preserve">EU CRD V/VI: </w:t>
      </w:r>
      <w:r>
        <w:rPr>
          <w:rFonts w:ascii="Arial" w:cs="Arial" w:eastAsia="Arial" w:hAnsi="Arial"/>
          <w:color w:val="333333"/>
          <w:sz w:val="20"/>
          <w:szCs w:val="20"/>
        </w:rPr>
        <w:t xml:space="preserve">Bonus caps for bankers, mandatory deferral, payment in instruments, malus and clawback. CRD VI (effective Jan 2026) adds gender-neutral remuneration mandate.</w:t>
      </w:r>
    </w:p>
    <w:p>
      <w:pPr>
        <w:pStyle w:val="ListParagraph"/>
        <w:numPr>
          <w:ilvl w:val="0"/>
          <w:numId w:val="8"/>
        </w:numPr>
        <w:spacing w:after="60"/>
      </w:pPr>
      <w:r>
        <w:rPr>
          <w:rFonts w:ascii="Arial" w:cs="Arial" w:eastAsia="Arial" w:hAnsi="Arial"/>
          <w:b/>
          <w:bCs/>
          <w:color w:val="333333"/>
          <w:sz w:val="20"/>
          <w:szCs w:val="20"/>
        </w:rPr>
        <w:t xml:space="preserve">Basel III: </w:t>
      </w:r>
      <w:r>
        <w:rPr>
          <w:rFonts w:ascii="Arial" w:cs="Arial" w:eastAsia="Arial" w:hAnsi="Arial"/>
          <w:color w:val="333333"/>
          <w:sz w:val="20"/>
          <w:szCs w:val="20"/>
        </w:rPr>
        <w:t xml:space="preserve">Failure to meet capital buffers triggers restrictions on bonuses and dividends.</w:t>
      </w:r>
    </w:p>
    <w:p>
      <w:pPr>
        <w:pStyle w:val="ListParagraph"/>
        <w:numPr>
          <w:ilvl w:val="0"/>
          <w:numId w:val="8"/>
        </w:numPr>
        <w:spacing w:after="60"/>
      </w:pPr>
      <w:r>
        <w:rPr>
          <w:rFonts w:ascii="Arial" w:cs="Arial" w:eastAsia="Arial" w:hAnsi="Arial"/>
          <w:b/>
          <w:bCs/>
          <w:color w:val="333333"/>
          <w:sz w:val="20"/>
          <w:szCs w:val="20"/>
        </w:rPr>
        <w:t xml:space="preserve">EU DORA (Jan 2025): </w:t>
      </w:r>
      <w:r>
        <w:rPr>
          <w:rFonts w:ascii="Arial" w:cs="Arial" w:eastAsia="Arial" w:hAnsi="Arial"/>
          <w:color w:val="333333"/>
          <w:sz w:val="20"/>
          <w:szCs w:val="20"/>
        </w:rPr>
        <w:t xml:space="preserve">ICT operational resilience requirements affect comp system infrastructure.</w:t>
      </w:r>
    </w:p>
    <w:p>
      <w:pPr>
        <w:pStyle w:val="Heading2"/>
        <w:spacing w:after="160" w:before="280"/>
      </w:pPr>
      <w:r>
        <w:rPr>
          <w:rFonts w:ascii="Arial" w:cs="Arial" w:eastAsia="Arial" w:hAnsi="Arial"/>
          <w:b/>
          <w:bCs/>
          <w:color w:val="2E8B8B"/>
          <w:sz w:val="26"/>
          <w:szCs w:val="26"/>
        </w:rPr>
        <w:t xml:space="preserve">4.4 HRSoft Competitive Advantages in Financial Services</w:t>
      </w:r>
    </w:p>
    <w:p>
      <w:pPr>
        <w:pStyle w:val="ListParagraph"/>
        <w:numPr>
          <w:ilvl w:val="0"/>
          <w:numId w:val="9"/>
        </w:numPr>
        <w:spacing w:after="60"/>
      </w:pPr>
      <w:r>
        <w:rPr>
          <w:rFonts w:ascii="Arial" w:cs="Arial" w:eastAsia="Arial" w:hAnsi="Arial"/>
          <w:color w:val="333333"/>
          <w:sz w:val="20"/>
          <w:szCs w:val="20"/>
        </w:rPr>
        <w:t xml:space="preserve">Purpose-built carried interest management module (unique differentiator)</w:t>
      </w:r>
    </w:p>
    <w:p>
      <w:pPr>
        <w:pStyle w:val="ListParagraph"/>
        <w:numPr>
          <w:ilvl w:val="0"/>
          <w:numId w:val="9"/>
        </w:numPr>
        <w:spacing w:after="60"/>
      </w:pPr>
      <w:r>
        <w:rPr>
          <w:rFonts w:ascii="Arial" w:cs="Arial" w:eastAsia="Arial" w:hAnsi="Arial"/>
          <w:color w:val="333333"/>
          <w:sz w:val="20"/>
          <w:szCs w:val="20"/>
        </w:rPr>
        <w:t xml:space="preserve">Multi-currency, multi-language support for global financial institutions</w:t>
      </w:r>
    </w:p>
    <w:p>
      <w:pPr>
        <w:pStyle w:val="ListParagraph"/>
        <w:numPr>
          <w:ilvl w:val="0"/>
          <w:numId w:val="9"/>
        </w:numPr>
        <w:spacing w:after="60"/>
      </w:pPr>
      <w:r>
        <w:rPr>
          <w:rFonts w:ascii="Arial" w:cs="Arial" w:eastAsia="Arial" w:hAnsi="Arial"/>
          <w:color w:val="333333"/>
          <w:sz w:val="20"/>
          <w:szCs w:val="20"/>
        </w:rPr>
        <w:t xml:space="preserve">Complex clawback and deferral scenario handling</w:t>
      </w:r>
    </w:p>
    <w:p>
      <w:pPr>
        <w:pStyle w:val="ListParagraph"/>
        <w:numPr>
          <w:ilvl w:val="0"/>
          <w:numId w:val="9"/>
        </w:numPr>
        <w:spacing w:after="60"/>
      </w:pPr>
      <w:r>
        <w:rPr>
          <w:rFonts w:ascii="Arial" w:cs="Arial" w:eastAsia="Arial" w:hAnsi="Arial"/>
          <w:color w:val="333333"/>
          <w:sz w:val="20"/>
          <w:szCs w:val="20"/>
        </w:rPr>
        <w:t xml:space="preserve">Audit trails and controls for fiduciary duties</w:t>
      </w:r>
    </w:p>
    <w:p>
      <w:pPr>
        <w:pStyle w:val="ListParagraph"/>
        <w:numPr>
          <w:ilvl w:val="0"/>
          <w:numId w:val="9"/>
        </w:numPr>
        <w:spacing w:after="60"/>
      </w:pPr>
      <w:r>
        <w:rPr>
          <w:rFonts w:ascii="Arial" w:cs="Arial" w:eastAsia="Arial" w:hAnsi="Arial"/>
          <w:color w:val="333333"/>
          <w:sz w:val="20"/>
          <w:szCs w:val="20"/>
        </w:rPr>
        <w:t xml:space="preserve">#1 SelectHub rating for financial services compensation</w:t>
      </w:r>
    </w:p>
    <w:p>
      <w:pPr>
        <w:pStyle w:val="ListParagraph"/>
        <w:numPr>
          <w:ilvl w:val="0"/>
          <w:numId w:val="9"/>
        </w:numPr>
        <w:spacing w:after="60"/>
      </w:pPr>
      <w:r>
        <w:rPr>
          <w:rFonts w:ascii="Arial" w:cs="Arial" w:eastAsia="Arial" w:hAnsi="Arial"/>
          <w:color w:val="333333"/>
          <w:sz w:val="20"/>
          <w:szCs w:val="20"/>
        </w:rPr>
        <w:t xml:space="preserve">0% failed implementations; 98% retention rate</w:t>
      </w:r>
    </w:p>
    <w:p>
      <w:r>
        <w:br w:type="page"/>
      </w:r>
    </w:p>
    <w:p>
      <w:pPr>
        <w:pStyle w:val="Heading1"/>
        <w:spacing w:after="200" w:before="360"/>
      </w:pPr>
      <w:r>
        <w:rPr>
          <w:rFonts w:ascii="Arial" w:cs="Arial" w:eastAsia="Arial" w:hAnsi="Arial"/>
          <w:b/>
          <w:bCs/>
          <w:color w:val="1B3A5C"/>
          <w:sz w:val="32"/>
          <w:szCs w:val="32"/>
        </w:rPr>
        <w:t xml:space="preserve">5. Pay Transparency Playbook</w:t>
      </w:r>
    </w:p>
    <w:p>
      <w:pPr>
        <w:spacing w:after="120"/>
        <w:jc w:val="left"/>
      </w:pPr>
      <w:r>
        <w:rPr>
          <w:rFonts w:ascii="Arial" w:cs="Arial" w:eastAsia="Arial" w:hAnsi="Arial"/>
          <w:b w:val="false"/>
          <w:bCs w:val="false"/>
          <w:i w:val="false"/>
          <w:iCs w:val="false"/>
          <w:color w:val="333333"/>
          <w:sz w:val="20"/>
          <w:szCs w:val="20"/>
        </w:rPr>
        <w:t xml:space="preserve">Pay transparency is the single largest demand driver for compensation management software. Every new law creates a new cohort of mandatory buyers.</w:t>
      </w:r>
    </w:p>
    <w:p>
      <w:pPr>
        <w:pStyle w:val="Heading2"/>
        <w:spacing w:after="160" w:before="280"/>
      </w:pPr>
      <w:r>
        <w:rPr>
          <w:rFonts w:ascii="Arial" w:cs="Arial" w:eastAsia="Arial" w:hAnsi="Arial"/>
          <w:b/>
          <w:bCs/>
          <w:color w:val="2E8B8B"/>
          <w:sz w:val="26"/>
          <w:szCs w:val="26"/>
        </w:rPr>
        <w:t xml:space="preserve">5.1 US State Law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Effective</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Requirement</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Penalty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Colorado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Jan 2021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Salary range + benefits in all postings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$500-$10K/violation</w:t>
            </w:r>
          </w:p>
        </w:tc>
      </w:tr>
      <w:tr>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California</w:t>
            </w:r>
          </w:p>
        </w:tc>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Jan 2023</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Pay range in postings; annual pay data report (100+)</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$100-$10K/violation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NYC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Nov 2022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Good faith pay range in all job ads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Up to $250K/violation</w:t>
            </w:r>
          </w:p>
        </w:tc>
      </w:tr>
      <w:tr>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Washington</w:t>
            </w:r>
          </w:p>
        </w:tc>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Jan 2023</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Wage scale/salary range for 15+ employers</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Varies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Illinois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Jan 2025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Pay scales + benefits in postings (15+)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$500-$10K/violation</w:t>
            </w:r>
          </w:p>
        </w:tc>
      </w:tr>
      <w:tr>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Minnesota</w:t>
            </w:r>
          </w:p>
        </w:tc>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Jan 2025</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Starting salary range + benefits (30+)</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TBD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New Jersey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Jun 2025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Min/max salary ranges (10+)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$300-$600/violation</w:t>
            </w:r>
          </w:p>
        </w:tc>
      </w:tr>
      <w:tr>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Vermont</w:t>
            </w:r>
          </w:p>
        </w:tc>
        <w:tc>
          <w:tcPr>
            <w:tcW w:type="dxa" w:w="15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Jul 2025</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Good-faith salary range in postings (5+)</w:t>
            </w:r>
          </w:p>
        </w:tc>
        <w:tc>
          <w:tcPr>
            <w:tcW w:type="dxa" w:w="31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TBD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Massachusetts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Oct 2025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Good-faith pay range in postings (25+)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Audit-based</w:t>
            </w:r>
          </w:p>
        </w:tc>
      </w:tr>
    </w:tbl>
    <w:p>
      <w:pPr>
        <w:spacing w:after="80"/>
      </w:pPr>
    </w:p>
    <w:p>
      <w:pPr>
        <w:pStyle w:val="Heading2"/>
        <w:spacing w:after="160" w:before="280"/>
      </w:pPr>
      <w:r>
        <w:rPr>
          <w:rFonts w:ascii="Arial" w:cs="Arial" w:eastAsia="Arial" w:hAnsi="Arial"/>
          <w:b/>
          <w:bCs/>
          <w:color w:val="2E8B8B"/>
          <w:sz w:val="26"/>
          <w:szCs w:val="26"/>
        </w:rPr>
        <w:t xml:space="preserve">5.2 EU Pay Transparency Directive</w:t>
      </w:r>
    </w:p>
    <w:p>
      <w:pPr>
        <w:spacing w:after="120"/>
        <w:jc w:val="left"/>
      </w:pPr>
      <w:r>
        <w:rPr>
          <w:rFonts w:ascii="Arial" w:cs="Arial" w:eastAsia="Arial" w:hAnsi="Arial"/>
          <w:b w:val="false"/>
          <w:bCs w:val="false"/>
          <w:i w:val="false"/>
          <w:iCs w:val="false"/>
          <w:color w:val="333333"/>
          <w:sz w:val="20"/>
          <w:szCs w:val="20"/>
        </w:rPr>
        <w:t xml:space="preserve">The EU Pay Transparency Directive is the most significant compensation regulation in a generation, with a hard deadline of June 7, 2026. Only 24% of EU employers feel prepared. This is HRSoft's single biggest near-term growth opportunity for international expansion.</w:t>
      </w:r>
    </w:p>
    <w:p>
      <w:pPr>
        <w:pStyle w:val="Heading3"/>
        <w:spacing w:after="120" w:before="200"/>
      </w:pPr>
      <w:r>
        <w:rPr>
          <w:rFonts w:ascii="Arial" w:cs="Arial" w:eastAsia="Arial" w:hAnsi="Arial"/>
          <w:b/>
          <w:bCs/>
          <w:color w:val="1B3A5C"/>
          <w:sz w:val="22"/>
          <w:szCs w:val="22"/>
        </w:rPr>
        <w:t xml:space="preserve">Key Requirements</w:t>
      </w:r>
    </w:p>
    <w:p>
      <w:pPr>
        <w:pStyle w:val="ListParagraph"/>
        <w:numPr>
          <w:ilvl w:val="0"/>
          <w:numId w:val="10"/>
        </w:numPr>
        <w:spacing w:after="60"/>
      </w:pPr>
      <w:r>
        <w:rPr>
          <w:rFonts w:ascii="Arial" w:cs="Arial" w:eastAsia="Arial" w:hAnsi="Arial"/>
          <w:color w:val="333333"/>
          <w:sz w:val="20"/>
          <w:szCs w:val="20"/>
        </w:rPr>
        <w:t xml:space="preserve">Salary disclosure in job ads or before first interview (all employers, no size exemption)</w:t>
      </w:r>
    </w:p>
    <w:p>
      <w:pPr>
        <w:pStyle w:val="ListParagraph"/>
        <w:numPr>
          <w:ilvl w:val="0"/>
          <w:numId w:val="10"/>
        </w:numPr>
        <w:spacing w:after="60"/>
      </w:pPr>
      <w:r>
        <w:rPr>
          <w:rFonts w:ascii="Arial" w:cs="Arial" w:eastAsia="Arial" w:hAnsi="Arial"/>
          <w:color w:val="333333"/>
          <w:sz w:val="20"/>
          <w:szCs w:val="20"/>
        </w:rPr>
        <w:t xml:space="preserve">Ban on asking candidates about previous pay history</w:t>
      </w:r>
    </w:p>
    <w:p>
      <w:pPr>
        <w:pStyle w:val="ListParagraph"/>
        <w:numPr>
          <w:ilvl w:val="0"/>
          <w:numId w:val="10"/>
        </w:numPr>
        <w:spacing w:after="60"/>
      </w:pPr>
      <w:r>
        <w:rPr>
          <w:rFonts w:ascii="Arial" w:cs="Arial" w:eastAsia="Arial" w:hAnsi="Arial"/>
          <w:color w:val="333333"/>
          <w:sz w:val="20"/>
          <w:szCs w:val="20"/>
        </w:rPr>
        <w:t xml:space="preserve">Employee right to request detailed pay information about their own comp and comparator roles</w:t>
      </w:r>
    </w:p>
    <w:p>
      <w:pPr>
        <w:pStyle w:val="ListParagraph"/>
        <w:numPr>
          <w:ilvl w:val="0"/>
          <w:numId w:val="10"/>
        </w:numPr>
        <w:spacing w:after="60"/>
      </w:pPr>
      <w:r>
        <w:rPr>
          <w:rFonts w:ascii="Arial" w:cs="Arial" w:eastAsia="Arial" w:hAnsi="Arial"/>
          <w:color w:val="333333"/>
          <w:sz w:val="20"/>
          <w:szCs w:val="20"/>
        </w:rPr>
        <w:t xml:space="preserve">Gender pay gap reporting: 250+ employees annually starting June 2027; 150+ every 3 years</w:t>
      </w:r>
    </w:p>
    <w:p>
      <w:pPr>
        <w:pStyle w:val="ListParagraph"/>
        <w:numPr>
          <w:ilvl w:val="0"/>
          <w:numId w:val="10"/>
        </w:numPr>
        <w:spacing w:after="60"/>
      </w:pPr>
      <w:r>
        <w:rPr>
          <w:rFonts w:ascii="Arial" w:cs="Arial" w:eastAsia="Arial" w:hAnsi="Arial"/>
          <w:color w:val="333333"/>
          <w:sz w:val="20"/>
          <w:szCs w:val="20"/>
        </w:rPr>
        <w:t xml:space="preserve">Joint pay assessment required if gender pay gap exceeds 5% and cannot be justified</w:t>
      </w:r>
    </w:p>
    <w:p>
      <w:pPr>
        <w:pStyle w:val="Heading3"/>
        <w:spacing w:after="120" w:before="200"/>
      </w:pPr>
      <w:r>
        <w:rPr>
          <w:rFonts w:ascii="Arial" w:cs="Arial" w:eastAsia="Arial" w:hAnsi="Arial"/>
          <w:b/>
          <w:bCs/>
          <w:color w:val="1B3A5C"/>
          <w:sz w:val="22"/>
          <w:szCs w:val="22"/>
        </w:rPr>
        <w:t xml:space="preserve">Transposition Status</w:t>
      </w:r>
    </w:p>
    <w:p>
      <w:pPr>
        <w:spacing w:after="120"/>
        <w:jc w:val="left"/>
      </w:pPr>
      <w:r>
        <w:rPr>
          <w:rFonts w:ascii="Arial" w:cs="Arial" w:eastAsia="Arial" w:hAnsi="Arial"/>
          <w:b w:val="false"/>
          <w:bCs w:val="false"/>
          <w:i w:val="false"/>
          <w:iCs w:val="false"/>
          <w:color w:val="333333"/>
          <w:sz w:val="20"/>
          <w:szCs w:val="20"/>
        </w:rPr>
        <w:t xml:space="preserve">Only Poland has fully transposed the directive (effective Dec 2025). Most member states have only produced partial drafts. The Netherlands announced a delay to January 2027. The European Commission has reiterated that June 7, 2026 remains the legal deadline.</w:t>
      </w:r>
    </w:p>
    <w:p>
      <w:pPr>
        <w:pStyle w:val="Heading2"/>
        <w:spacing w:after="160" w:before="280"/>
      </w:pPr>
      <w:r>
        <w:rPr>
          <w:rFonts w:ascii="Arial" w:cs="Arial" w:eastAsia="Arial" w:hAnsi="Arial"/>
          <w:b/>
          <w:bCs/>
          <w:color w:val="2E8B8B"/>
          <w:sz w:val="26"/>
          <w:szCs w:val="26"/>
        </w:rPr>
        <w:t xml:space="preserve">5.3 How to Capitalize</w:t>
      </w:r>
    </w:p>
    <w:p>
      <w:pPr>
        <w:pStyle w:val="ListParagraph"/>
        <w:numPr>
          <w:ilvl w:val="0"/>
          <w:numId w:val="11"/>
        </w:numPr>
        <w:spacing w:after="60"/>
      </w:pPr>
      <w:r>
        <w:rPr>
          <w:rFonts w:ascii="Arial" w:cs="Arial" w:eastAsia="Arial" w:hAnsi="Arial"/>
          <w:b/>
          <w:bCs/>
          <w:color w:val="333333"/>
          <w:sz w:val="20"/>
          <w:szCs w:val="20"/>
        </w:rPr>
        <w:t xml:space="preserve">Compliance Urgency Messaging: </w:t>
      </w:r>
      <w:r>
        <w:rPr>
          <w:rFonts w:ascii="Arial" w:cs="Arial" w:eastAsia="Arial" w:hAnsi="Arial"/>
          <w:color w:val="333333"/>
          <w:sz w:val="20"/>
          <w:szCs w:val="20"/>
        </w:rPr>
        <w:t xml:space="preserve">76% of EU employers are unprepared. Position HRSoft as the fastest path to compliance before June 2026.</w:t>
      </w:r>
    </w:p>
    <w:p>
      <w:pPr>
        <w:pStyle w:val="ListParagraph"/>
        <w:numPr>
          <w:ilvl w:val="0"/>
          <w:numId w:val="11"/>
        </w:numPr>
        <w:spacing w:after="60"/>
      </w:pPr>
      <w:r>
        <w:rPr>
          <w:rFonts w:ascii="Arial" w:cs="Arial" w:eastAsia="Arial" w:hAnsi="Arial"/>
          <w:b/>
          <w:bCs/>
          <w:color w:val="333333"/>
          <w:sz w:val="20"/>
          <w:szCs w:val="20"/>
        </w:rPr>
        <w:t xml:space="preserve">US Multi-State Package: </w:t>
      </w:r>
      <w:r>
        <w:rPr>
          <w:rFonts w:ascii="Arial" w:cs="Arial" w:eastAsia="Arial" w:hAnsi="Arial"/>
          <w:color w:val="333333"/>
          <w:sz w:val="20"/>
          <w:szCs w:val="20"/>
        </w:rPr>
        <w:t xml:space="preserve">Bundle pay range management, pay equity auditing, and reporting for companies operating in 3+ states with transparency laws.</w:t>
      </w:r>
    </w:p>
    <w:p>
      <w:pPr>
        <w:pStyle w:val="ListParagraph"/>
        <w:numPr>
          <w:ilvl w:val="0"/>
          <w:numId w:val="11"/>
        </w:numPr>
        <w:spacing w:after="60"/>
      </w:pPr>
      <w:r>
        <w:rPr>
          <w:rFonts w:ascii="Arial" w:cs="Arial" w:eastAsia="Arial" w:hAnsi="Arial"/>
          <w:b/>
          <w:bCs/>
          <w:color w:val="333333"/>
          <w:sz w:val="20"/>
          <w:szCs w:val="20"/>
        </w:rPr>
        <w:t xml:space="preserve">Pay Equity Audit as Lead Gen: </w:t>
      </w:r>
      <w:r>
        <w:rPr>
          <w:rFonts w:ascii="Arial" w:cs="Arial" w:eastAsia="Arial" w:hAnsi="Arial"/>
          <w:color w:val="333333"/>
          <w:sz w:val="20"/>
          <w:szCs w:val="20"/>
        </w:rPr>
        <w:t xml:space="preserve">Offer free pay equity audit tool that identifies gaps, then upsell the full platform for remediation and ongoing compliance.</w:t>
      </w:r>
    </w:p>
    <w:p>
      <w:pPr>
        <w:pStyle w:val="ListParagraph"/>
        <w:numPr>
          <w:ilvl w:val="0"/>
          <w:numId w:val="11"/>
        </w:numPr>
        <w:spacing w:after="60"/>
      </w:pPr>
      <w:r>
        <w:rPr>
          <w:rFonts w:ascii="Arial" w:cs="Arial" w:eastAsia="Arial" w:hAnsi="Arial"/>
          <w:b/>
          <w:bCs/>
          <w:color w:val="333333"/>
          <w:sz w:val="20"/>
          <w:szCs w:val="20"/>
        </w:rPr>
        <w:t xml:space="preserve">Content Marketing: </w:t>
      </w:r>
      <w:r>
        <w:rPr>
          <w:rFonts w:ascii="Arial" w:cs="Arial" w:eastAsia="Arial" w:hAnsi="Arial"/>
          <w:color w:val="333333"/>
          <w:sz w:val="20"/>
          <w:szCs w:val="20"/>
        </w:rPr>
        <w:t xml:space="preserve">'Pay Transparency Readiness Assessment' white paper, webinars, and compliance checklists as lead magnets.</w:t>
      </w:r>
    </w:p>
    <w:p>
      <w:r>
        <w:br w:type="page"/>
      </w:r>
    </w:p>
    <w:p>
      <w:pPr>
        <w:pStyle w:val="Heading1"/>
        <w:spacing w:after="200" w:before="360"/>
      </w:pPr>
      <w:r>
        <w:rPr>
          <w:rFonts w:ascii="Arial" w:cs="Arial" w:eastAsia="Arial" w:hAnsi="Arial"/>
          <w:b/>
          <w:bCs/>
          <w:color w:val="1B3A5C"/>
          <w:sz w:val="32"/>
          <w:szCs w:val="32"/>
        </w:rPr>
        <w:t xml:space="preserve">6. Conference &amp; Event Calendar</w:t>
      </w:r>
    </w:p>
    <w:p>
      <w:pPr>
        <w:spacing w:after="120"/>
        <w:jc w:val="left"/>
      </w:pPr>
      <w:r>
        <w:rPr>
          <w:rFonts w:ascii="Arial" w:cs="Arial" w:eastAsia="Arial" w:hAnsi="Arial"/>
          <w:b w:val="false"/>
          <w:bCs w:val="false"/>
          <w:i w:val="false"/>
          <w:iCs w:val="false"/>
          <w:color w:val="333333"/>
          <w:sz w:val="20"/>
          <w:szCs w:val="20"/>
        </w:rPr>
        <w:t xml:space="preserve">Key events through end of 2026 for HRSoft visibility, lead generation, and thought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Dates</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WorldatWork Total Rewards '26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Apr 19-22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San Antonio, TX</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18"/>
                <w:szCs w:val="18"/>
              </w:rPr>
              <w:t xml:space="preserve">MUST ATTEND</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HRcoreREWARD</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May 6-7</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Virtual</w:t>
            </w:r>
          </w:p>
        </w:tc>
        <w:tc>
          <w:tcPr>
            <w:tcW w:type="dxa" w:w="23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b/>
                <w:bCs/>
                <w:color w:val="2E8B8B"/>
                <w:sz w:val="18"/>
                <w:szCs w:val="18"/>
              </w:rPr>
              <w:t xml:space="preserve">SPEAK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SHRM Annual Conference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Jun 16-19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Orlando, FL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18"/>
                <w:szCs w:val="18"/>
              </w:rPr>
              <w:t xml:space="preserve">MUST ATTEND</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FinovateFall</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Sep 9-11</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NYC (Marriott Marquis)</w:t>
            </w:r>
          </w:p>
        </w:tc>
        <w:tc>
          <w:tcPr>
            <w:tcW w:type="dxa" w:w="23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FIN SERVICES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HR Technology Conference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Oct 20-22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Las Vegas (Mandalay Bay)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18"/>
                <w:szCs w:val="18"/>
              </w:rPr>
              <w:t xml:space="preserve">MUST ATTEND</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WorldatWork Columbus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Oct 21</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Columbus, OH</w:t>
            </w:r>
          </w:p>
        </w:tc>
        <w:tc>
          <w:tcPr>
            <w:tcW w:type="dxa" w:w="23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REGIONAL</w:t>
            </w:r>
          </w:p>
        </w:tc>
      </w:tr>
    </w:tbl>
    <w:p>
      <w:pPr>
        <w:spacing w:after="80"/>
      </w:pPr>
    </w:p>
    <w:p>
      <w:pPr>
        <w:pStyle w:val="Heading2"/>
        <w:spacing w:after="160" w:before="280"/>
      </w:pPr>
      <w:r>
        <w:rPr>
          <w:rFonts w:ascii="Arial" w:cs="Arial" w:eastAsia="Arial" w:hAnsi="Arial"/>
          <w:b/>
          <w:bCs/>
          <w:color w:val="2E8B8B"/>
          <w:sz w:val="26"/>
          <w:szCs w:val="26"/>
        </w:rPr>
        <w:t xml:space="preserve">6.1 Speaking Opportunities</w:t>
      </w:r>
    </w:p>
    <w:p>
      <w:pPr>
        <w:pStyle w:val="ListParagraph"/>
        <w:numPr>
          <w:ilvl w:val="0"/>
          <w:numId w:val="2"/>
        </w:numPr>
        <w:spacing w:after="60"/>
      </w:pPr>
      <w:r>
        <w:rPr>
          <w:rFonts w:ascii="Arial" w:cs="Arial" w:eastAsia="Arial" w:hAnsi="Arial"/>
          <w:color w:val="333333"/>
          <w:sz w:val="20"/>
          <w:szCs w:val="20"/>
        </w:rPr>
        <w:t xml:space="preserve">WorldatWork: Submit proposals for sessions on carried interest management and pay transparency compliance</w:t>
      </w:r>
    </w:p>
    <w:p>
      <w:pPr>
        <w:pStyle w:val="ListParagraph"/>
        <w:numPr>
          <w:ilvl w:val="0"/>
          <w:numId w:val="2"/>
        </w:numPr>
        <w:spacing w:after="60"/>
      </w:pPr>
      <w:r>
        <w:rPr>
          <w:rFonts w:ascii="Arial" w:cs="Arial" w:eastAsia="Arial" w:hAnsi="Arial"/>
          <w:color w:val="333333"/>
          <w:sz w:val="20"/>
          <w:szCs w:val="20"/>
        </w:rPr>
        <w:t xml:space="preserve">SHRM: Panel on financial services compensation challenges</w:t>
      </w:r>
    </w:p>
    <w:p>
      <w:pPr>
        <w:pStyle w:val="ListParagraph"/>
        <w:numPr>
          <w:ilvl w:val="0"/>
          <w:numId w:val="2"/>
        </w:numPr>
        <w:spacing w:after="60"/>
      </w:pPr>
      <w:r>
        <w:rPr>
          <w:rFonts w:ascii="Arial" w:cs="Arial" w:eastAsia="Arial" w:hAnsi="Arial"/>
          <w:color w:val="333333"/>
          <w:sz w:val="20"/>
          <w:szCs w:val="20"/>
        </w:rPr>
        <w:t xml:space="preserve">HR Technology Conference: Demo booth + breakout session on AI-powered comp</w:t>
      </w:r>
    </w:p>
    <w:p>
      <w:pPr>
        <w:pStyle w:val="ListParagraph"/>
        <w:numPr>
          <w:ilvl w:val="0"/>
          <w:numId w:val="2"/>
        </w:numPr>
        <w:spacing w:after="60"/>
      </w:pPr>
      <w:r>
        <w:rPr>
          <w:rFonts w:ascii="Arial" w:cs="Arial" w:eastAsia="Arial" w:hAnsi="Arial"/>
          <w:color w:val="333333"/>
          <w:sz w:val="20"/>
          <w:szCs w:val="20"/>
        </w:rPr>
        <w:t xml:space="preserve">Webinar series: Partner with Mercer, WTW, or Korn Ferry for co-branded comp benchmarking webinars</w:t>
      </w:r>
    </w:p>
    <w:p>
      <w:pPr>
        <w:pStyle w:val="ListParagraph"/>
        <w:numPr>
          <w:ilvl w:val="0"/>
          <w:numId w:val="2"/>
        </w:numPr>
        <w:spacing w:after="60"/>
      </w:pPr>
      <w:r>
        <w:rPr>
          <w:rFonts w:ascii="Arial" w:cs="Arial" w:eastAsia="Arial" w:hAnsi="Arial"/>
          <w:color w:val="333333"/>
          <w:sz w:val="20"/>
          <w:szCs w:val="20"/>
        </w:rPr>
        <w:t xml:space="preserve">Lattice/BambooHR virtual summits: Sponsor or present as integration partner</w:t>
      </w:r>
    </w:p>
    <w:p>
      <w:r>
        <w:br w:type="page"/>
      </w:r>
    </w:p>
    <w:p>
      <w:pPr>
        <w:pStyle w:val="Heading1"/>
        <w:spacing w:after="200" w:before="360"/>
      </w:pPr>
      <w:r>
        <w:rPr>
          <w:rFonts w:ascii="Arial" w:cs="Arial" w:eastAsia="Arial" w:hAnsi="Arial"/>
          <w:b/>
          <w:bCs/>
          <w:color w:val="1B3A5C"/>
          <w:sz w:val="32"/>
          <w:szCs w:val="32"/>
        </w:rPr>
        <w:t xml:space="preserve">7. Partnership Strategy</w:t>
      </w:r>
    </w:p>
    <w:p>
      <w:pPr>
        <w:spacing w:after="120"/>
        <w:jc w:val="left"/>
      </w:pPr>
      <w:r>
        <w:rPr>
          <w:rFonts w:ascii="Arial" w:cs="Arial" w:eastAsia="Arial" w:hAnsi="Arial"/>
          <w:b w:val="false"/>
          <w:bCs w:val="false"/>
          <w:i w:val="false"/>
          <w:iCs w:val="false"/>
          <w:color w:val="333333"/>
          <w:sz w:val="20"/>
          <w:szCs w:val="20"/>
        </w:rPr>
        <w:t xml:space="preserve">HRSoft's growth can be accelerated through strategic partnerships across four categories: HRIS/HCM platforms, payroll providers, data partners, and advisory firms.</w:t>
      </w:r>
    </w:p>
    <w:p>
      <w:pPr>
        <w:pStyle w:val="Heading2"/>
        <w:spacing w:after="160" w:before="280"/>
      </w:pPr>
      <w:r>
        <w:rPr>
          <w:rFonts w:ascii="Arial" w:cs="Arial" w:eastAsia="Arial" w:hAnsi="Arial"/>
          <w:b/>
          <w:bCs/>
          <w:color w:val="2E8B8B"/>
          <w:sz w:val="26"/>
          <w:szCs w:val="26"/>
        </w:rPr>
        <w:t xml:space="preserve">7.1 HRIS/HCM Integration Partners</w:t>
      </w:r>
    </w:p>
    <w:p>
      <w:pPr>
        <w:spacing w:after="120"/>
        <w:jc w:val="left"/>
      </w:pPr>
      <w:r>
        <w:rPr>
          <w:rFonts w:ascii="Arial" w:cs="Arial" w:eastAsia="Arial" w:hAnsi="Arial"/>
          <w:b w:val="false"/>
          <w:bCs w:val="false"/>
          <w:i w:val="false"/>
          <w:iCs w:val="false"/>
          <w:color w:val="333333"/>
          <w:sz w:val="20"/>
          <w:szCs w:val="20"/>
        </w:rPr>
        <w:t xml:space="preserve">Multiple mid-market HRIS platforms lack strong compensation modules and represent white-label or deep integration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Platform</w:t>
            </w:r>
          </w:p>
        </w:tc>
        <w:tc>
          <w:tcPr>
            <w:tcW w:type="dxa" w:w="37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Gap</w:t>
            </w:r>
          </w:p>
        </w:tc>
        <w:tc>
          <w:tcPr>
            <w:tcW w:type="dxa" w:w="37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Partnership Model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Rippling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Expanding beyond payroll; comp is basic</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Deep integration; co-sell to 400+ integration partners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Gusto</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All-in-one but comp planning weak</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API integration; SMB upsell path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BambooHR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Advantage tier adds basic comp</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White-label comp module; 25K+ customers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Paylocity</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400 integrations but comp underdeveloped</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Marketplace listing; mid-market channel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Namely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Bundled HCM but comp planning weak</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Integration partnership; 200+ customers</w:t>
            </w:r>
          </w:p>
        </w:tc>
      </w:tr>
    </w:tbl>
    <w:p>
      <w:pPr>
        <w:spacing w:after="80"/>
      </w:pPr>
    </w:p>
    <w:p>
      <w:pPr>
        <w:pStyle w:val="Heading2"/>
        <w:spacing w:after="160" w:before="280"/>
      </w:pPr>
      <w:r>
        <w:rPr>
          <w:rFonts w:ascii="Arial" w:cs="Arial" w:eastAsia="Arial" w:hAnsi="Arial"/>
          <w:b/>
          <w:bCs/>
          <w:color w:val="2E8B8B"/>
          <w:sz w:val="26"/>
          <w:szCs w:val="26"/>
        </w:rPr>
        <w:t xml:space="preserve">7.2 Payroll &amp; Data Partners</w:t>
      </w:r>
    </w:p>
    <w:p>
      <w:pPr>
        <w:pStyle w:val="ListParagraph"/>
        <w:numPr>
          <w:ilvl w:val="0"/>
          <w:numId w:val="3"/>
        </w:numPr>
        <w:spacing w:after="60"/>
      </w:pPr>
      <w:r>
        <w:rPr>
          <w:rFonts w:ascii="Arial" w:cs="Arial" w:eastAsia="Arial" w:hAnsi="Arial"/>
          <w:b/>
          <w:bCs/>
          <w:color w:val="333333"/>
          <w:sz w:val="20"/>
          <w:szCs w:val="20"/>
        </w:rPr>
        <w:t xml:space="preserve">ADP: </w:t>
      </w:r>
      <w:r>
        <w:rPr>
          <w:rFonts w:ascii="Arial" w:cs="Arial" w:eastAsia="Arial" w:hAnsi="Arial"/>
          <w:color w:val="333333"/>
          <w:sz w:val="20"/>
          <w:szCs w:val="20"/>
        </w:rPr>
        <w:t xml:space="preserve">Acquired Pequity (comp software, Oct 2025). Partnership for data sync and comp-to-payroll workflow. Strategic co-selling opportunity.</w:t>
      </w:r>
    </w:p>
    <w:p>
      <w:pPr>
        <w:pStyle w:val="ListParagraph"/>
        <w:numPr>
          <w:ilvl w:val="0"/>
          <w:numId w:val="3"/>
        </w:numPr>
        <w:spacing w:after="60"/>
      </w:pPr>
      <w:r>
        <w:rPr>
          <w:rFonts w:ascii="Arial" w:cs="Arial" w:eastAsia="Arial" w:hAnsi="Arial"/>
          <w:b/>
          <w:bCs/>
          <w:color w:val="333333"/>
          <w:sz w:val="20"/>
          <w:szCs w:val="20"/>
        </w:rPr>
        <w:t xml:space="preserve">Paychex: </w:t>
      </w:r>
      <w:r>
        <w:rPr>
          <w:rFonts w:ascii="Arial" w:cs="Arial" w:eastAsia="Arial" w:hAnsi="Arial"/>
          <w:color w:val="333333"/>
          <w:sz w:val="20"/>
          <w:szCs w:val="20"/>
        </w:rPr>
        <w:t xml:space="preserve">No comp acquisition yet; open API. Integration partnership opportunity.</w:t>
      </w:r>
    </w:p>
    <w:p>
      <w:pPr>
        <w:pStyle w:val="ListParagraph"/>
        <w:numPr>
          <w:ilvl w:val="0"/>
          <w:numId w:val="4"/>
        </w:numPr>
        <w:spacing w:after="60"/>
      </w:pPr>
      <w:r>
        <w:rPr>
          <w:rFonts w:ascii="Arial" w:cs="Arial" w:eastAsia="Arial" w:hAnsi="Arial"/>
          <w:b/>
          <w:bCs/>
          <w:color w:val="333333"/>
          <w:sz w:val="20"/>
          <w:szCs w:val="20"/>
        </w:rPr>
        <w:t xml:space="preserve">Mercer: </w:t>
      </w:r>
      <w:r>
        <w:rPr>
          <w:rFonts w:ascii="Arial" w:cs="Arial" w:eastAsia="Arial" w:hAnsi="Arial"/>
          <w:color w:val="333333"/>
          <w:sz w:val="20"/>
          <w:szCs w:val="20"/>
        </w:rPr>
        <w:t xml:space="preserve">Largest global salary survey. Data licensing, co-branded reports, embedded benchmarking.</w:t>
      </w:r>
    </w:p>
    <w:p>
      <w:pPr>
        <w:pStyle w:val="ListParagraph"/>
        <w:numPr>
          <w:ilvl w:val="0"/>
          <w:numId w:val="4"/>
        </w:numPr>
        <w:spacing w:after="60"/>
      </w:pPr>
      <w:r>
        <w:rPr>
          <w:rFonts w:ascii="Arial" w:cs="Arial" w:eastAsia="Arial" w:hAnsi="Arial"/>
          <w:b/>
          <w:bCs/>
          <w:color w:val="333333"/>
          <w:sz w:val="20"/>
          <w:szCs w:val="20"/>
        </w:rPr>
        <w:t xml:space="preserve">Willis Towers Watson (WTW): </w:t>
      </w:r>
      <w:r>
        <w:rPr>
          <w:rFonts w:ascii="Arial" w:cs="Arial" w:eastAsia="Arial" w:hAnsi="Arial"/>
          <w:color w:val="333333"/>
          <w:sz w:val="20"/>
          <w:szCs w:val="20"/>
        </w:rPr>
        <w:t xml:space="preserve">Sector-specific surveys covering 10M+ employees. Executive comp data partnership.</w:t>
      </w:r>
    </w:p>
    <w:p>
      <w:pPr>
        <w:pStyle w:val="ListParagraph"/>
        <w:numPr>
          <w:ilvl w:val="0"/>
          <w:numId w:val="4"/>
        </w:numPr>
        <w:spacing w:after="60"/>
      </w:pPr>
      <w:r>
        <w:rPr>
          <w:rFonts w:ascii="Arial" w:cs="Arial" w:eastAsia="Arial" w:hAnsi="Arial"/>
          <w:b/>
          <w:bCs/>
          <w:color w:val="333333"/>
          <w:sz w:val="20"/>
          <w:szCs w:val="20"/>
        </w:rPr>
        <w:t xml:space="preserve">Radford (Aon): </w:t>
      </w:r>
      <w:r>
        <w:rPr>
          <w:rFonts w:ascii="Arial" w:cs="Arial" w:eastAsia="Arial" w:hAnsi="Arial"/>
          <w:color w:val="333333"/>
          <w:sz w:val="20"/>
          <w:szCs w:val="20"/>
        </w:rPr>
        <w:t xml:space="preserve">Deep tech/life sciences comp data. M&amp;A data for PE vertical.</w:t>
      </w:r>
    </w:p>
    <w:p>
      <w:pPr>
        <w:pStyle w:val="Heading2"/>
        <w:spacing w:after="160" w:before="280"/>
      </w:pPr>
      <w:r>
        <w:rPr>
          <w:rFonts w:ascii="Arial" w:cs="Arial" w:eastAsia="Arial" w:hAnsi="Arial"/>
          <w:b/>
          <w:bCs/>
          <w:color w:val="2E8B8B"/>
          <w:sz w:val="26"/>
          <w:szCs w:val="26"/>
        </w:rPr>
        <w:t xml:space="preserve">7.3 Advisory &amp; Consulting Firms</w:t>
      </w:r>
    </w:p>
    <w:p>
      <w:pPr>
        <w:pStyle w:val="ListParagraph"/>
        <w:numPr>
          <w:ilvl w:val="0"/>
          <w:numId w:val="5"/>
        </w:numPr>
        <w:spacing w:after="60"/>
      </w:pPr>
      <w:r>
        <w:rPr>
          <w:rFonts w:ascii="Arial" w:cs="Arial" w:eastAsia="Arial" w:hAnsi="Arial"/>
          <w:b/>
          <w:bCs/>
          <w:color w:val="333333"/>
          <w:sz w:val="20"/>
          <w:szCs w:val="20"/>
        </w:rPr>
        <w:t xml:space="preserve">Deloitte: </w:t>
      </w:r>
      <w:r>
        <w:rPr>
          <w:rFonts w:ascii="Arial" w:cs="Arial" w:eastAsia="Arial" w:hAnsi="Arial"/>
          <w:color w:val="333333"/>
          <w:sz w:val="20"/>
          <w:szCs w:val="20"/>
        </w:rPr>
        <w:t xml:space="preserve">Organizational transformation and comp governance for large enterprises. Implementation partnership.</w:t>
      </w:r>
    </w:p>
    <w:p>
      <w:pPr>
        <w:pStyle w:val="ListParagraph"/>
        <w:numPr>
          <w:ilvl w:val="0"/>
          <w:numId w:val="5"/>
        </w:numPr>
        <w:spacing w:after="60"/>
      </w:pPr>
      <w:r>
        <w:rPr>
          <w:rFonts w:ascii="Arial" w:cs="Arial" w:eastAsia="Arial" w:hAnsi="Arial"/>
          <w:b/>
          <w:bCs/>
          <w:color w:val="333333"/>
          <w:sz w:val="20"/>
          <w:szCs w:val="20"/>
        </w:rPr>
        <w:t xml:space="preserve">PwC: </w:t>
      </w:r>
      <w:r>
        <w:rPr>
          <w:rFonts w:ascii="Arial" w:cs="Arial" w:eastAsia="Arial" w:hAnsi="Arial"/>
          <w:color w:val="333333"/>
          <w:sz w:val="20"/>
          <w:szCs w:val="20"/>
        </w:rPr>
        <w:t xml:space="preserve">Pay transparency and equity consulting, especially EU market. Joint go-to-market for EU Directive compliance.</w:t>
      </w:r>
    </w:p>
    <w:p>
      <w:pPr>
        <w:pStyle w:val="ListParagraph"/>
        <w:numPr>
          <w:ilvl w:val="0"/>
          <w:numId w:val="5"/>
        </w:numPr>
        <w:spacing w:after="60"/>
      </w:pPr>
      <w:r>
        <w:rPr>
          <w:rFonts w:ascii="Arial" w:cs="Arial" w:eastAsia="Arial" w:hAnsi="Arial"/>
          <w:b/>
          <w:bCs/>
          <w:color w:val="333333"/>
          <w:sz w:val="20"/>
          <w:szCs w:val="20"/>
        </w:rPr>
        <w:t xml:space="preserve">Korn Ferry: </w:t>
      </w:r>
      <w:r>
        <w:rPr>
          <w:rFonts w:ascii="Arial" w:cs="Arial" w:eastAsia="Arial" w:hAnsi="Arial"/>
          <w:color w:val="333333"/>
          <w:sz w:val="20"/>
          <w:szCs w:val="20"/>
        </w:rPr>
        <w:t xml:space="preserve">Executive comp expertise via Hay Group. Board-level comp advocacy. PE deal support.</w:t>
      </w:r>
    </w:p>
    <w:p>
      <w:pPr>
        <w:pStyle w:val="ListParagraph"/>
        <w:numPr>
          <w:ilvl w:val="0"/>
          <w:numId w:val="5"/>
        </w:numPr>
        <w:spacing w:after="60"/>
      </w:pPr>
      <w:r>
        <w:rPr>
          <w:rFonts w:ascii="Arial" w:cs="Arial" w:eastAsia="Arial" w:hAnsi="Arial"/>
          <w:b/>
          <w:bCs/>
          <w:color w:val="333333"/>
          <w:sz w:val="20"/>
          <w:szCs w:val="20"/>
        </w:rPr>
        <w:t xml:space="preserve">Pearl Meyer: </w:t>
      </w:r>
      <w:r>
        <w:rPr>
          <w:rFonts w:ascii="Arial" w:cs="Arial" w:eastAsia="Arial" w:hAnsi="Arial"/>
          <w:color w:val="333333"/>
          <w:sz w:val="20"/>
          <w:szCs w:val="20"/>
        </w:rPr>
        <w:t xml:space="preserve">IPO compensation readiness. Pre-IPO segment partnership.</w:t>
      </w:r>
    </w:p>
    <w:p>
      <w:pPr>
        <w:pStyle w:val="ListParagraph"/>
        <w:numPr>
          <w:ilvl w:val="0"/>
          <w:numId w:val="5"/>
        </w:numPr>
        <w:spacing w:after="60"/>
      </w:pPr>
      <w:r>
        <w:rPr>
          <w:rFonts w:ascii="Arial" w:cs="Arial" w:eastAsia="Arial" w:hAnsi="Arial"/>
          <w:b/>
          <w:bCs/>
          <w:color w:val="333333"/>
          <w:sz w:val="20"/>
          <w:szCs w:val="20"/>
        </w:rPr>
        <w:t xml:space="preserve">Mercer Consulting: </w:t>
      </w:r>
      <w:r>
        <w:rPr>
          <w:rFonts w:ascii="Arial" w:cs="Arial" w:eastAsia="Arial" w:hAnsi="Arial"/>
          <w:color w:val="333333"/>
          <w:sz w:val="20"/>
          <w:szCs w:val="20"/>
        </w:rPr>
        <w:t xml:space="preserve">Comp consulting + software integration. PE portfolio company support.</w:t>
      </w:r>
    </w:p>
    <w:p>
      <w:pPr>
        <w:pStyle w:val="Heading2"/>
        <w:spacing w:after="160" w:before="280"/>
      </w:pPr>
      <w:r>
        <w:rPr>
          <w:rFonts w:ascii="Arial" w:cs="Arial" w:eastAsia="Arial" w:hAnsi="Arial"/>
          <w:b/>
          <w:bCs/>
          <w:color w:val="2E8B8B"/>
          <w:sz w:val="26"/>
          <w:szCs w:val="26"/>
        </w:rPr>
        <w:t xml:space="preserve">7.4 PE Operating Partners</w:t>
      </w:r>
    </w:p>
    <w:p>
      <w:pPr>
        <w:spacing w:after="120"/>
        <w:jc w:val="left"/>
      </w:pPr>
      <w:r>
        <w:rPr>
          <w:rFonts w:ascii="Arial" w:cs="Arial" w:eastAsia="Arial" w:hAnsi="Arial"/>
          <w:b w:val="false"/>
          <w:bCs w:val="false"/>
          <w:i w:val="false"/>
          <w:iCs w:val="false"/>
          <w:color w:val="333333"/>
          <w:sz w:val="20"/>
          <w:szCs w:val="20"/>
        </w:rPr>
        <w:t xml:space="preserve">PE operating partners who recommend software to portfolio companies represent a high-leverage channel. Gryphon's ownership of HRSoft creates a natural template: Gryphon operating partners can recommend HRSoft across the portfolio, and this model can be replicated with other PE firms.</w:t>
      </w:r>
    </w:p>
    <w:p>
      <w:r>
        <w:br w:type="page"/>
      </w:r>
    </w:p>
    <w:p>
      <w:pPr>
        <w:pStyle w:val="Heading1"/>
        <w:spacing w:after="200" w:before="360"/>
      </w:pPr>
      <w:r>
        <w:rPr>
          <w:rFonts w:ascii="Arial" w:cs="Arial" w:eastAsia="Arial" w:hAnsi="Arial"/>
          <w:b/>
          <w:bCs/>
          <w:color w:val="1B3A5C"/>
          <w:sz w:val="32"/>
          <w:szCs w:val="32"/>
        </w:rPr>
        <w:t xml:space="preserve">8. Geographic Expansion</w:t>
      </w:r>
    </w:p>
    <w:p>
      <w:pPr>
        <w:spacing w:after="120"/>
        <w:jc w:val="left"/>
      </w:pPr>
      <w:r>
        <w:rPr>
          <w:rFonts w:ascii="Arial" w:cs="Arial" w:eastAsia="Arial" w:hAnsi="Arial"/>
          <w:b w:val="false"/>
          <w:bCs w:val="false"/>
          <w:i w:val="false"/>
          <w:iCs w:val="false"/>
          <w:color w:val="333333"/>
          <w:sz w:val="20"/>
          <w:szCs w:val="20"/>
        </w:rPr>
        <w:t xml:space="preserve">International expansion is driven by regulatory compliance deadlines, with the EU representing the most immediate and largest opportunity.</w:t>
      </w:r>
    </w:p>
    <w:p>
      <w:pPr>
        <w:pStyle w:val="Heading2"/>
        <w:spacing w:after="160" w:before="280"/>
      </w:pPr>
      <w:r>
        <w:rPr>
          <w:rFonts w:ascii="Arial" w:cs="Arial" w:eastAsia="Arial" w:hAnsi="Arial"/>
          <w:b/>
          <w:bCs/>
          <w:color w:val="2E8B8B"/>
          <w:sz w:val="26"/>
          <w:szCs w:val="26"/>
        </w:rPr>
        <w:t xml:space="preserve">8.1 European Union (P0 Priority)</w:t>
      </w:r>
    </w:p>
    <w:p>
      <w:pPr>
        <w:spacing w:after="120"/>
        <w:jc w:val="left"/>
      </w:pPr>
      <w:r>
        <w:rPr>
          <w:rFonts w:ascii="Arial" w:cs="Arial" w:eastAsia="Arial" w:hAnsi="Arial"/>
          <w:b w:val="false"/>
          <w:bCs w:val="false"/>
          <w:i w:val="false"/>
          <w:iCs w:val="false"/>
          <w:color w:val="333333"/>
          <w:sz w:val="20"/>
          <w:szCs w:val="20"/>
        </w:rPr>
        <w:t xml:space="preserve">The EU Pay Transparency Directive creates a once-in-a-decade market expansion opportunity. Every EU employer must comply by June 7, 2026, yet only 24% feel prepared. Existing EU competitors (Figures, Ravio, beqom) are primarily benchmarking-focused and lack the full compensation lifecycle management that HRSoft provides.</w:t>
      </w:r>
    </w:p>
    <w:p>
      <w:pPr>
        <w:pStyle w:val="ListParagraph"/>
        <w:numPr>
          <w:ilvl w:val="0"/>
          <w:numId w:val="6"/>
        </w:numPr>
        <w:spacing w:after="60"/>
      </w:pPr>
      <w:r>
        <w:rPr>
          <w:rFonts w:ascii="Arial" w:cs="Arial" w:eastAsia="Arial" w:hAnsi="Arial"/>
          <w:color w:val="333333"/>
          <w:sz w:val="20"/>
          <w:szCs w:val="20"/>
        </w:rPr>
        <w:t xml:space="preserve">Market entry: Localize for top 5 EU economies (Germany, France, Netherlands, Spain, Italy)</w:t>
      </w:r>
    </w:p>
    <w:p>
      <w:pPr>
        <w:pStyle w:val="ListParagraph"/>
        <w:numPr>
          <w:ilvl w:val="0"/>
          <w:numId w:val="6"/>
        </w:numPr>
        <w:spacing w:after="60"/>
      </w:pPr>
      <w:r>
        <w:rPr>
          <w:rFonts w:ascii="Arial" w:cs="Arial" w:eastAsia="Arial" w:hAnsi="Arial"/>
          <w:color w:val="333333"/>
          <w:sz w:val="20"/>
          <w:szCs w:val="20"/>
        </w:rPr>
        <w:t xml:space="preserve">GDPR compliance: Ensure data residency and processing requirements are met</w:t>
      </w:r>
    </w:p>
    <w:p>
      <w:pPr>
        <w:pStyle w:val="ListParagraph"/>
        <w:numPr>
          <w:ilvl w:val="0"/>
          <w:numId w:val="6"/>
        </w:numPr>
        <w:spacing w:after="60"/>
      </w:pPr>
      <w:r>
        <w:rPr>
          <w:rFonts w:ascii="Arial" w:cs="Arial" w:eastAsia="Arial" w:hAnsi="Arial"/>
          <w:color w:val="333333"/>
          <w:sz w:val="20"/>
          <w:szCs w:val="20"/>
        </w:rPr>
        <w:t xml:space="preserve">Partnership: Engage PwC or Deloitte EU practices for implementation channel</w:t>
      </w:r>
    </w:p>
    <w:p>
      <w:pPr>
        <w:pStyle w:val="ListParagraph"/>
        <w:numPr>
          <w:ilvl w:val="0"/>
          <w:numId w:val="6"/>
        </w:numPr>
        <w:spacing w:after="60"/>
      </w:pPr>
      <w:r>
        <w:rPr>
          <w:rFonts w:ascii="Arial" w:cs="Arial" w:eastAsia="Arial" w:hAnsi="Arial"/>
          <w:color w:val="333333"/>
          <w:sz w:val="20"/>
          <w:szCs w:val="20"/>
        </w:rPr>
        <w:t xml:space="preserve">Pricing: Consider EU-specific pricing to compete with Figures (lower price point)</w:t>
      </w:r>
    </w:p>
    <w:p>
      <w:pPr>
        <w:pStyle w:val="Heading2"/>
        <w:spacing w:after="160" w:before="280"/>
      </w:pPr>
      <w:r>
        <w:rPr>
          <w:rFonts w:ascii="Arial" w:cs="Arial" w:eastAsia="Arial" w:hAnsi="Arial"/>
          <w:b/>
          <w:bCs/>
          <w:color w:val="2E8B8B"/>
          <w:sz w:val="26"/>
          <w:szCs w:val="26"/>
        </w:rPr>
        <w:t xml:space="preserve">8.2 United Kingdom</w:t>
      </w:r>
    </w:p>
    <w:p>
      <w:pPr>
        <w:spacing w:after="120"/>
        <w:jc w:val="left"/>
      </w:pPr>
      <w:r>
        <w:rPr>
          <w:rFonts w:ascii="Arial" w:cs="Arial" w:eastAsia="Arial" w:hAnsi="Arial"/>
          <w:b w:val="false"/>
          <w:bCs w:val="false"/>
          <w:i w:val="false"/>
          <w:iCs w:val="false"/>
          <w:color w:val="333333"/>
          <w:sz w:val="20"/>
          <w:szCs w:val="20"/>
        </w:rPr>
        <w:t xml:space="preserve">The UK has established gender pay gap reporting for 250+ employee organizations. New requirements from 2027 will mandate gender pay gap and menopause action plans. The market is more mature but HRSoft's full lifecycle approach differentiates from analytics-only UK providers.</w:t>
      </w:r>
    </w:p>
    <w:p>
      <w:pPr>
        <w:pStyle w:val="Heading2"/>
        <w:spacing w:after="160" w:before="280"/>
      </w:pPr>
      <w:r>
        <w:rPr>
          <w:rFonts w:ascii="Arial" w:cs="Arial" w:eastAsia="Arial" w:hAnsi="Arial"/>
          <w:b/>
          <w:bCs/>
          <w:color w:val="2E8B8B"/>
          <w:sz w:val="26"/>
          <w:szCs w:val="26"/>
        </w:rPr>
        <w:t xml:space="preserve">8.3 Canada</w:t>
      </w:r>
    </w:p>
    <w:p>
      <w:pPr>
        <w:spacing w:after="120"/>
        <w:jc w:val="left"/>
      </w:pPr>
      <w:r>
        <w:rPr>
          <w:rFonts w:ascii="Arial" w:cs="Arial" w:eastAsia="Arial" w:hAnsi="Arial"/>
          <w:b w:val="false"/>
          <w:bCs w:val="false"/>
          <w:i w:val="false"/>
          <w:iCs w:val="false"/>
          <w:color w:val="333333"/>
          <w:sz w:val="20"/>
          <w:szCs w:val="20"/>
        </w:rPr>
        <w:t xml:space="preserve">Ontario's Pay Transparency Act (effective Jan 1, 2026) requires salary ranges in job postings for 25+ employee companies. Quebec pay equity exercises due in 2026 carry fines up to $45K plus retroactive wage adjustments. Federal Pay Equity Act compliance deadline was June 30, 2025.</w:t>
      </w:r>
    </w:p>
    <w:p>
      <w:pPr>
        <w:pStyle w:val="ListParagraph"/>
        <w:numPr>
          <w:ilvl w:val="0"/>
          <w:numId w:val="7"/>
        </w:numPr>
        <w:spacing w:after="60"/>
      </w:pPr>
      <w:r>
        <w:rPr>
          <w:rFonts w:ascii="Arial" w:cs="Arial" w:eastAsia="Arial" w:hAnsi="Arial"/>
          <w:color w:val="333333"/>
          <w:sz w:val="20"/>
          <w:szCs w:val="20"/>
        </w:rPr>
        <w:t xml:space="preserve">High growth potential: US vendors less penetrant in Canada; local solutions underdeveloped</w:t>
      </w:r>
    </w:p>
    <w:p>
      <w:pPr>
        <w:pStyle w:val="ListParagraph"/>
        <w:numPr>
          <w:ilvl w:val="0"/>
          <w:numId w:val="7"/>
        </w:numPr>
        <w:spacing w:after="60"/>
      </w:pPr>
      <w:r>
        <w:rPr>
          <w:rFonts w:ascii="Arial" w:cs="Arial" w:eastAsia="Arial" w:hAnsi="Arial"/>
          <w:color w:val="333333"/>
          <w:sz w:val="20"/>
          <w:szCs w:val="20"/>
        </w:rPr>
        <w:t xml:space="preserve">Ontario is the immediate target (Jan 2026 effective date already passed)</w:t>
      </w:r>
    </w:p>
    <w:p>
      <w:pPr>
        <w:pStyle w:val="Heading2"/>
        <w:spacing w:after="160" w:before="280"/>
      </w:pPr>
      <w:r>
        <w:rPr>
          <w:rFonts w:ascii="Arial" w:cs="Arial" w:eastAsia="Arial" w:hAnsi="Arial"/>
          <w:b/>
          <w:bCs/>
          <w:color w:val="2E8B8B"/>
          <w:sz w:val="26"/>
          <w:szCs w:val="26"/>
        </w:rPr>
        <w:t xml:space="preserve">8.4 Australia</w:t>
      </w:r>
    </w:p>
    <w:p>
      <w:pPr>
        <w:spacing w:after="120"/>
        <w:jc w:val="left"/>
      </w:pPr>
      <w:r>
        <w:rPr>
          <w:rFonts w:ascii="Arial" w:cs="Arial" w:eastAsia="Arial" w:hAnsi="Arial"/>
          <w:b w:val="false"/>
          <w:bCs w:val="false"/>
          <w:i w:val="false"/>
          <w:iCs w:val="false"/>
          <w:color w:val="333333"/>
          <w:sz w:val="20"/>
          <w:szCs w:val="20"/>
        </w:rPr>
        <w:t xml:space="preserve">The Workplace Gender Equality Agency requires annual reporting for 100+ employee organizations. From April 2026, 500+ employee companies must select 3 gender equality targets. WGEA now publishes gender pay gaps publicly, increasing compliance urgency.</w:t>
      </w:r>
    </w:p>
    <w:p>
      <w:pPr>
        <w:pStyle w:val="Heading2"/>
        <w:spacing w:after="160" w:before="280"/>
      </w:pPr>
      <w:r>
        <w:rPr>
          <w:rFonts w:ascii="Arial" w:cs="Arial" w:eastAsia="Arial" w:hAnsi="Arial"/>
          <w:b/>
          <w:bCs/>
          <w:color w:val="2E8B8B"/>
          <w:sz w:val="26"/>
          <w:szCs w:val="26"/>
        </w:rPr>
        <w:t xml:space="preserve">8.5 Asia-Pacific (Long-Term)</w:t>
      </w:r>
    </w:p>
    <w:p>
      <w:pPr>
        <w:spacing w:after="120"/>
        <w:jc w:val="left"/>
      </w:pPr>
      <w:r>
        <w:rPr>
          <w:rFonts w:ascii="Arial" w:cs="Arial" w:eastAsia="Arial" w:hAnsi="Arial"/>
          <w:b w:val="false"/>
          <w:bCs w:val="false"/>
          <w:i w:val="false"/>
          <w:iCs w:val="false"/>
          <w:color w:val="333333"/>
          <w:sz w:val="20"/>
          <w:szCs w:val="20"/>
        </w:rPr>
        <w:t xml:space="preserve">The APAC HCM software market is growing from $8.9B (2025) to $15.7B (2031) at 10% CAGR. Cloud deployment holds 78% revenue share. Key markets include Singapore, Hong Kong, India, and Australia. Localization and regional partnerships are prerequisites for entry.</w:t>
      </w:r>
    </w:p>
    <w:p>
      <w:r>
        <w:br w:type="page"/>
      </w:r>
    </w:p>
    <w:p>
      <w:pPr>
        <w:pStyle w:val="Heading1"/>
        <w:spacing w:after="200" w:before="360"/>
      </w:pPr>
      <w:r>
        <w:rPr>
          <w:rFonts w:ascii="Arial" w:cs="Arial" w:eastAsia="Arial" w:hAnsi="Arial"/>
          <w:b/>
          <w:bCs/>
          <w:color w:val="1B3A5C"/>
          <w:sz w:val="32"/>
          <w:szCs w:val="32"/>
        </w:rPr>
        <w:t xml:space="preserve">9. Quick Wins to Increase Revenue</w:t>
      </w:r>
    </w:p>
    <w:p>
      <w:pPr>
        <w:spacing w:after="120"/>
        <w:jc w:val="left"/>
      </w:pPr>
      <w:r>
        <w:rPr>
          <w:rFonts w:ascii="Arial" w:cs="Arial" w:eastAsia="Arial" w:hAnsi="Arial"/>
          <w:b w:val="false"/>
          <w:bCs w:val="false"/>
          <w:i w:val="false"/>
          <w:iCs w:val="false"/>
          <w:color w:val="333333"/>
          <w:sz w:val="20"/>
          <w:szCs w:val="20"/>
        </w:rPr>
        <w:t xml:space="preserve">The following 12 revenue accelerators are prioritized by speed-to-revenue and effort required. Each represents a concrete, actionable initiative for HRSoft's CRO.</w:t>
      </w:r>
    </w:p>
    <w:p>
      <w:pPr>
        <w:pStyle w:val="Heading2"/>
        <w:spacing w:after="160" w:before="280"/>
      </w:pPr>
      <w:r>
        <w:rPr>
          <w:rFonts w:ascii="Arial" w:cs="Arial" w:eastAsia="Arial" w:hAnsi="Arial"/>
          <w:b/>
          <w:bCs/>
          <w:color w:val="2E8B8B"/>
          <w:sz w:val="26"/>
          <w:szCs w:val="26"/>
        </w:rPr>
        <w:t xml:space="preserve">9.1 Gryphon Portfolio Cross-Sell</w:t>
      </w:r>
    </w:p>
    <w:p>
      <w:pPr>
        <w:spacing w:after="120"/>
        <w:jc w:val="left"/>
      </w:pPr>
      <w:r>
        <w:rPr>
          <w:rFonts w:ascii="Arial" w:cs="Arial" w:eastAsia="Arial" w:hAnsi="Arial"/>
          <w:b w:val="false"/>
          <w:bCs w:val="false"/>
          <w:i w:val="false"/>
          <w:iCs w:val="false"/>
          <w:color w:val="333333"/>
          <w:sz w:val="20"/>
          <w:szCs w:val="20"/>
        </w:rPr>
        <w:t xml:space="preserve">Gryphon Investors has 26 active portfolio companies and 112 total investments. These are the warmest leads in existence. Every portfolio company needs compensation management, and Gryphon operating partners can facilitate introductions.</w:t>
      </w:r>
    </w:p>
    <w:p>
      <w:pPr>
        <w:pStyle w:val="ListParagraph"/>
        <w:numPr>
          <w:ilvl w:val="0"/>
          <w:numId w:val="2"/>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High. 10-15 deals at $50-150K ACV = $500K-$2.25M new ARR within 6 months.</w:t>
      </w:r>
    </w:p>
    <w:p>
      <w:pPr>
        <w:pStyle w:val="ListParagraph"/>
        <w:numPr>
          <w:ilvl w:val="0"/>
          <w:numId w:val="2"/>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Low. Introductions facilitated by Gryphon operating partners.</w:t>
      </w:r>
    </w:p>
    <w:p>
      <w:pPr>
        <w:pStyle w:val="ListParagraph"/>
        <w:numPr>
          <w:ilvl w:val="0"/>
          <w:numId w:val="2"/>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Schedule joint meeting with Gryphon operating team. Map all 26 portfolio companies to comp needs. Present tailored ROI for top 10.</w:t>
      </w:r>
    </w:p>
    <w:p>
      <w:pPr>
        <w:pStyle w:val="Heading2"/>
        <w:spacing w:after="160" w:before="280"/>
      </w:pPr>
      <w:r>
        <w:rPr>
          <w:rFonts w:ascii="Arial" w:cs="Arial" w:eastAsia="Arial" w:hAnsi="Arial"/>
          <w:b/>
          <w:bCs/>
          <w:color w:val="2E8B8B"/>
          <w:sz w:val="26"/>
          <w:szCs w:val="26"/>
        </w:rPr>
        <w:t xml:space="preserve">9.2 Pay Transparency Compliance Package</w:t>
      </w:r>
    </w:p>
    <w:p>
      <w:pPr>
        <w:spacing w:after="120"/>
        <w:jc w:val="left"/>
      </w:pPr>
      <w:r>
        <w:rPr>
          <w:rFonts w:ascii="Arial" w:cs="Arial" w:eastAsia="Arial" w:hAnsi="Arial"/>
          <w:b w:val="false"/>
          <w:bCs w:val="false"/>
          <w:i w:val="false"/>
          <w:iCs w:val="false"/>
          <w:color w:val="333333"/>
          <w:sz w:val="20"/>
          <w:szCs w:val="20"/>
        </w:rPr>
        <w:t xml:space="preserve">Bundle pay range management, pay equity auditing, multi-state reporting, and implementation services into a compliance-ready package. Price at a premium given the regulatory urgency and penalty exposure ($250K per violation in NYC).</w:t>
      </w:r>
    </w:p>
    <w:p>
      <w:pPr>
        <w:pStyle w:val="ListParagraph"/>
        <w:numPr>
          <w:ilvl w:val="0"/>
          <w:numId w:val="3"/>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High. 20+ deals in first quarter at $75-200K = $1.5M-$4M new ARR.</w:t>
      </w:r>
    </w:p>
    <w:p>
      <w:pPr>
        <w:pStyle w:val="ListParagraph"/>
        <w:numPr>
          <w:ilvl w:val="0"/>
          <w:numId w:val="3"/>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packaging existing features + implementation services pricing.</w:t>
      </w:r>
    </w:p>
    <w:p>
      <w:pPr>
        <w:pStyle w:val="ListParagraph"/>
        <w:numPr>
          <w:ilvl w:val="0"/>
          <w:numId w:val="3"/>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Create 'Pay Transparency Readiness' landing page and package. Launch targeted campaign to companies in newly-regulated states (NJ, IL, MA, VT).</w:t>
      </w:r>
    </w:p>
    <w:p>
      <w:pPr>
        <w:pStyle w:val="Heading2"/>
        <w:spacing w:after="160" w:before="280"/>
      </w:pPr>
      <w:r>
        <w:rPr>
          <w:rFonts w:ascii="Arial" w:cs="Arial" w:eastAsia="Arial" w:hAnsi="Arial"/>
          <w:b/>
          <w:bCs/>
          <w:color w:val="2E8B8B"/>
          <w:sz w:val="26"/>
          <w:szCs w:val="26"/>
        </w:rPr>
        <w:t xml:space="preserve">9.3 Financial Services Vertical Campaign</w:t>
      </w:r>
    </w:p>
    <w:p>
      <w:pPr>
        <w:spacing w:after="120"/>
        <w:jc w:val="left"/>
      </w:pPr>
      <w:r>
        <w:rPr>
          <w:rFonts w:ascii="Arial" w:cs="Arial" w:eastAsia="Arial" w:hAnsi="Arial"/>
          <w:b w:val="false"/>
          <w:bCs w:val="false"/>
          <w:i w:val="false"/>
          <w:iCs w:val="false"/>
          <w:color w:val="333333"/>
          <w:sz w:val="20"/>
          <w:szCs w:val="20"/>
        </w:rPr>
        <w:t xml:space="preserve">Carried interest management is HRSoft's killer differentiator in financial services. No other compensation platform offers purpose-built carried interest automation. Target the 551 US PE firms and top 50 investment banks with a vertical-specific campaign.</w:t>
      </w:r>
    </w:p>
    <w:p>
      <w:pPr>
        <w:pStyle w:val="ListParagraph"/>
        <w:numPr>
          <w:ilvl w:val="0"/>
          <w:numId w:val="4"/>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Very High. Financial services deals average 2-3x mid-market ACV. 10 PE firms at $150-300K = $1.5M-$3M new ARR.</w:t>
      </w:r>
    </w:p>
    <w:p>
      <w:pPr>
        <w:pStyle w:val="ListParagraph"/>
        <w:numPr>
          <w:ilvl w:val="0"/>
          <w:numId w:val="4"/>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vertical-specific marketing collateral and dedicated AEs.</w:t>
      </w:r>
    </w:p>
    <w:p>
      <w:pPr>
        <w:pStyle w:val="ListParagraph"/>
        <w:numPr>
          <w:ilvl w:val="0"/>
          <w:numId w:val="4"/>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Develop 'Carried Interest Management' case study. Hire/assign financial services AE. Launch outbound campaign to PE firms managing $1B+ AUM.</w:t>
      </w:r>
    </w:p>
    <w:p>
      <w:pPr>
        <w:pStyle w:val="Heading2"/>
        <w:spacing w:after="160" w:before="280"/>
      </w:pPr>
      <w:r>
        <w:rPr>
          <w:rFonts w:ascii="Arial" w:cs="Arial" w:eastAsia="Arial" w:hAnsi="Arial"/>
          <w:b/>
          <w:bCs/>
          <w:color w:val="2E8B8B"/>
          <w:sz w:val="26"/>
          <w:szCs w:val="26"/>
        </w:rPr>
        <w:t xml:space="preserve">9.4 EU Expansion Ahead of June 2026 Deadline</w:t>
      </w:r>
    </w:p>
    <w:p>
      <w:pPr>
        <w:spacing w:after="120"/>
        <w:jc w:val="left"/>
      </w:pPr>
      <w:r>
        <w:rPr>
          <w:rFonts w:ascii="Arial" w:cs="Arial" w:eastAsia="Arial" w:hAnsi="Arial"/>
          <w:b w:val="false"/>
          <w:bCs w:val="false"/>
          <w:i w:val="false"/>
          <w:iCs w:val="false"/>
          <w:color w:val="333333"/>
          <w:sz w:val="20"/>
          <w:szCs w:val="20"/>
        </w:rPr>
        <w:t xml:space="preserve">The EU Pay Transparency Directive creates a $5B+ addressable market with a hard June 2026 deadline. Only 24% of EU employers are prepared. HRSoft can enter through consulting partnerships (PwC, Deloitte) and localization of the existing platform.</w:t>
      </w:r>
    </w:p>
    <w:p>
      <w:pPr>
        <w:pStyle w:val="ListParagraph"/>
        <w:numPr>
          <w:ilvl w:val="0"/>
          <w:numId w:val="5"/>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Very High (but longer cycle). $2-5M new ARR in Year 1 of EU operations.</w:t>
      </w:r>
    </w:p>
    <w:p>
      <w:pPr>
        <w:pStyle w:val="ListParagraph"/>
        <w:numPr>
          <w:ilvl w:val="0"/>
          <w:numId w:val="5"/>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High. Requires localization, GDPR compliance, EU sales presence.</w:t>
      </w:r>
    </w:p>
    <w:p>
      <w:pPr>
        <w:pStyle w:val="ListParagraph"/>
        <w:numPr>
          <w:ilvl w:val="0"/>
          <w:numId w:val="5"/>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Engage PwC or Deloitte EU practice for partnership exploration. Commission localization assessment for Germany, France, Netherlands.</w:t>
      </w:r>
    </w:p>
    <w:p>
      <w:pPr>
        <w:pStyle w:val="Heading2"/>
        <w:spacing w:after="160" w:before="280"/>
      </w:pPr>
      <w:r>
        <w:rPr>
          <w:rFonts w:ascii="Arial" w:cs="Arial" w:eastAsia="Arial" w:hAnsi="Arial"/>
          <w:b/>
          <w:bCs/>
          <w:color w:val="2E8B8B"/>
          <w:sz w:val="26"/>
          <w:szCs w:val="26"/>
        </w:rPr>
        <w:t xml:space="preserve">9.5 PE Operating Partner Channel</w:t>
      </w:r>
    </w:p>
    <w:p>
      <w:pPr>
        <w:spacing w:after="120"/>
        <w:jc w:val="left"/>
      </w:pPr>
      <w:r>
        <w:rPr>
          <w:rFonts w:ascii="Arial" w:cs="Arial" w:eastAsia="Arial" w:hAnsi="Arial"/>
          <w:b w:val="false"/>
          <w:bCs w:val="false"/>
          <w:i w:val="false"/>
          <w:iCs w:val="false"/>
          <w:color w:val="333333"/>
          <w:sz w:val="20"/>
          <w:szCs w:val="20"/>
        </w:rPr>
        <w:t xml:space="preserve">Beyond Gryphon, there are hundreds of PE firms whose operating partners recommend software to portfolio companies. Build a formal referral program where PE operating partners receive value (co-branded operational playbooks, portfolio analytics) for recommending HRSoft.</w:t>
      </w:r>
    </w:p>
    <w:p>
      <w:pPr>
        <w:pStyle w:val="ListParagraph"/>
        <w:numPr>
          <w:ilvl w:val="0"/>
          <w:numId w:val="6"/>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High. Each PE partnership can generate 5-20 portfolio company deals over 2 years.</w:t>
      </w:r>
    </w:p>
    <w:p>
      <w:pPr>
        <w:pStyle w:val="ListParagraph"/>
        <w:numPr>
          <w:ilvl w:val="0"/>
          <w:numId w:val="6"/>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relationship building and program structure.</w:t>
      </w:r>
    </w:p>
    <w:p>
      <w:pPr>
        <w:pStyle w:val="ListParagraph"/>
        <w:numPr>
          <w:ilvl w:val="0"/>
          <w:numId w:val="6"/>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Develop 'PE Portfolio Compensation Playbook' co-branded with Gryphon. Use as proof point for outreach to other PE firms.</w:t>
      </w:r>
    </w:p>
    <w:p>
      <w:pPr>
        <w:pStyle w:val="Heading2"/>
        <w:spacing w:after="160" w:before="280"/>
      </w:pPr>
      <w:r>
        <w:rPr>
          <w:rFonts w:ascii="Arial" w:cs="Arial" w:eastAsia="Arial" w:hAnsi="Arial"/>
          <w:b/>
          <w:bCs/>
          <w:color w:val="2E8B8B"/>
          <w:sz w:val="26"/>
          <w:szCs w:val="26"/>
        </w:rPr>
        <w:t xml:space="preserve">9.6 Competitive Displacement Campaigns</w:t>
      </w:r>
    </w:p>
    <w:p>
      <w:pPr>
        <w:spacing w:after="120"/>
        <w:jc w:val="left"/>
      </w:pPr>
      <w:r>
        <w:rPr>
          <w:rFonts w:ascii="Arial" w:cs="Arial" w:eastAsia="Arial" w:hAnsi="Arial"/>
          <w:b w:val="false"/>
          <w:bCs w:val="false"/>
          <w:i w:val="false"/>
          <w:iCs w:val="false"/>
          <w:color w:val="333333"/>
          <w:sz w:val="20"/>
          <w:szCs w:val="20"/>
        </w:rPr>
        <w:t xml:space="preserve">Target specific competitor weaknesses with displacement campaigns:</w:t>
      </w:r>
    </w:p>
    <w:p>
      <w:pPr>
        <w:pStyle w:val="ListParagraph"/>
        <w:numPr>
          <w:ilvl w:val="0"/>
          <w:numId w:val="7"/>
        </w:numPr>
        <w:spacing w:after="60"/>
      </w:pPr>
      <w:r>
        <w:rPr>
          <w:rFonts w:ascii="Arial" w:cs="Arial" w:eastAsia="Arial" w:hAnsi="Arial"/>
          <w:b/>
          <w:bCs/>
          <w:color w:val="333333"/>
          <w:sz w:val="20"/>
          <w:szCs w:val="20"/>
        </w:rPr>
        <w:t xml:space="preserve">vs. SAP SuccessFactors: </w:t>
      </w:r>
      <w:r>
        <w:rPr>
          <w:rFonts w:ascii="Arial" w:cs="Arial" w:eastAsia="Arial" w:hAnsi="Arial"/>
          <w:color w:val="333333"/>
          <w:sz w:val="20"/>
          <w:szCs w:val="20"/>
        </w:rPr>
        <w:t xml:space="preserve">'Escape the Legacy' campaign targeting frustrated SAP shops. Emphasize modern UI, mid-cycle flexibility, faster deployment.</w:t>
      </w:r>
    </w:p>
    <w:p>
      <w:pPr>
        <w:pStyle w:val="ListParagraph"/>
        <w:numPr>
          <w:ilvl w:val="0"/>
          <w:numId w:val="7"/>
        </w:numPr>
        <w:spacing w:after="60"/>
      </w:pPr>
      <w:r>
        <w:rPr>
          <w:rFonts w:ascii="Arial" w:cs="Arial" w:eastAsia="Arial" w:hAnsi="Arial"/>
          <w:b/>
          <w:bCs/>
          <w:color w:val="333333"/>
          <w:sz w:val="20"/>
          <w:szCs w:val="20"/>
        </w:rPr>
        <w:t xml:space="preserve">vs. Beqom: </w:t>
      </w:r>
      <w:r>
        <w:rPr>
          <w:rFonts w:ascii="Arial" w:cs="Arial" w:eastAsia="Arial" w:hAnsi="Arial"/>
          <w:color w:val="333333"/>
          <w:sz w:val="20"/>
          <w:szCs w:val="20"/>
        </w:rPr>
        <w:t xml:space="preserve">Target beqom customers citing slow support, cumbersome UI, and long implementation.</w:t>
      </w:r>
    </w:p>
    <w:p>
      <w:pPr>
        <w:pStyle w:val="ListParagraph"/>
        <w:numPr>
          <w:ilvl w:val="0"/>
          <w:numId w:val="7"/>
        </w:numPr>
        <w:spacing w:after="60"/>
      </w:pPr>
      <w:r>
        <w:rPr>
          <w:rFonts w:ascii="Arial" w:cs="Arial" w:eastAsia="Arial" w:hAnsi="Arial"/>
          <w:b/>
          <w:bCs/>
          <w:color w:val="333333"/>
          <w:sz w:val="20"/>
          <w:szCs w:val="20"/>
        </w:rPr>
        <w:t xml:space="preserve">vs. Payscale: </w:t>
      </w:r>
      <w:r>
        <w:rPr>
          <w:rFonts w:ascii="Arial" w:cs="Arial" w:eastAsia="Arial" w:hAnsi="Arial"/>
          <w:color w:val="333333"/>
          <w:sz w:val="20"/>
          <w:szCs w:val="20"/>
        </w:rPr>
        <w:t xml:space="preserve">Position as the full lifecycle upgrade for organizations outgrowing benchmarking-only tools.</w:t>
      </w:r>
    </w:p>
    <w:p>
      <w:pPr>
        <w:pStyle w:val="ListParagraph"/>
        <w:numPr>
          <w:ilvl w:val="0"/>
          <w:numId w:val="7"/>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Medium-High. Displacement deals are 30-50% larger than greenfield.</w:t>
      </w:r>
    </w:p>
    <w:p>
      <w:pPr>
        <w:pStyle w:val="ListParagraph"/>
        <w:numPr>
          <w:ilvl w:val="0"/>
          <w:numId w:val="7"/>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competitive battle cards and targeted outbound.</w:t>
      </w:r>
    </w:p>
    <w:p>
      <w:pPr>
        <w:pStyle w:val="ListParagraph"/>
        <w:numPr>
          <w:ilvl w:val="0"/>
          <w:numId w:val="7"/>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Build competitive battle cards for top 5 competitors. Launch targeted email/LinkedIn campaigns.</w:t>
      </w:r>
    </w:p>
    <w:p>
      <w:pPr>
        <w:pStyle w:val="Heading2"/>
        <w:spacing w:after="160" w:before="280"/>
      </w:pPr>
      <w:r>
        <w:rPr>
          <w:rFonts w:ascii="Arial" w:cs="Arial" w:eastAsia="Arial" w:hAnsi="Arial"/>
          <w:b/>
          <w:bCs/>
          <w:color w:val="2E8B8B"/>
          <w:sz w:val="26"/>
          <w:szCs w:val="26"/>
        </w:rPr>
        <w:t xml:space="preserve">9.7 Product-Led Growth: Free Pay Equity Audit Tool</w:t>
      </w:r>
    </w:p>
    <w:p>
      <w:pPr>
        <w:spacing w:after="120"/>
        <w:jc w:val="left"/>
      </w:pPr>
      <w:r>
        <w:rPr>
          <w:rFonts w:ascii="Arial" w:cs="Arial" w:eastAsia="Arial" w:hAnsi="Arial"/>
          <w:b w:val="false"/>
          <w:bCs w:val="false"/>
          <w:i w:val="false"/>
          <w:iCs w:val="false"/>
          <w:color w:val="333333"/>
          <w:sz w:val="20"/>
          <w:szCs w:val="20"/>
        </w:rPr>
        <w:t xml:space="preserve">Offer a free, self-service pay equity audit tool that analyzes uploaded compensation data and identifies gender/race pay gaps. The tool highlights compliance risks and gaps, then upsells the full HRSoft platform for remediation and ongoing monitoring.</w:t>
      </w:r>
    </w:p>
    <w:p>
      <w:pPr>
        <w:pStyle w:val="ListParagraph"/>
        <w:numPr>
          <w:ilvl w:val="0"/>
          <w:numId w:val="8"/>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 500+ leads per quarter converting at 5-10% = 25-50 new customers/year.</w:t>
      </w:r>
    </w:p>
    <w:p>
      <w:pPr>
        <w:pStyle w:val="ListParagraph"/>
        <w:numPr>
          <w:ilvl w:val="0"/>
          <w:numId w:val="8"/>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Medium-High. Requires product development for standalone audit tool.</w:t>
      </w:r>
    </w:p>
    <w:p>
      <w:pPr>
        <w:pStyle w:val="ListParagraph"/>
        <w:numPr>
          <w:ilvl w:val="0"/>
          <w:numId w:val="8"/>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Scope free audit tool MVP with product team. Target launch at HR Technology Conference (Oct 2026).</w:t>
      </w:r>
    </w:p>
    <w:p>
      <w:pPr>
        <w:pStyle w:val="Heading2"/>
        <w:spacing w:after="160" w:before="280"/>
      </w:pPr>
      <w:r>
        <w:rPr>
          <w:rFonts w:ascii="Arial" w:cs="Arial" w:eastAsia="Arial" w:hAnsi="Arial"/>
          <w:b/>
          <w:bCs/>
          <w:color w:val="2E8B8B"/>
          <w:sz w:val="26"/>
          <w:szCs w:val="26"/>
        </w:rPr>
        <w:t xml:space="preserve">9.8 Customer Expansion: Additional Modules</w:t>
      </w:r>
    </w:p>
    <w:p>
      <w:pPr>
        <w:spacing w:after="120"/>
        <w:jc w:val="left"/>
      </w:pPr>
      <w:r>
        <w:rPr>
          <w:rFonts w:ascii="Arial" w:cs="Arial" w:eastAsia="Arial" w:hAnsi="Arial"/>
          <w:b w:val="false"/>
          <w:bCs w:val="false"/>
          <w:i w:val="false"/>
          <w:iCs w:val="false"/>
          <w:color w:val="333333"/>
          <w:sz w:val="20"/>
          <w:szCs w:val="20"/>
        </w:rPr>
        <w:t xml:space="preserve">Existing customers represent the lowest-cost revenue growth. With 98% retention, HRSoft has a loyal base to cross-sell additional modules (incentive comp, total rewards statements, carried interest for non-FS customers, pay equity analytics).</w:t>
      </w:r>
    </w:p>
    <w:p>
      <w:pPr>
        <w:pStyle w:val="ListParagraph"/>
        <w:numPr>
          <w:ilvl w:val="0"/>
          <w:numId w:val="9"/>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High. 20% of existing base adding modules at $25-75K each.</w:t>
      </w:r>
    </w:p>
    <w:p>
      <w:pPr>
        <w:pStyle w:val="ListParagraph"/>
        <w:numPr>
          <w:ilvl w:val="0"/>
          <w:numId w:val="9"/>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Low. CSM-driven expansion conversations.</w:t>
      </w:r>
    </w:p>
    <w:p>
      <w:pPr>
        <w:pStyle w:val="ListParagraph"/>
        <w:numPr>
          <w:ilvl w:val="0"/>
          <w:numId w:val="9"/>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Audit existing customer module adoption. Identify top 50 expansion opportunities. Assign CSM expansion targets.</w:t>
      </w:r>
    </w:p>
    <w:p>
      <w:pPr>
        <w:pStyle w:val="Heading2"/>
        <w:spacing w:after="160" w:before="280"/>
      </w:pPr>
      <w:r>
        <w:rPr>
          <w:rFonts w:ascii="Arial" w:cs="Arial" w:eastAsia="Arial" w:hAnsi="Arial"/>
          <w:b/>
          <w:bCs/>
          <w:color w:val="2E8B8B"/>
          <w:sz w:val="26"/>
          <w:szCs w:val="26"/>
        </w:rPr>
        <w:t xml:space="preserve">9.9 Annual Contract Incentives to Lock In ARR</w:t>
      </w:r>
    </w:p>
    <w:p>
      <w:pPr>
        <w:spacing w:after="120"/>
        <w:jc w:val="left"/>
      </w:pPr>
      <w:r>
        <w:rPr>
          <w:rFonts w:ascii="Arial" w:cs="Arial" w:eastAsia="Arial" w:hAnsi="Arial"/>
          <w:b w:val="false"/>
          <w:bCs w:val="false"/>
          <w:i w:val="false"/>
          <w:iCs w:val="false"/>
          <w:color w:val="333333"/>
          <w:sz w:val="20"/>
          <w:szCs w:val="20"/>
        </w:rPr>
        <w:t xml:space="preserve">Offer 10-15% discount for annual prepayment or 2-3 year commitments. This locks in ARR, improves cash flow predictability, and reduces churn risk. Standard SaaS playbook that Gryphon's operational expertise can help implement.</w:t>
      </w:r>
    </w:p>
    <w:p>
      <w:pPr>
        <w:pStyle w:val="ListParagraph"/>
        <w:numPr>
          <w:ilvl w:val="0"/>
          <w:numId w:val="10"/>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 Improves net revenue retention by 5-10 points.</w:t>
      </w:r>
    </w:p>
    <w:p>
      <w:pPr>
        <w:pStyle w:val="ListParagraph"/>
        <w:numPr>
          <w:ilvl w:val="0"/>
          <w:numId w:val="10"/>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Low. Pricing/packaging change.</w:t>
      </w:r>
    </w:p>
    <w:p>
      <w:pPr>
        <w:pStyle w:val="ListParagraph"/>
        <w:numPr>
          <w:ilvl w:val="0"/>
          <w:numId w:val="10"/>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Model annual vs. monthly pricing tiers. Implement for Q3 2026 renewals.</w:t>
      </w:r>
    </w:p>
    <w:p>
      <w:pPr>
        <w:pStyle w:val="Heading2"/>
        <w:spacing w:after="160" w:before="280"/>
      </w:pPr>
      <w:r>
        <w:rPr>
          <w:rFonts w:ascii="Arial" w:cs="Arial" w:eastAsia="Arial" w:hAnsi="Arial"/>
          <w:b/>
          <w:bCs/>
          <w:color w:val="2E8B8B"/>
          <w:sz w:val="26"/>
          <w:szCs w:val="26"/>
        </w:rPr>
        <w:t xml:space="preserve">9.10 Thought Leadership at WorldatWork &amp; SHRM</w:t>
      </w:r>
    </w:p>
    <w:p>
      <w:pPr>
        <w:spacing w:after="120"/>
        <w:jc w:val="left"/>
      </w:pPr>
      <w:r>
        <w:rPr>
          <w:rFonts w:ascii="Arial" w:cs="Arial" w:eastAsia="Arial" w:hAnsi="Arial"/>
          <w:b w:val="false"/>
          <w:bCs w:val="false"/>
          <w:i w:val="false"/>
          <w:iCs w:val="false"/>
          <w:color w:val="333333"/>
          <w:sz w:val="20"/>
          <w:szCs w:val="20"/>
        </w:rPr>
        <w:t xml:space="preserve">WorldatWork Total Rewards (April 19-22, San Antonio) and SHRM Annual (June 16-19, Orlando) are the two must-attend conferences for compensation professionals. Speaking slots provide credibility, lead generation, and brand awareness at scale.</w:t>
      </w:r>
    </w:p>
    <w:p>
      <w:pPr>
        <w:pStyle w:val="ListParagraph"/>
        <w:numPr>
          <w:ilvl w:val="0"/>
          <w:numId w:val="11"/>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 (indirect). 50-100 qualified leads per conference.</w:t>
      </w:r>
    </w:p>
    <w:p>
      <w:pPr>
        <w:pStyle w:val="ListParagraph"/>
        <w:numPr>
          <w:ilvl w:val="0"/>
          <w:numId w:val="11"/>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speaker submission and booth investment.</w:t>
      </w:r>
    </w:p>
    <w:p>
      <w:pPr>
        <w:pStyle w:val="ListParagraph"/>
        <w:numPr>
          <w:ilvl w:val="0"/>
          <w:numId w:val="11"/>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Submit speaking proposals for WorldatWork (immediate). Reserve booth at SHRM. Develop presentation on carried interest management or pay transparency.</w:t>
      </w:r>
    </w:p>
    <w:p>
      <w:pPr>
        <w:pStyle w:val="Heading2"/>
        <w:spacing w:after="160" w:before="280"/>
      </w:pPr>
      <w:r>
        <w:rPr>
          <w:rFonts w:ascii="Arial" w:cs="Arial" w:eastAsia="Arial" w:hAnsi="Arial"/>
          <w:b/>
          <w:bCs/>
          <w:color w:val="2E8B8B"/>
          <w:sz w:val="26"/>
          <w:szCs w:val="26"/>
        </w:rPr>
        <w:t xml:space="preserve">9.11 Content Marketing: Pay Transparency Readiness White Paper</w:t>
      </w:r>
    </w:p>
    <w:p>
      <w:pPr>
        <w:spacing w:after="120"/>
        <w:jc w:val="left"/>
      </w:pPr>
      <w:r>
        <w:rPr>
          <w:rFonts w:ascii="Arial" w:cs="Arial" w:eastAsia="Arial" w:hAnsi="Arial"/>
          <w:b w:val="false"/>
          <w:bCs w:val="false"/>
          <w:i w:val="false"/>
          <w:iCs w:val="false"/>
          <w:color w:val="333333"/>
          <w:sz w:val="20"/>
          <w:szCs w:val="20"/>
        </w:rPr>
        <w:t xml:space="preserve">A comprehensive 'Pay Transparency Readiness Guide' covering all 16+ US state laws, the EU Directive, and practical compliance steps. Gate behind email capture for lead generation. Promote via LinkedIn, SHRM content partnership, and paid search.</w:t>
      </w:r>
    </w:p>
    <w:p>
      <w:pPr>
        <w:pStyle w:val="ListParagraph"/>
        <w:numPr>
          <w:ilvl w:val="0"/>
          <w:numId w:val="12"/>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 1,000+ downloads in first month = 100+ MQLs.</w:t>
      </w:r>
    </w:p>
    <w:p>
      <w:pPr>
        <w:pStyle w:val="ListParagraph"/>
        <w:numPr>
          <w:ilvl w:val="0"/>
          <w:numId w:val="12"/>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Low. Content creation + landing page.</w:t>
      </w:r>
    </w:p>
    <w:p>
      <w:pPr>
        <w:pStyle w:val="ListParagraph"/>
        <w:numPr>
          <w:ilvl w:val="0"/>
          <w:numId w:val="12"/>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Commission white paper immediately. Target publication within 4 weeks. Promote at WorldatWork (April).</w:t>
      </w:r>
    </w:p>
    <w:p>
      <w:pPr>
        <w:pStyle w:val="Heading2"/>
        <w:spacing w:after="160" w:before="280"/>
      </w:pPr>
      <w:r>
        <w:rPr>
          <w:rFonts w:ascii="Arial" w:cs="Arial" w:eastAsia="Arial" w:hAnsi="Arial"/>
          <w:b/>
          <w:bCs/>
          <w:color w:val="2E8B8B"/>
          <w:sz w:val="26"/>
          <w:szCs w:val="26"/>
        </w:rPr>
        <w:t xml:space="preserve">9.12 HRIS Integration Marketplace Listings</w:t>
      </w:r>
    </w:p>
    <w:p>
      <w:pPr>
        <w:spacing w:after="120"/>
        <w:jc w:val="left"/>
      </w:pPr>
      <w:r>
        <w:rPr>
          <w:rFonts w:ascii="Arial" w:cs="Arial" w:eastAsia="Arial" w:hAnsi="Arial"/>
          <w:b w:val="false"/>
          <w:bCs w:val="false"/>
          <w:i w:val="false"/>
          <w:iCs w:val="false"/>
          <w:color w:val="333333"/>
          <w:sz w:val="20"/>
          <w:szCs w:val="20"/>
        </w:rPr>
        <w:t xml:space="preserve">List HRSoft on the integration marketplaces for Rippling, BambooHR, Paylocity, and Workday. Marketplace presence drives inbound leads from companies already shopping for comp solutions within their existing HRIS ecosystem.</w:t>
      </w:r>
    </w:p>
    <w:p>
      <w:pPr>
        <w:pStyle w:val="ListParagraph"/>
        <w:numPr>
          <w:ilvl w:val="0"/>
          <w:numId w:val="13"/>
        </w:numPr>
        <w:spacing w:after="60"/>
      </w:pPr>
      <w:r>
        <w:rPr>
          <w:rFonts w:ascii="Arial" w:cs="Arial" w:eastAsia="Arial" w:hAnsi="Arial"/>
          <w:b/>
          <w:bCs/>
          <w:color w:val="333333"/>
          <w:sz w:val="20"/>
          <w:szCs w:val="20"/>
        </w:rPr>
        <w:t xml:space="preserve">Revenue Impact: </w:t>
      </w:r>
      <w:r>
        <w:rPr>
          <w:rFonts w:ascii="Arial" w:cs="Arial" w:eastAsia="Arial" w:hAnsi="Arial"/>
          <w:color w:val="333333"/>
          <w:sz w:val="20"/>
          <w:szCs w:val="20"/>
        </w:rPr>
        <w:t xml:space="preserve">Medium. 10-20 inbound leads per month per marketplace.</w:t>
      </w:r>
    </w:p>
    <w:p>
      <w:pPr>
        <w:pStyle w:val="ListParagraph"/>
        <w:numPr>
          <w:ilvl w:val="0"/>
          <w:numId w:val="13"/>
        </w:numPr>
        <w:spacing w:after="60"/>
      </w:pPr>
      <w:r>
        <w:rPr>
          <w:rFonts w:ascii="Arial" w:cs="Arial" w:eastAsia="Arial" w:hAnsi="Arial"/>
          <w:b/>
          <w:bCs/>
          <w:color w:val="333333"/>
          <w:sz w:val="20"/>
          <w:szCs w:val="20"/>
        </w:rPr>
        <w:t xml:space="preserve">Effort: </w:t>
      </w:r>
      <w:r>
        <w:rPr>
          <w:rFonts w:ascii="Arial" w:cs="Arial" w:eastAsia="Arial" w:hAnsi="Arial"/>
          <w:color w:val="333333"/>
          <w:sz w:val="20"/>
          <w:szCs w:val="20"/>
        </w:rPr>
        <w:t xml:space="preserve">Medium. Requires API integration work and marketplace listing.</w:t>
      </w:r>
    </w:p>
    <w:p>
      <w:pPr>
        <w:pStyle w:val="ListParagraph"/>
        <w:numPr>
          <w:ilvl w:val="0"/>
          <w:numId w:val="13"/>
        </w:numPr>
        <w:spacing w:after="60"/>
      </w:pPr>
      <w:r>
        <w:rPr>
          <w:rFonts w:ascii="Arial" w:cs="Arial" w:eastAsia="Arial" w:hAnsi="Arial"/>
          <w:b/>
          <w:bCs/>
          <w:color w:val="333333"/>
          <w:sz w:val="20"/>
          <w:szCs w:val="20"/>
        </w:rPr>
        <w:t xml:space="preserve">Next Step: </w:t>
      </w:r>
      <w:r>
        <w:rPr>
          <w:rFonts w:ascii="Arial" w:cs="Arial" w:eastAsia="Arial" w:hAnsi="Arial"/>
          <w:color w:val="333333"/>
          <w:sz w:val="20"/>
          <w:szCs w:val="20"/>
        </w:rPr>
        <w:t xml:space="preserve">Prioritize Workday (already integrated), Rippling (fastest growing), and BambooHR (largest SMB base). Apply for marketplace listings.</w:t>
      </w:r>
    </w:p>
    <w:p>
      <w:r>
        <w:br w:type="page"/>
      </w:r>
    </w:p>
    <w:p>
      <w:pPr>
        <w:pStyle w:val="Heading1"/>
        <w:spacing w:after="200" w:before="360"/>
      </w:pPr>
      <w:r>
        <w:rPr>
          <w:rFonts w:ascii="Arial" w:cs="Arial" w:eastAsia="Arial" w:hAnsi="Arial"/>
          <w:b/>
          <w:bCs/>
          <w:color w:val="1B3A5C"/>
          <w:sz w:val="32"/>
          <w:szCs w:val="32"/>
        </w:rPr>
        <w:t xml:space="preserve">Appendix: Summary Revenue 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80"/>
        <w:gridCol w:w="318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Initiative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Revenue Impact</w:t>
            </w:r>
          </w:p>
        </w:tc>
        <w:tc>
          <w:tcPr>
            <w:tcW w:type="dxa" w:w="15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31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Gryphon Cross-Sell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$500K-$2.25M</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Low</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Immediate (Q2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Pay Transparency Package</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$1.5M-$4M</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Q2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Fin Services Campaign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$1.5M-$3M</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Q2-Q3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EU Expansion</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$2M-$5M (Y1)</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High</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H2 2026 - H1 2027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PE Operating Partners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$1M-$3M</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Q3-Q4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Competitive Displacement</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$750K-$2M</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Q2-Q4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Free Pay Equity Tool (PLG)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$500K-$1.5M</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Med-High</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H2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Customer Expansion</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$750K-$2M</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Low</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Ongoing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Annual Contract Incentives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5-10% NRR lift</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Low</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Q3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Conference Speaking</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50-100 leads/event</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Apr-Oct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White Paper Lead Gen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1,000+ downloads</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Low</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color w:val="333333"/>
                <w:sz w:val="18"/>
                <w:szCs w:val="18"/>
              </w:rPr>
              <w:t xml:space="preserve">Q2 2026</w:t>
            </w:r>
          </w:p>
        </w:tc>
      </w:tr>
      <w:tr>
        <w:tc>
          <w:tcPr>
            <w:tcW w:type="dxa" w:w="2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HRIS Marketplace Listings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10-20 leads/mo</w:t>
            </w:r>
          </w:p>
        </w:tc>
        <w:tc>
          <w:tcPr>
            <w:tcW w:type="dxa" w:w="15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Medium</w:t>
            </w:r>
          </w:p>
        </w:tc>
        <w:tc>
          <w:tcPr>
            <w:tcW w:type="dxa" w:w="31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pPr>
              <w:jc w:val="left"/>
            </w:pPr>
            <w:r>
              <w:rPr>
                <w:rFonts w:ascii="Arial" w:cs="Arial" w:eastAsia="Arial" w:hAnsi="Arial"/>
                <w:color w:val="333333"/>
                <w:sz w:val="18"/>
                <w:szCs w:val="18"/>
              </w:rPr>
              <w:t xml:space="preserve">Q2-Q3 2026</w:t>
            </w:r>
          </w:p>
        </w:tc>
      </w:tr>
    </w:tbl>
    <w:p>
      <w:pPr>
        <w:spacing w:after="80"/>
      </w:pPr>
    </w:p>
    <w:p>
      <w:pPr>
        <w:spacing w:after="120"/>
        <w:jc w:val="left"/>
      </w:pPr>
      <w:r>
        <w:rPr>
          <w:rFonts w:ascii="Arial" w:cs="Arial" w:eastAsia="Arial" w:hAnsi="Arial"/>
          <w:b/>
          <w:bCs/>
          <w:i w:val="false"/>
          <w:iCs w:val="false"/>
          <w:color w:val="333333"/>
          <w:sz w:val="20"/>
          <w:szCs w:val="20"/>
        </w:rPr>
        <w:t xml:space="preserve">Total addressable new ARR from quick wins: $8.5M - $22.75M+ within 12 months.</w:t>
      </w:r>
    </w:p>
    <w:p>
      <w:pPr>
        <w:spacing w:after="80"/>
      </w:pPr>
    </w:p>
    <w:p>
      <w:pPr>
        <w:spacing w:after="120"/>
        <w:jc w:val="left"/>
      </w:pPr>
      <w:r>
        <w:rPr>
          <w:rFonts w:ascii="Arial" w:cs="Arial" w:eastAsia="Arial" w:hAnsi="Arial"/>
          <w:b w:val="false"/>
          <w:bCs w:val="false"/>
          <w:i/>
          <w:iCs/>
          <w:color w:val="666666"/>
          <w:sz w:val="20"/>
          <w:szCs w:val="20"/>
        </w:rPr>
        <w:t xml:space="preserve">This analysis was prepared in March 2026 based on publicly available market research, regulatory filings, and competitive intelligence. All revenue estimates are directional and should be validated with HRSoft's internal data.</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8"/>
        <w:szCs w:val="18"/>
      </w:rPr>
      <w:t xml:space="preserve">DRAFT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999999"/>
        <w:sz w:val="16"/>
        <w:szCs w:val="16"/>
      </w:rPr>
      <w:t xml:space="preserve">DRAFT</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666666"/>
        <w:sz w:val="16"/>
        <w:szCs w:val="16"/>
      </w:rPr>
      <w:t xml:space="preserve">HRSoft Sales &amp; Market Intelligence</w:t>
    </w:r>
    <w:r>
      <w:rPr>
        <w:rFonts w:ascii="Arial" w:cs="Arial" w:eastAsia="Arial" w:hAnsi="Arial"/>
        <w:i/>
        <w:iCs/>
        <w:color w:val="666666"/>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B8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2026-03-24T23:09:47.171Z</dcterms:created>
  <dcterms:modified xsi:type="dcterms:W3CDTF">2026-03-24T23:09:47.171Z</dcterms:modified>
</cp:coreProperties>
</file>

<file path=docProps/custom.xml><?xml version="1.0" encoding="utf-8"?>
<Properties xmlns="http://schemas.openxmlformats.org/officeDocument/2006/custom-properties" xmlns:vt="http://schemas.openxmlformats.org/officeDocument/2006/docPropsVTypes"/>
</file>