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Arkova Document Alignment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Pre-Execution Verification Report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21, 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Auditor: </w:t>
      </w:r>
      <w:r>
        <w:rPr>
          <w:rFonts w:ascii="Arial" w:cs="Arial" w:eastAsia="Arial" w:hAnsi="Arial"/>
          <w:sz w:val="22"/>
          <w:szCs w:val="22"/>
        </w:rPr>
        <w:t xml:space="preserve">Claude (for Carson @ Arkova)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Cross-document consistency audit against 11 established project decisions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Pre-execution verification before Carson begins implementation</w:t>
      </w:r>
    </w:p>
    <w:p>
      <w:pPr>
        <w:pStyle w:val="Heading1"/>
      </w:pPr>
      <w:r>
        <w:t xml:space="preserve">Critical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INFO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Document-by-Document Findings</w:t>
      </w:r>
    </w:p>
    <w:p>
      <w:pPr>
        <w:pStyle w:val="Heading2"/>
      </w:pPr>
      <w:r>
        <w:t xml:space="preserve">1. Arkova-Strategic-Roadmap-v2.docx (Source of Truth)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6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CRITICAL-01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OpenTimestamps reference in Appendix C. OpenTimestamps was explicitly rejected. Arkova uses direct OP_RETURN anchoring.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Replace "via OpenTimestamps" with "via direct OP_RETURN"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Crypto jargon: "transaction logs" in Self-Hosted Facilitator description. Forbidden per CLAUDE.md.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Replace with "settlement records" or "payment records"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"Verification layer" language persists in multiple sections instead of "autonomous compliance infrastructure."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Find-and-replace positioning language to "autonomous compliance infrastructure"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INFO-01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INFO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Coinbase hosted as fallback in risk table. Acceptable as dev/testnet fallback, not production.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change needed</w:t>
            </w:r>
          </w:p>
        </w:tc>
      </w:tr>
    </w:tbl>
    <w:p>
      <w:pPr>
        <w:pStyle w:val="Heading2"/>
      </w:pPr>
      <w:r>
        <w:t xml:space="preserve">2. Arkova-Roadmap-x402-Plan.docx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6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"Wallet" used multiple times in user-facing contexts. Forbidden term per CLAUDE.md.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Replace with "Vault" or "payment account" in user-facing sections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Nessie references anywhere. Predates naming decision.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 doc as superseded by v2 or update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"autonomous compliance" framing. Positioned as technical implementation plan only.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 as superseded or update title/framing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INFO-02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INFO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Correctly handles facilitator decision (self-hosted for production, Coinbase for testnet).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change needed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INFO-03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INFO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Correctly handles non-custodial model.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change needed</w:t>
            </w:r>
          </w:p>
        </w:tc>
      </w:tr>
    </w:tbl>
    <w:p>
      <w:pPr>
        <w:pStyle w:val="Heading2"/>
      </w:pPr>
      <w:r>
        <w:t xml:space="preserve">3. Arkova-Verification-Bootstrap-Strategy.docx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6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"Verification layer" used as primary positioning throughout instead of "autonomous compliance infrastructure."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Reframe positioning language if shared externally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INFO-04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INFO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Nessie mention (expected for corpus/bootstrap strategy doc).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Consider adding cross-reference to v2 roadmap</w:t>
            </w:r>
          </w:p>
        </w:tc>
      </w:tr>
    </w:tbl>
    <w:p>
      <w:pPr>
        <w:pStyle w:val="Heading2"/>
      </w:pPr>
      <w:r>
        <w:t xml:space="preserve">4. Arkova-Verification-Bootstrap-Deep-Dive.docx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6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CRITICAL-02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OpenTimestamps mentioned as competitor without noting Arkova explicitly rejected it for direct OP_RETURN. Risk: reader could infer Arkova should use OpenTimestamps.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clarifying note that Arkova uses direct OP_RETURN, not OpenTimestamps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WARNING-07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"Verification network" as identity. Closer to evolved vision but not the full "autonomous compliance infrastructure" positioning.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Note that it predates v2 positioning update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INFO-05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INFO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Correct non-custodial and self-custody alignment throughout.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change needed</w:t>
            </w:r>
          </w:p>
        </w:tc>
      </w:tr>
    </w:tbl>
    <w:p>
      <w:pPr>
        <w:pStyle w:val="Heading2"/>
      </w:pPr>
      <w:r>
        <w:t xml:space="preserve">5. Arkova-Verified-Intelligence-SLM-Analysis.docx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6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CRITICAL-03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SLM is never called "Nessie" anywhere in the document. This is the primary SLM strategy doc.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Global find-and-replace: "the SLM" to "Nessie"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Inflated FTE costs: $450K-$720K for 2-3 ML engineers + 1 data engineer. Agreed approach is synthetic data distillation with 1 ML engineer.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Revise to 1 ML engineer (~$150-180K) + synthetic data approach (~$175-240K total)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WARNING-09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Missing "autonomous compliance infrastructure" framing. Treats SLM as standalone product.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framing connecting Nessie to autonomous compliance vision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WARNING-10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WARNING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mention of synthetic data / distillation training approach using Claude/Gemini.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section on synthetic data generation methodology</w:t>
            </w:r>
          </w:p>
        </w:tc>
      </w:tr>
    </w:tbl>
    <w:p>
      <w:pPr>
        <w:pStyle w:val="Heading2"/>
      </w:pPr>
      <w:r>
        <w:t xml:space="preserve">6. Arkova-Global-Data-Source-Registry.docx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CLEAN </w:t>
      </w:r>
      <w:r>
        <w:rPr>
          <w:rFonts w:ascii="Arial" w:cs="Arial" w:eastAsia="Arial" w:hAnsi="Arial"/>
          <w:sz w:val="22"/>
          <w:szCs w:val="22"/>
        </w:rPr>
        <w:t xml:space="preserve">— No alignment issues found. Covers 30+ jurisdictions across 7 regions. No OpenTimestamps references, no crypto jargon in user-facing content, no Nessie references needed.</w:t>
      </w:r>
    </w:p>
    <w:p>
      <w:r>
        <w:br w:type="page"/>
      </w:r>
    </w:p>
    <w:p>
      <w:pPr>
        <w:pStyle w:val="Heading1"/>
      </w:pPr>
      <w:r>
        <w:t xml:space="preserve">Cross-Document Consistency Issues</w:t>
      </w:r>
    </w:p>
    <w:p>
      <w:pPr>
        <w:pStyle w:val="Heading2"/>
      </w:pPr>
      <w:r>
        <w:t xml:space="preserve">Positioning Language Drift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Positioning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v2 Roadmap (source of truth)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Autonomous compliance infrastructure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v1 Roadmap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Strategic Roadmap &amp; x402 Implementation Plan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Bootstrap Strategy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Verification layer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Bootstrap Deep Dive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Verification network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SLM Analysis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Verified Intelligence / standalone SLM product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Global Data Registry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Neutral (data reference doc)</w:t>
            </w:r>
          </w:p>
        </w:tc>
      </w:tr>
    </w:tbl>
    <w:p>
      <w:pPr>
        <w:pStyle w:val="Heading2"/>
      </w:pPr>
      <w:r>
        <w:t xml:space="preserve">FTE Cost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Team Size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v2 Roadmap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Implied lean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$580K-$920K total (incl. infra)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SLM Analysis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2-3 ML + 1 data engineer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$450K-$720K FTE only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Agreed approach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ML engineer (synthetic data)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~$175-240K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Execution Readiness Assessment</w:t>
      </w:r>
    </w:p>
    <w:p>
      <w:pPr>
        <w:pStyle w:val="Heading2"/>
      </w:pPr>
      <w:r>
        <w:t xml:space="preserve">Ready for Execution (Clean or Minor Issues)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Data Source Registry </w:t>
      </w:r>
      <w:r>
        <w:rPr>
          <w:rFonts w:ascii="Arial" w:cs="Arial" w:eastAsia="Arial" w:hAnsi="Arial"/>
          <w:sz w:val="22"/>
          <w:szCs w:val="22"/>
        </w:rPr>
        <w:t xml:space="preserve">— CLEAN. Ready to execute for data ingestion planning.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x402 Plan (v1) </w:t>
      </w:r>
      <w:r>
        <w:rPr>
          <w:rFonts w:ascii="Arial" w:cs="Arial" w:eastAsia="Arial" w:hAnsi="Arial"/>
          <w:sz w:val="22"/>
          <w:szCs w:val="22"/>
        </w:rPr>
        <w:t xml:space="preserve">— Safe to execute x402 technical implementation. "Wallet" and Nessie gaps are warnings, not blockers.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Bootstrap Strategy </w:t>
      </w:r>
      <w:r>
        <w:rPr>
          <w:rFonts w:ascii="Arial" w:cs="Arial" w:eastAsia="Arial" w:hAnsi="Arial"/>
          <w:sz w:val="22"/>
          <w:szCs w:val="22"/>
        </w:rPr>
        <w:t xml:space="preserve">— Strategy recommendations sound. Safe to execute bootstrap priorities.</w:t>
      </w:r>
    </w:p>
    <w:p>
      <w:pPr>
        <w:pStyle w:val="Heading2"/>
      </w:pPr>
      <w:r>
        <w:t xml:space="preserve">Needs Revision Before External Sharing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 Roadmap </w:t>
      </w:r>
      <w:r>
        <w:rPr>
          <w:rFonts w:ascii="Arial" w:cs="Arial" w:eastAsia="Arial" w:hAnsi="Arial"/>
          <w:sz w:val="22"/>
          <w:szCs w:val="22"/>
        </w:rPr>
        <w:t xml:space="preserve">— Fix OpenTimestamps reference in Appendix C, then ready.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Bootstrap Deep Dive </w:t>
      </w:r>
      <w:r>
        <w:rPr>
          <w:rFonts w:ascii="Arial" w:cs="Arial" w:eastAsia="Arial" w:hAnsi="Arial"/>
          <w:sz w:val="22"/>
          <w:szCs w:val="22"/>
        </w:rPr>
        <w:t xml:space="preserve">— Add clarifying context about direct OP_RETURN in competitive section.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SLM Analysis </w:t>
      </w:r>
      <w:r>
        <w:rPr>
          <w:rFonts w:ascii="Arial" w:cs="Arial" w:eastAsia="Arial" w:hAnsi="Arial"/>
          <w:sz w:val="22"/>
          <w:szCs w:val="22"/>
        </w:rPr>
        <w:t xml:space="preserve">— Needs Nessie naming, cost correction to synthetic data approach, and methodology addition. Do not execute against cost/team estimates without revision.</w:t>
      </w:r>
    </w:p>
    <w:p>
      <w:pPr>
        <w:pStyle w:val="Heading1"/>
      </w:pPr>
      <w:r>
        <w:t xml:space="preserve">Recommended Fix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6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Fix OpenTimestamps reference in v2 Roadmap Appendix 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"Nessie" naming throughout SLM Analysis doc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clarifying note about direct OP_RETURN in Deep Dive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Revise SLM Analysis team/cost for synthetic data approach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synthetic data/distillation methodology to SLM Analysis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Replace "wallet" with approved terminology in v1 Roadmap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positioning language across all docs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 min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Audit completed March 21, 2026. All documents read in full. Findings cross-referenced against CLAUDE.md project configuration and the 11 alignment criteria provided by Carson.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Arkova Document Alignment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2026-03-21T21:34:14.890Z</dcterms:created>
  <dcterms:modified xsi:type="dcterms:W3CDTF">2026-03-21T21:34:14.891Z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