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p>
    <w:p>
      <w:pPr>
        <w:spacing w:after="200"/>
      </w:pPr>
    </w:p>
    <w:p>
      <w:pPr>
        <w:spacing w:after="200"/>
      </w:pPr>
    </w:p>
    <w:p>
      <w:pPr>
        <w:spacing w:after="200"/>
      </w:pPr>
    </w:p>
    <w:p>
      <w:pPr>
        <w:spacing w:after="200"/>
        <w:jc w:val="center"/>
      </w:pPr>
      <w:r>
        <w:rPr>
          <w:rFonts w:ascii="Arial" w:cs="Arial" w:eastAsia="Arial" w:hAnsi="Arial"/>
          <w:b/>
          <w:bCs/>
          <w:color w:val="1B4F72"/>
          <w:sz w:val="56"/>
          <w:szCs w:val="56"/>
        </w:rPr>
        <w:t xml:space="preserve">ARKOVA</w:t>
      </w:r>
    </w:p>
    <w:p>
      <w:pPr>
        <w:spacing w:after="100"/>
        <w:jc w:val="center"/>
      </w:pPr>
      <w:r>
        <w:rPr>
          <w:rFonts w:ascii="Arial" w:cs="Arial" w:eastAsia="Arial" w:hAnsi="Arial"/>
          <w:color w:val="2E86C1"/>
          <w:sz w:val="44"/>
          <w:szCs w:val="44"/>
        </w:rPr>
        <w:t xml:space="preserve">Global Data Source Registry</w:t>
      </w:r>
    </w:p>
    <w:p>
      <w:pPr>
        <w:spacing w:after="100"/>
        <w:jc w:val="center"/>
      </w:pPr>
      <w:r>
        <w:rPr>
          <w:rFonts w:ascii="Arial" w:cs="Arial" w:eastAsia="Arial" w:hAnsi="Arial"/>
          <w:color w:val="2E86C1"/>
          <w:sz w:val="36"/>
          <w:szCs w:val="36"/>
        </w:rPr>
        <w:t xml:space="preserve">International Verification Bootstrap</w:t>
      </w:r>
    </w:p>
    <w:p>
      <w:pPr>
        <w:pBdr>
          <w:bottom w:val="single" w:color="1B4F72" w:sz="6" w:space="1"/>
        </w:pBdr>
        <w:spacing w:after="400"/>
        <w:jc w:val="center"/>
      </w:pPr>
    </w:p>
    <w:p>
      <w:pPr>
        <w:spacing w:after="100"/>
        <w:jc w:val="center"/>
      </w:pPr>
      <w:r>
        <w:rPr>
          <w:rFonts w:ascii="Arial" w:cs="Arial" w:eastAsia="Arial" w:hAnsi="Arial"/>
          <w:color w:val="666666"/>
          <w:sz w:val="28"/>
          <w:szCs w:val="28"/>
        </w:rPr>
        <w:t xml:space="preserve">Jurisdiction-by-Jurisdiction Analysis</w:t>
      </w:r>
    </w:p>
    <w:p>
      <w:pPr>
        <w:spacing w:after="100"/>
        <w:jc w:val="center"/>
      </w:pPr>
      <w:r>
        <w:rPr>
          <w:rFonts w:ascii="Arial" w:cs="Arial" w:eastAsia="Arial" w:hAnsi="Arial"/>
          <w:color w:val="666666"/>
          <w:sz w:val="28"/>
          <w:szCs w:val="28"/>
        </w:rPr>
        <w:t xml:space="preserve">March 2026</w:t>
      </w:r>
    </w:p>
    <w:p>
      <w:pPr>
        <w:spacing w:after="100"/>
        <w:jc w:val="center"/>
      </w:pPr>
      <w:r>
        <w:rPr>
          <w:rFonts w:ascii="Arial" w:cs="Arial" w:eastAsia="Arial" w:hAnsi="Arial"/>
          <w:i/>
          <w:iCs/>
          <w:color w:val="888888"/>
          <w:sz w:val="24"/>
          <w:szCs w:val="24"/>
        </w:rPr>
        <w:t xml:space="preserve">Prepared for: Arkova Legal &amp; Engineering Teams</w:t>
      </w:r>
    </w:p>
    <w:p>
      <w:pPr>
        <w:jc w:val="center"/>
      </w:pPr>
      <w:r>
        <w:rPr>
          <w:rFonts w:ascii="Arial" w:cs="Arial" w:eastAsia="Arial" w:hAnsi="Arial"/>
          <w:b/>
          <w:bCs/>
          <w:color w:val="CC0000"/>
          <w:sz w:val="22"/>
          <w:szCs w:val="22"/>
        </w:rPr>
        <w:t xml:space="preserve">CONFIDENTIAL</w:t>
      </w:r>
    </w:p>
    <w:p>
      <w:r>
        <w:br w:type="page"/>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Executive Summary</w:t>
      </w:r>
    </w:p>
    <w:p>
      <w:pPr>
        <w:spacing w:after="120"/>
      </w:pPr>
      <w:r>
        <w:rPr>
          <w:rFonts w:ascii="Arial" w:cs="Arial" w:eastAsia="Arial" w:hAnsi="Arial"/>
          <w:sz w:val="22"/>
          <w:szCs w:val="22"/>
        </w:rPr>
        <w:t xml:space="preserve">This document provides a comprehensive mapping of public data sources across 30+ jurisdictions and 7 global regions for Arkova's verification bootstrap strategy. Each source is evaluated across nine dimensions: exact data source, volume, access method, legal analysis, language, data format, update frequency, cost, and technical complexity.</w:t>
      </w:r>
    </w:p>
    <w:p>
      <w:pPr>
        <w:spacing w:after="120"/>
      </w:pPr>
      <w:r>
        <w:rPr>
          <w:rFonts w:ascii="Arial" w:cs="Arial" w:eastAsia="Arial" w:hAnsi="Arial"/>
          <w:sz w:val="22"/>
          <w:szCs w:val="22"/>
        </w:rPr>
        <w:t xml:space="preserve">The analysis covers corporate registries, securities filings, intellectual property databases, legal case law repositories, and official gazettes across Australia, Canada, Latin America, Asia, Africa, Europe, and the Middle East.</w:t>
      </w:r>
    </w:p>
    <w:p>
      <w:pPr>
        <w:pStyle w:val="Heading2"/>
      </w:pPr>
      <w:r>
        <w:t xml:space="preserve">Regional Readiness Assessment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1200"/>
        <w:gridCol w:w="1200"/>
        <w:gridCol w:w="1200"/>
        <w:gridCol w:w="1200"/>
        <w:gridCol w:w="1160"/>
      </w:tblGrid>
      <w:tr>
        <w:tc>
          <w:tcPr>
            <w:tcW w:type="dxa" w:w="22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r>
              <w:rPr>
                <w:rFonts w:ascii="Arial" w:cs="Arial" w:eastAsia="Arial" w:hAnsi="Arial"/>
                <w:b/>
                <w:bCs/>
                <w:color w:val="FFFFFF"/>
                <w:sz w:val="18"/>
                <w:szCs w:val="18"/>
              </w:rPr>
              <w:t xml:space="preserve">Region</w:t>
            </w:r>
          </w:p>
        </w:tc>
        <w:tc>
          <w:tcPr>
            <w:tcW w:type="dxa" w:w="12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r>
              <w:rPr>
                <w:rFonts w:ascii="Arial" w:cs="Arial" w:eastAsia="Arial" w:hAnsi="Arial"/>
                <w:b/>
                <w:bCs/>
                <w:color w:val="FFFFFF"/>
                <w:sz w:val="18"/>
                <w:szCs w:val="18"/>
              </w:rPr>
              <w:t xml:space="preserve">APIs</w:t>
            </w:r>
          </w:p>
        </w:tc>
        <w:tc>
          <w:tcPr>
            <w:tcW w:type="dxa" w:w="12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r>
              <w:rPr>
                <w:rFonts w:ascii="Arial" w:cs="Arial" w:eastAsia="Arial" w:hAnsi="Arial"/>
                <w:b/>
                <w:bCs/>
                <w:color w:val="FFFFFF"/>
                <w:sz w:val="18"/>
                <w:szCs w:val="18"/>
              </w:rPr>
              <w:t xml:space="preserve">Volume</w:t>
            </w:r>
          </w:p>
        </w:tc>
        <w:tc>
          <w:tcPr>
            <w:tcW w:type="dxa" w:w="12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r>
              <w:rPr>
                <w:rFonts w:ascii="Arial" w:cs="Arial" w:eastAsia="Arial" w:hAnsi="Arial"/>
                <w:b/>
                <w:bCs/>
                <w:color w:val="FFFFFF"/>
                <w:sz w:val="18"/>
                <w:szCs w:val="18"/>
              </w:rPr>
              <w:t xml:space="preserve">Legal</w:t>
            </w:r>
          </w:p>
        </w:tc>
        <w:tc>
          <w:tcPr>
            <w:tcW w:type="dxa" w:w="12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r>
              <w:rPr>
                <w:rFonts w:ascii="Arial" w:cs="Arial" w:eastAsia="Arial" w:hAnsi="Arial"/>
                <w:b/>
                <w:bCs/>
                <w:color w:val="FFFFFF"/>
                <w:sz w:val="18"/>
                <w:szCs w:val="18"/>
              </w:rPr>
              <w:t xml:space="preserve">Cost</w:t>
            </w:r>
          </w:p>
        </w:tc>
        <w:tc>
          <w:tcPr>
            <w:tcW w:type="dxa" w:w="12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r>
              <w:rPr>
                <w:rFonts w:ascii="Arial" w:cs="Arial" w:eastAsia="Arial" w:hAnsi="Arial"/>
                <w:b/>
                <w:bCs/>
                <w:color w:val="FFFFFF"/>
                <w:sz w:val="18"/>
                <w:szCs w:val="18"/>
              </w:rPr>
              <w:t xml:space="preserve">Language</w:t>
            </w:r>
          </w:p>
        </w:tc>
        <w:tc>
          <w:tcPr>
            <w:tcW w:type="dxa" w:w="116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r>
              <w:rPr>
                <w:rFonts w:ascii="Arial" w:cs="Arial" w:eastAsia="Arial" w:hAnsi="Arial"/>
                <w:b/>
                <w:bCs/>
                <w:color w:val="FFFFFF"/>
                <w:sz w:val="18"/>
                <w:szCs w:val="18"/>
              </w:rPr>
              <w:t xml:space="preserve">Priority</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UK/EU</w:t>
            </w:r>
          </w:p>
        </w:tc>
        <w:tc>
          <w:tcPr>
            <w:tcW w:type="dxa" w:w="1200"/>
            <w:tcBorders>
              <w:top w:val="single" w:color="CCCCCC" w:sz="1"/>
              <w:left w:val="single" w:color="CCCCCC" w:sz="1"/>
              <w:bottom w:val="single" w:color="CCCCCC" w:sz="1"/>
              <w:right w:val="single" w:color="CCCCCC" w:sz="1"/>
            </w:tcBorders>
            <w:shd w:fill="E8F8F5" w:val="clear"/>
            <w:tcMar>
              <w:top w:type="dxa" w:w="60"/>
              <w:left w:type="dxa" w:w="100"/>
              <w:bottom w:type="dxa" w:w="60"/>
              <w:right w:type="dxa" w:w="100"/>
            </w:tcMar>
          </w:tcPr>
          <w:p>
            <w:r>
              <w:rPr>
                <w:rFonts w:ascii="Arial" w:cs="Arial" w:eastAsia="Arial" w:hAnsi="Arial"/>
                <w:sz w:val="18"/>
                <w:szCs w:val="18"/>
              </w:rPr>
              <w:t xml:space="preserve">Excellent</w:t>
            </w:r>
          </w:p>
        </w:tc>
        <w:tc>
          <w:tcPr>
            <w:tcW w:type="dxa" w:w="1200"/>
            <w:tcBorders>
              <w:top w:val="single" w:color="CCCCCC" w:sz="1"/>
              <w:left w:val="single" w:color="CCCCCC" w:sz="1"/>
              <w:bottom w:val="single" w:color="CCCCCC" w:sz="1"/>
              <w:right w:val="single" w:color="CCCCCC" w:sz="1"/>
            </w:tcBorders>
            <w:shd w:fill="E8F8F5" w:val="clear"/>
            <w:tcMar>
              <w:top w:type="dxa" w:w="60"/>
              <w:left w:type="dxa" w:w="100"/>
              <w:bottom w:type="dxa" w:w="60"/>
              <w:right w:type="dxa" w:w="100"/>
            </w:tcMar>
          </w:tcPr>
          <w:p>
            <w:r>
              <w:rPr>
                <w:rFonts w:ascii="Arial" w:cs="Arial" w:eastAsia="Arial" w:hAnsi="Arial"/>
                <w:sz w:val="18"/>
                <w:szCs w:val="18"/>
              </w:rPr>
              <w:t xml:space="preserve">Very High</w:t>
            </w:r>
          </w:p>
        </w:tc>
        <w:tc>
          <w:tcPr>
            <w:tcW w:type="dxa" w:w="1200"/>
            <w:tcBorders>
              <w:top w:val="single" w:color="CCCCCC" w:sz="1"/>
              <w:left w:val="single" w:color="CCCCCC" w:sz="1"/>
              <w:bottom w:val="single" w:color="CCCCCC" w:sz="1"/>
              <w:right w:val="single" w:color="CCCCCC" w:sz="1"/>
            </w:tcBorders>
            <w:shd w:fill="FEF9E7" w:val="clear"/>
            <w:tcMar>
              <w:top w:type="dxa" w:w="60"/>
              <w:left w:type="dxa" w:w="100"/>
              <w:bottom w:type="dxa" w:w="60"/>
              <w:right w:type="dxa" w:w="100"/>
            </w:tcMar>
          </w:tcPr>
          <w:p>
            <w:r>
              <w:rPr>
                <w:rFonts w:ascii="Arial" w:cs="Arial" w:eastAsia="Arial" w:hAnsi="Arial"/>
                <w:sz w:val="18"/>
                <w:szCs w:val="18"/>
              </w:rPr>
              <w:t xml:space="preserve">GDPR Complex</w:t>
            </w:r>
          </w:p>
        </w:tc>
        <w:tc>
          <w:tcPr>
            <w:tcW w:type="dxa" w:w="1200"/>
            <w:tcBorders>
              <w:top w:val="single" w:color="CCCCCC" w:sz="1"/>
              <w:left w:val="single" w:color="CCCCCC" w:sz="1"/>
              <w:bottom w:val="single" w:color="CCCCCC" w:sz="1"/>
              <w:right w:val="single" w:color="CCCCCC" w:sz="1"/>
            </w:tcBorders>
            <w:shd w:fill="E8F8F5" w:val="clear"/>
            <w:tcMar>
              <w:top w:type="dxa" w:w="60"/>
              <w:left w:type="dxa" w:w="100"/>
              <w:bottom w:type="dxa" w:w="60"/>
              <w:right w:type="dxa" w:w="100"/>
            </w:tcMar>
          </w:tcPr>
          <w:p>
            <w:r>
              <w:rPr>
                <w:rFonts w:ascii="Arial" w:cs="Arial" w:eastAsia="Arial" w:hAnsi="Arial"/>
                <w:sz w:val="18"/>
                <w:szCs w:val="18"/>
              </w:rPr>
              <w:t xml:space="preserve">Mostly Free</w:t>
            </w:r>
          </w:p>
        </w:tc>
        <w:tc>
          <w:tcPr>
            <w:tcW w:type="dxa" w:w="1200"/>
            <w:tcBorders>
              <w:top w:val="single" w:color="CCCCCC" w:sz="1"/>
              <w:left w:val="single" w:color="CCCCCC" w:sz="1"/>
              <w:bottom w:val="single" w:color="CCCCCC" w:sz="1"/>
              <w:right w:val="single" w:color="CCCCCC" w:sz="1"/>
            </w:tcBorders>
            <w:shd w:fill="E8F8F5" w:val="clear"/>
            <w:tcMar>
              <w:top w:type="dxa" w:w="60"/>
              <w:left w:type="dxa" w:w="100"/>
              <w:bottom w:type="dxa" w:w="60"/>
              <w:right w:type="dxa" w:w="100"/>
            </w:tcMar>
          </w:tcPr>
          <w:p>
            <w:r>
              <w:rPr>
                <w:rFonts w:ascii="Arial" w:cs="Arial" w:eastAsia="Arial" w:hAnsi="Arial"/>
                <w:sz w:val="18"/>
                <w:szCs w:val="18"/>
              </w:rPr>
              <w:t xml:space="preserve">English/Multi</w:t>
            </w:r>
          </w:p>
        </w:tc>
        <w:tc>
          <w:tcPr>
            <w:tcW w:type="dxa" w:w="1160"/>
            <w:tcBorders>
              <w:top w:val="single" w:color="CCCCCC" w:sz="1"/>
              <w:left w:val="single" w:color="CCCCCC" w:sz="1"/>
              <w:bottom w:val="single" w:color="CCCCCC" w:sz="1"/>
              <w:right w:val="single" w:color="CCCCCC" w:sz="1"/>
            </w:tcBorders>
            <w:shd w:fill="E8F8F5" w:val="clear"/>
            <w:tcMar>
              <w:top w:type="dxa" w:w="60"/>
              <w:left w:type="dxa" w:w="100"/>
              <w:bottom w:type="dxa" w:w="60"/>
              <w:right w:type="dxa" w:w="100"/>
            </w:tcMar>
          </w:tcPr>
          <w:p>
            <w:r>
              <w:rPr>
                <w:rFonts w:ascii="Arial" w:cs="Arial" w:eastAsia="Arial" w:hAnsi="Arial"/>
                <w:sz w:val="18"/>
                <w:szCs w:val="18"/>
              </w:rPr>
              <w:t xml:space="preserve">Tier 1</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Australia</w:t>
            </w:r>
          </w:p>
        </w:tc>
        <w:tc>
          <w:tcPr>
            <w:tcW w:type="dxa" w:w="1200"/>
            <w:tcBorders>
              <w:top w:val="single" w:color="CCCCCC" w:sz="1"/>
              <w:left w:val="single" w:color="CCCCCC" w:sz="1"/>
              <w:bottom w:val="single" w:color="CCCCCC" w:sz="1"/>
              <w:right w:val="single" w:color="CCCCCC" w:sz="1"/>
            </w:tcBorders>
            <w:shd w:fill="E8F8F5" w:val="clear"/>
            <w:tcMar>
              <w:top w:type="dxa" w:w="60"/>
              <w:left w:type="dxa" w:w="100"/>
              <w:bottom w:type="dxa" w:w="60"/>
              <w:right w:type="dxa" w:w="100"/>
            </w:tcMar>
          </w:tcPr>
          <w:p>
            <w:r>
              <w:rPr>
                <w:rFonts w:ascii="Arial" w:cs="Arial" w:eastAsia="Arial" w:hAnsi="Arial"/>
                <w:sz w:val="18"/>
                <w:szCs w:val="18"/>
              </w:rPr>
              <w:t xml:space="preserve">Good</w:t>
            </w:r>
          </w:p>
        </w:tc>
        <w:tc>
          <w:tcPr>
            <w:tcW w:type="dxa" w:w="1200"/>
            <w:tcBorders>
              <w:top w:val="single" w:color="CCCCCC" w:sz="1"/>
              <w:left w:val="single" w:color="CCCCCC" w:sz="1"/>
              <w:bottom w:val="single" w:color="CCCCCC" w:sz="1"/>
              <w:right w:val="single" w:color="CCCCCC" w:sz="1"/>
            </w:tcBorders>
            <w:shd w:fill="E8F8F5" w:val="clear"/>
            <w:tcMar>
              <w:top w:type="dxa" w:w="60"/>
              <w:left w:type="dxa" w:w="100"/>
              <w:bottom w:type="dxa" w:w="60"/>
              <w:right w:type="dxa" w:w="100"/>
            </w:tcMar>
          </w:tcPr>
          <w:p>
            <w:r>
              <w:rPr>
                <w:rFonts w:ascii="Arial" w:cs="Arial" w:eastAsia="Arial" w:hAnsi="Arial"/>
                <w:sz w:val="18"/>
                <w:szCs w:val="18"/>
              </w:rPr>
              <w:t xml:space="preserve">High (3.4M)</w:t>
            </w:r>
          </w:p>
        </w:tc>
        <w:tc>
          <w:tcPr>
            <w:tcW w:type="dxa" w:w="1200"/>
            <w:tcBorders>
              <w:top w:val="single" w:color="CCCCCC" w:sz="1"/>
              <w:left w:val="single" w:color="CCCCCC" w:sz="1"/>
              <w:bottom w:val="single" w:color="CCCCCC" w:sz="1"/>
              <w:right w:val="single" w:color="CCCCCC" w:sz="1"/>
            </w:tcBorders>
            <w:shd w:fill="FEF9E7" w:val="clear"/>
            <w:tcMar>
              <w:top w:type="dxa" w:w="60"/>
              <w:left w:type="dxa" w:w="100"/>
              <w:bottom w:type="dxa" w:w="60"/>
              <w:right w:type="dxa" w:w="100"/>
            </w:tcMar>
          </w:tcPr>
          <w:p>
            <w:r>
              <w:rPr>
                <w:rFonts w:ascii="Arial" w:cs="Arial" w:eastAsia="Arial" w:hAnsi="Arial"/>
                <w:sz w:val="18"/>
                <w:szCs w:val="18"/>
              </w:rPr>
              <w:t xml:space="preserve">Privacy Act</w:t>
            </w:r>
          </w:p>
        </w:tc>
        <w:tc>
          <w:tcPr>
            <w:tcW w:type="dxa" w:w="1200"/>
            <w:tcBorders>
              <w:top w:val="single" w:color="CCCCCC" w:sz="1"/>
              <w:left w:val="single" w:color="CCCCCC" w:sz="1"/>
              <w:bottom w:val="single" w:color="CCCCCC" w:sz="1"/>
              <w:right w:val="single" w:color="CCCCCC" w:sz="1"/>
            </w:tcBorders>
            <w:shd w:fill="E8F8F5" w:val="clear"/>
            <w:tcMar>
              <w:top w:type="dxa" w:w="60"/>
              <w:left w:type="dxa" w:w="100"/>
              <w:bottom w:type="dxa" w:w="60"/>
              <w:right w:type="dxa" w:w="100"/>
            </w:tcMar>
          </w:tcPr>
          <w:p>
            <w:r>
              <w:rPr>
                <w:rFonts w:ascii="Arial" w:cs="Arial" w:eastAsia="Arial" w:hAnsi="Arial"/>
                <w:sz w:val="18"/>
                <w:szCs w:val="18"/>
              </w:rPr>
              <w:t xml:space="preserve">Free APIs</w:t>
            </w:r>
          </w:p>
        </w:tc>
        <w:tc>
          <w:tcPr>
            <w:tcW w:type="dxa" w:w="1200"/>
            <w:tcBorders>
              <w:top w:val="single" w:color="CCCCCC" w:sz="1"/>
              <w:left w:val="single" w:color="CCCCCC" w:sz="1"/>
              <w:bottom w:val="single" w:color="CCCCCC" w:sz="1"/>
              <w:right w:val="single" w:color="CCCCCC" w:sz="1"/>
            </w:tcBorders>
            <w:shd w:fill="E8F8F5" w:val="clear"/>
            <w:tcMar>
              <w:top w:type="dxa" w:w="60"/>
              <w:left w:type="dxa" w:w="100"/>
              <w:bottom w:type="dxa" w:w="60"/>
              <w:right w:type="dxa" w:w="100"/>
            </w:tcMar>
          </w:tcPr>
          <w:p>
            <w:r>
              <w:rPr>
                <w:rFonts w:ascii="Arial" w:cs="Arial" w:eastAsia="Arial" w:hAnsi="Arial"/>
                <w:sz w:val="18"/>
                <w:szCs w:val="18"/>
              </w:rPr>
              <w:t xml:space="preserve">English</w:t>
            </w:r>
          </w:p>
        </w:tc>
        <w:tc>
          <w:tcPr>
            <w:tcW w:type="dxa" w:w="1160"/>
            <w:tcBorders>
              <w:top w:val="single" w:color="CCCCCC" w:sz="1"/>
              <w:left w:val="single" w:color="CCCCCC" w:sz="1"/>
              <w:bottom w:val="single" w:color="CCCCCC" w:sz="1"/>
              <w:right w:val="single" w:color="CCCCCC" w:sz="1"/>
            </w:tcBorders>
            <w:shd w:fill="E8F8F5" w:val="clear"/>
            <w:tcMar>
              <w:top w:type="dxa" w:w="60"/>
              <w:left w:type="dxa" w:w="100"/>
              <w:bottom w:type="dxa" w:w="60"/>
              <w:right w:type="dxa" w:w="100"/>
            </w:tcMar>
          </w:tcPr>
          <w:p>
            <w:r>
              <w:rPr>
                <w:rFonts w:ascii="Arial" w:cs="Arial" w:eastAsia="Arial" w:hAnsi="Arial"/>
                <w:sz w:val="18"/>
                <w:szCs w:val="18"/>
              </w:rPr>
              <w:t xml:space="preserve">Tier 1</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Canada</w:t>
            </w:r>
          </w:p>
        </w:tc>
        <w:tc>
          <w:tcPr>
            <w:tcW w:type="dxa" w:w="1200"/>
            <w:tcBorders>
              <w:top w:val="single" w:color="CCCCCC" w:sz="1"/>
              <w:left w:val="single" w:color="CCCCCC" w:sz="1"/>
              <w:bottom w:val="single" w:color="CCCCCC" w:sz="1"/>
              <w:right w:val="single" w:color="CCCCCC" w:sz="1"/>
            </w:tcBorders>
            <w:shd w:fill="FEF9E7" w:val="clear"/>
            <w:tcMar>
              <w:top w:type="dxa" w:w="60"/>
              <w:left w:type="dxa" w:w="100"/>
              <w:bottom w:type="dxa" w:w="60"/>
              <w:right w:type="dxa" w:w="100"/>
            </w:tcMar>
          </w:tcPr>
          <w:p>
            <w:r>
              <w:rPr>
                <w:rFonts w:ascii="Arial" w:cs="Arial" w:eastAsia="Arial" w:hAnsi="Arial"/>
                <w:sz w:val="18"/>
                <w:szCs w:val="18"/>
              </w:rPr>
              <w:t xml:space="preserve">Moderate</w:t>
            </w:r>
          </w:p>
        </w:tc>
        <w:tc>
          <w:tcPr>
            <w:tcW w:type="dxa" w:w="1200"/>
            <w:tcBorders>
              <w:top w:val="single" w:color="CCCCCC" w:sz="1"/>
              <w:left w:val="single" w:color="CCCCCC" w:sz="1"/>
              <w:bottom w:val="single" w:color="CCCCCC" w:sz="1"/>
              <w:right w:val="single" w:color="CCCCCC" w:sz="1"/>
            </w:tcBorders>
            <w:shd w:fill="E8F8F5" w:val="clear"/>
            <w:tcMar>
              <w:top w:type="dxa" w:w="60"/>
              <w:left w:type="dxa" w:w="100"/>
              <w:bottom w:type="dxa" w:w="60"/>
              <w:right w:type="dxa" w:w="100"/>
            </w:tcMar>
          </w:tcPr>
          <w:p>
            <w:r>
              <w:rPr>
                <w:rFonts w:ascii="Arial" w:cs="Arial" w:eastAsia="Arial" w:hAnsi="Arial"/>
                <w:sz w:val="18"/>
                <w:szCs w:val="18"/>
              </w:rPr>
              <w:t xml:space="preserve">High (2.5M)</w:t>
            </w:r>
          </w:p>
        </w:tc>
        <w:tc>
          <w:tcPr>
            <w:tcW w:type="dxa" w:w="1200"/>
            <w:tcBorders>
              <w:top w:val="single" w:color="CCCCCC" w:sz="1"/>
              <w:left w:val="single" w:color="CCCCCC" w:sz="1"/>
              <w:bottom w:val="single" w:color="CCCCCC" w:sz="1"/>
              <w:right w:val="single" w:color="CCCCCC" w:sz="1"/>
            </w:tcBorders>
            <w:shd w:fill="FEF9E7" w:val="clear"/>
            <w:tcMar>
              <w:top w:type="dxa" w:w="60"/>
              <w:left w:type="dxa" w:w="100"/>
              <w:bottom w:type="dxa" w:w="60"/>
              <w:right w:type="dxa" w:w="100"/>
            </w:tcMar>
          </w:tcPr>
          <w:p>
            <w:r>
              <w:rPr>
                <w:rFonts w:ascii="Arial" w:cs="Arial" w:eastAsia="Arial" w:hAnsi="Arial"/>
                <w:sz w:val="18"/>
                <w:szCs w:val="18"/>
              </w:rPr>
              <w:t xml:space="preserve">Fragmented</w:t>
            </w:r>
          </w:p>
        </w:tc>
        <w:tc>
          <w:tcPr>
            <w:tcW w:type="dxa" w:w="1200"/>
            <w:tcBorders>
              <w:top w:val="single" w:color="CCCCCC" w:sz="1"/>
              <w:left w:val="single" w:color="CCCCCC" w:sz="1"/>
              <w:bottom w:val="single" w:color="CCCCCC" w:sz="1"/>
              <w:right w:val="single" w:color="CCCCCC" w:sz="1"/>
            </w:tcBorders>
            <w:shd w:fill="FEF9E7" w:val="clear"/>
            <w:tcMar>
              <w:top w:type="dxa" w:w="60"/>
              <w:left w:type="dxa" w:w="100"/>
              <w:bottom w:type="dxa" w:w="60"/>
              <w:right w:type="dxa" w:w="100"/>
            </w:tcMar>
          </w:tcPr>
          <w:p>
            <w:r>
              <w:rPr>
                <w:rFonts w:ascii="Arial" w:cs="Arial" w:eastAsia="Arial" w:hAnsi="Arial"/>
                <w:sz w:val="18"/>
                <w:szCs w:val="18"/>
              </w:rPr>
              <w:t xml:space="preserve">Mixed</w:t>
            </w:r>
          </w:p>
        </w:tc>
        <w:tc>
          <w:tcPr>
            <w:tcW w:type="dxa" w:w="1200"/>
            <w:tcBorders>
              <w:top w:val="single" w:color="CCCCCC" w:sz="1"/>
              <w:left w:val="single" w:color="CCCCCC" w:sz="1"/>
              <w:bottom w:val="single" w:color="CCCCCC" w:sz="1"/>
              <w:right w:val="single" w:color="CCCCCC" w:sz="1"/>
            </w:tcBorders>
            <w:shd w:fill="E8F8F5" w:val="clear"/>
            <w:tcMar>
              <w:top w:type="dxa" w:w="60"/>
              <w:left w:type="dxa" w:w="100"/>
              <w:bottom w:type="dxa" w:w="60"/>
              <w:right w:type="dxa" w:w="100"/>
            </w:tcMar>
          </w:tcPr>
          <w:p>
            <w:r>
              <w:rPr>
                <w:rFonts w:ascii="Arial" w:cs="Arial" w:eastAsia="Arial" w:hAnsi="Arial"/>
                <w:sz w:val="18"/>
                <w:szCs w:val="18"/>
              </w:rPr>
              <w:t xml:space="preserve">EN/FR</w:t>
            </w:r>
          </w:p>
        </w:tc>
        <w:tc>
          <w:tcPr>
            <w:tcW w:type="dxa" w:w="1160"/>
            <w:tcBorders>
              <w:top w:val="single" w:color="CCCCCC" w:sz="1"/>
              <w:left w:val="single" w:color="CCCCCC" w:sz="1"/>
              <w:bottom w:val="single" w:color="CCCCCC" w:sz="1"/>
              <w:right w:val="single" w:color="CCCCCC" w:sz="1"/>
            </w:tcBorders>
            <w:shd w:fill="E8F8F5" w:val="clear"/>
            <w:tcMar>
              <w:top w:type="dxa" w:w="60"/>
              <w:left w:type="dxa" w:w="100"/>
              <w:bottom w:type="dxa" w:w="60"/>
              <w:right w:type="dxa" w:w="100"/>
            </w:tcMar>
          </w:tcPr>
          <w:p>
            <w:r>
              <w:rPr>
                <w:rFonts w:ascii="Arial" w:cs="Arial" w:eastAsia="Arial" w:hAnsi="Arial"/>
                <w:sz w:val="18"/>
                <w:szCs w:val="18"/>
              </w:rPr>
              <w:t xml:space="preserve">Tier 1</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Singapore/HK</w:t>
            </w:r>
          </w:p>
        </w:tc>
        <w:tc>
          <w:tcPr>
            <w:tcW w:type="dxa" w:w="1200"/>
            <w:tcBorders>
              <w:top w:val="single" w:color="CCCCCC" w:sz="1"/>
              <w:left w:val="single" w:color="CCCCCC" w:sz="1"/>
              <w:bottom w:val="single" w:color="CCCCCC" w:sz="1"/>
              <w:right w:val="single" w:color="CCCCCC" w:sz="1"/>
            </w:tcBorders>
            <w:shd w:fill="E8F8F5" w:val="clear"/>
            <w:tcMar>
              <w:top w:type="dxa" w:w="60"/>
              <w:left w:type="dxa" w:w="100"/>
              <w:bottom w:type="dxa" w:w="60"/>
              <w:right w:type="dxa" w:w="100"/>
            </w:tcMar>
          </w:tcPr>
          <w:p>
            <w:r>
              <w:rPr>
                <w:rFonts w:ascii="Arial" w:cs="Arial" w:eastAsia="Arial" w:hAnsi="Arial"/>
                <w:sz w:val="18"/>
                <w:szCs w:val="18"/>
              </w:rPr>
              <w:t xml:space="preserve">Good</w:t>
            </w:r>
          </w:p>
        </w:tc>
        <w:tc>
          <w:tcPr>
            <w:tcW w:type="dxa" w:w="1200"/>
            <w:tcBorders>
              <w:top w:val="single" w:color="CCCCCC" w:sz="1"/>
              <w:left w:val="single" w:color="CCCCCC" w:sz="1"/>
              <w:bottom w:val="single" w:color="CCCCCC" w:sz="1"/>
              <w:right w:val="single" w:color="CCCCCC" w:sz="1"/>
            </w:tcBorders>
            <w:shd w:fill="E8F8F5" w:val="clear"/>
            <w:tcMar>
              <w:top w:type="dxa" w:w="60"/>
              <w:left w:type="dxa" w:w="100"/>
              <w:bottom w:type="dxa" w:w="60"/>
              <w:right w:type="dxa" w:w="100"/>
            </w:tcMar>
          </w:tcPr>
          <w:p>
            <w:r>
              <w:rPr>
                <w:rFonts w:ascii="Arial" w:cs="Arial" w:eastAsia="Arial" w:hAnsi="Arial"/>
                <w:sz w:val="18"/>
                <w:szCs w:val="18"/>
              </w:rPr>
              <w:t xml:space="preserve">High</w:t>
            </w:r>
          </w:p>
        </w:tc>
        <w:tc>
          <w:tcPr>
            <w:tcW w:type="dxa" w:w="1200"/>
            <w:tcBorders>
              <w:top w:val="single" w:color="CCCCCC" w:sz="1"/>
              <w:left w:val="single" w:color="CCCCCC" w:sz="1"/>
              <w:bottom w:val="single" w:color="CCCCCC" w:sz="1"/>
              <w:right w:val="single" w:color="CCCCCC" w:sz="1"/>
            </w:tcBorders>
            <w:shd w:fill="FEF9E7" w:val="clear"/>
            <w:tcMar>
              <w:top w:type="dxa" w:w="60"/>
              <w:left w:type="dxa" w:w="100"/>
              <w:bottom w:type="dxa" w:w="60"/>
              <w:right w:type="dxa" w:w="100"/>
            </w:tcMar>
          </w:tcPr>
          <w:p>
            <w:r>
              <w:rPr>
                <w:rFonts w:ascii="Arial" w:cs="Arial" w:eastAsia="Arial" w:hAnsi="Arial"/>
                <w:sz w:val="18"/>
                <w:szCs w:val="18"/>
              </w:rPr>
              <w:t xml:space="preserve">PDPA/PDPO</w:t>
            </w:r>
          </w:p>
        </w:tc>
        <w:tc>
          <w:tcPr>
            <w:tcW w:type="dxa" w:w="1200"/>
            <w:tcBorders>
              <w:top w:val="single" w:color="CCCCCC" w:sz="1"/>
              <w:left w:val="single" w:color="CCCCCC" w:sz="1"/>
              <w:bottom w:val="single" w:color="CCCCCC" w:sz="1"/>
              <w:right w:val="single" w:color="CCCCCC" w:sz="1"/>
            </w:tcBorders>
            <w:shd w:fill="FEF9E7" w:val="clear"/>
            <w:tcMar>
              <w:top w:type="dxa" w:w="60"/>
              <w:left w:type="dxa" w:w="100"/>
              <w:bottom w:type="dxa" w:w="60"/>
              <w:right w:type="dxa" w:w="100"/>
            </w:tcMar>
          </w:tcPr>
          <w:p>
            <w:r>
              <w:rPr>
                <w:rFonts w:ascii="Arial" w:cs="Arial" w:eastAsia="Arial" w:hAnsi="Arial"/>
                <w:sz w:val="18"/>
                <w:szCs w:val="18"/>
              </w:rPr>
              <w:t xml:space="preserve">Mixed</w:t>
            </w:r>
          </w:p>
        </w:tc>
        <w:tc>
          <w:tcPr>
            <w:tcW w:type="dxa" w:w="1200"/>
            <w:tcBorders>
              <w:top w:val="single" w:color="CCCCCC" w:sz="1"/>
              <w:left w:val="single" w:color="CCCCCC" w:sz="1"/>
              <w:bottom w:val="single" w:color="CCCCCC" w:sz="1"/>
              <w:right w:val="single" w:color="CCCCCC" w:sz="1"/>
            </w:tcBorders>
            <w:shd w:fill="E8F8F5" w:val="clear"/>
            <w:tcMar>
              <w:top w:type="dxa" w:w="60"/>
              <w:left w:type="dxa" w:w="100"/>
              <w:bottom w:type="dxa" w:w="60"/>
              <w:right w:type="dxa" w:w="100"/>
            </w:tcMar>
          </w:tcPr>
          <w:p>
            <w:r>
              <w:rPr>
                <w:rFonts w:ascii="Arial" w:cs="Arial" w:eastAsia="Arial" w:hAnsi="Arial"/>
                <w:sz w:val="18"/>
                <w:szCs w:val="18"/>
              </w:rPr>
              <w:t xml:space="preserve">English</w:t>
            </w:r>
          </w:p>
        </w:tc>
        <w:tc>
          <w:tcPr>
            <w:tcW w:type="dxa" w:w="1160"/>
            <w:tcBorders>
              <w:top w:val="single" w:color="CCCCCC" w:sz="1"/>
              <w:left w:val="single" w:color="CCCCCC" w:sz="1"/>
              <w:bottom w:val="single" w:color="CCCCCC" w:sz="1"/>
              <w:right w:val="single" w:color="CCCCCC" w:sz="1"/>
            </w:tcBorders>
            <w:shd w:fill="E8F8F5" w:val="clear"/>
            <w:tcMar>
              <w:top w:type="dxa" w:w="60"/>
              <w:left w:type="dxa" w:w="100"/>
              <w:bottom w:type="dxa" w:w="60"/>
              <w:right w:type="dxa" w:w="100"/>
            </w:tcMar>
          </w:tcPr>
          <w:p>
            <w:r>
              <w:rPr>
                <w:rFonts w:ascii="Arial" w:cs="Arial" w:eastAsia="Arial" w:hAnsi="Arial"/>
                <w:sz w:val="18"/>
                <w:szCs w:val="18"/>
              </w:rPr>
              <w:t xml:space="preserve">Tier 1</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Japan/Korea</w:t>
            </w:r>
          </w:p>
        </w:tc>
        <w:tc>
          <w:tcPr>
            <w:tcW w:type="dxa" w:w="1200"/>
            <w:tcBorders>
              <w:top w:val="single" w:color="CCCCCC" w:sz="1"/>
              <w:left w:val="single" w:color="CCCCCC" w:sz="1"/>
              <w:bottom w:val="single" w:color="CCCCCC" w:sz="1"/>
              <w:right w:val="single" w:color="CCCCCC" w:sz="1"/>
            </w:tcBorders>
            <w:shd w:fill="E8F8F5" w:val="clear"/>
            <w:tcMar>
              <w:top w:type="dxa" w:w="60"/>
              <w:left w:type="dxa" w:w="100"/>
              <w:bottom w:type="dxa" w:w="60"/>
              <w:right w:type="dxa" w:w="100"/>
            </w:tcMar>
          </w:tcPr>
          <w:p>
            <w:r>
              <w:rPr>
                <w:rFonts w:ascii="Arial" w:cs="Arial" w:eastAsia="Arial" w:hAnsi="Arial"/>
                <w:sz w:val="18"/>
                <w:szCs w:val="18"/>
              </w:rPr>
              <w:t xml:space="preserve">Excellent</w:t>
            </w:r>
          </w:p>
        </w:tc>
        <w:tc>
          <w:tcPr>
            <w:tcW w:type="dxa" w:w="1200"/>
            <w:tcBorders>
              <w:top w:val="single" w:color="CCCCCC" w:sz="1"/>
              <w:left w:val="single" w:color="CCCCCC" w:sz="1"/>
              <w:bottom w:val="single" w:color="CCCCCC" w:sz="1"/>
              <w:right w:val="single" w:color="CCCCCC" w:sz="1"/>
            </w:tcBorders>
            <w:shd w:fill="E8F8F5" w:val="clear"/>
            <w:tcMar>
              <w:top w:type="dxa" w:w="60"/>
              <w:left w:type="dxa" w:w="100"/>
              <w:bottom w:type="dxa" w:w="60"/>
              <w:right w:type="dxa" w:w="100"/>
            </w:tcMar>
          </w:tcPr>
          <w:p>
            <w:r>
              <w:rPr>
                <w:rFonts w:ascii="Arial" w:cs="Arial" w:eastAsia="Arial" w:hAnsi="Arial"/>
                <w:sz w:val="18"/>
                <w:szCs w:val="18"/>
              </w:rPr>
              <w:t xml:space="preserve">Very High</w:t>
            </w:r>
          </w:p>
        </w:tc>
        <w:tc>
          <w:tcPr>
            <w:tcW w:type="dxa" w:w="1200"/>
            <w:tcBorders>
              <w:top w:val="single" w:color="CCCCCC" w:sz="1"/>
              <w:left w:val="single" w:color="CCCCCC" w:sz="1"/>
              <w:bottom w:val="single" w:color="CCCCCC" w:sz="1"/>
              <w:right w:val="single" w:color="CCCCCC" w:sz="1"/>
            </w:tcBorders>
            <w:shd w:fill="FEF9E7" w:val="clear"/>
            <w:tcMar>
              <w:top w:type="dxa" w:w="60"/>
              <w:left w:type="dxa" w:w="100"/>
              <w:bottom w:type="dxa" w:w="60"/>
              <w:right w:type="dxa" w:w="100"/>
            </w:tcMar>
          </w:tcPr>
          <w:p>
            <w:r>
              <w:rPr>
                <w:rFonts w:ascii="Arial" w:cs="Arial" w:eastAsia="Arial" w:hAnsi="Arial"/>
                <w:sz w:val="18"/>
                <w:szCs w:val="18"/>
              </w:rPr>
              <w:t xml:space="preserve">APPI/PIPA</w:t>
            </w:r>
          </w:p>
        </w:tc>
        <w:tc>
          <w:tcPr>
            <w:tcW w:type="dxa" w:w="1200"/>
            <w:tcBorders>
              <w:top w:val="single" w:color="CCCCCC" w:sz="1"/>
              <w:left w:val="single" w:color="CCCCCC" w:sz="1"/>
              <w:bottom w:val="single" w:color="CCCCCC" w:sz="1"/>
              <w:right w:val="single" w:color="CCCCCC" w:sz="1"/>
            </w:tcBorders>
            <w:shd w:fill="E8F8F5" w:val="clear"/>
            <w:tcMar>
              <w:top w:type="dxa" w:w="60"/>
              <w:left w:type="dxa" w:w="100"/>
              <w:bottom w:type="dxa" w:w="60"/>
              <w:right w:type="dxa" w:w="100"/>
            </w:tcMar>
          </w:tcPr>
          <w:p>
            <w:r>
              <w:rPr>
                <w:rFonts w:ascii="Arial" w:cs="Arial" w:eastAsia="Arial" w:hAnsi="Arial"/>
                <w:sz w:val="18"/>
                <w:szCs w:val="18"/>
              </w:rPr>
              <w:t xml:space="preserve">Free APIs</w:t>
            </w:r>
          </w:p>
        </w:tc>
        <w:tc>
          <w:tcPr>
            <w:tcW w:type="dxa" w:w="1200"/>
            <w:tcBorders>
              <w:top w:val="single" w:color="CCCCCC" w:sz="1"/>
              <w:left w:val="single" w:color="CCCCCC" w:sz="1"/>
              <w:bottom w:val="single" w:color="CCCCCC" w:sz="1"/>
              <w:right w:val="single" w:color="CCCCCC" w:sz="1"/>
            </w:tcBorders>
            <w:shd w:fill="FDEDEC" w:val="clear"/>
            <w:tcMar>
              <w:top w:type="dxa" w:w="60"/>
              <w:left w:type="dxa" w:w="100"/>
              <w:bottom w:type="dxa" w:w="60"/>
              <w:right w:type="dxa" w:w="100"/>
            </w:tcMar>
          </w:tcPr>
          <w:p>
            <w:r>
              <w:rPr>
                <w:rFonts w:ascii="Arial" w:cs="Arial" w:eastAsia="Arial" w:hAnsi="Arial"/>
                <w:sz w:val="18"/>
                <w:szCs w:val="18"/>
              </w:rPr>
              <w:t xml:space="preserve">JP/KR only</w:t>
            </w:r>
          </w:p>
        </w:tc>
        <w:tc>
          <w:tcPr>
            <w:tcW w:type="dxa" w:w="1160"/>
            <w:tcBorders>
              <w:top w:val="single" w:color="CCCCCC" w:sz="1"/>
              <w:left w:val="single" w:color="CCCCCC" w:sz="1"/>
              <w:bottom w:val="single" w:color="CCCCCC" w:sz="1"/>
              <w:right w:val="single" w:color="CCCCCC" w:sz="1"/>
            </w:tcBorders>
            <w:shd w:fill="FEF9E7" w:val="clear"/>
            <w:tcMar>
              <w:top w:type="dxa" w:w="60"/>
              <w:left w:type="dxa" w:w="100"/>
              <w:bottom w:type="dxa" w:w="60"/>
              <w:right w:type="dxa" w:w="100"/>
            </w:tcMar>
          </w:tcPr>
          <w:p>
            <w:r>
              <w:rPr>
                <w:rFonts w:ascii="Arial" w:cs="Arial" w:eastAsia="Arial" w:hAnsi="Arial"/>
                <w:sz w:val="18"/>
                <w:szCs w:val="18"/>
              </w:rPr>
              <w:t xml:space="preserve">Tier 2</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India</w:t>
            </w:r>
          </w:p>
        </w:tc>
        <w:tc>
          <w:tcPr>
            <w:tcW w:type="dxa" w:w="1200"/>
            <w:tcBorders>
              <w:top w:val="single" w:color="CCCCCC" w:sz="1"/>
              <w:left w:val="single" w:color="CCCCCC" w:sz="1"/>
              <w:bottom w:val="single" w:color="CCCCCC" w:sz="1"/>
              <w:right w:val="single" w:color="CCCCCC" w:sz="1"/>
            </w:tcBorders>
            <w:shd w:fill="FEF9E7" w:val="clear"/>
            <w:tcMar>
              <w:top w:type="dxa" w:w="60"/>
              <w:left w:type="dxa" w:w="100"/>
              <w:bottom w:type="dxa" w:w="60"/>
              <w:right w:type="dxa" w:w="100"/>
            </w:tcMar>
          </w:tcPr>
          <w:p>
            <w:r>
              <w:rPr>
                <w:rFonts w:ascii="Arial" w:cs="Arial" w:eastAsia="Arial" w:hAnsi="Arial"/>
                <w:sz w:val="18"/>
                <w:szCs w:val="18"/>
              </w:rPr>
              <w:t xml:space="preserve">Moderate</w:t>
            </w:r>
          </w:p>
        </w:tc>
        <w:tc>
          <w:tcPr>
            <w:tcW w:type="dxa" w:w="1200"/>
            <w:tcBorders>
              <w:top w:val="single" w:color="CCCCCC" w:sz="1"/>
              <w:left w:val="single" w:color="CCCCCC" w:sz="1"/>
              <w:bottom w:val="single" w:color="CCCCCC" w:sz="1"/>
              <w:right w:val="single" w:color="CCCCCC" w:sz="1"/>
            </w:tcBorders>
            <w:shd w:fill="E8F8F5" w:val="clear"/>
            <w:tcMar>
              <w:top w:type="dxa" w:w="60"/>
              <w:left w:type="dxa" w:w="100"/>
              <w:bottom w:type="dxa" w:w="60"/>
              <w:right w:type="dxa" w:w="100"/>
            </w:tcMar>
          </w:tcPr>
          <w:p>
            <w:r>
              <w:rPr>
                <w:rFonts w:ascii="Arial" w:cs="Arial" w:eastAsia="Arial" w:hAnsi="Arial"/>
                <w:sz w:val="18"/>
                <w:szCs w:val="18"/>
              </w:rPr>
              <w:t xml:space="preserve">Very High</w:t>
            </w:r>
          </w:p>
        </w:tc>
        <w:tc>
          <w:tcPr>
            <w:tcW w:type="dxa" w:w="1200"/>
            <w:tcBorders>
              <w:top w:val="single" w:color="CCCCCC" w:sz="1"/>
              <w:left w:val="single" w:color="CCCCCC" w:sz="1"/>
              <w:bottom w:val="single" w:color="CCCCCC" w:sz="1"/>
              <w:right w:val="single" w:color="CCCCCC" w:sz="1"/>
            </w:tcBorders>
            <w:shd w:fill="FEF9E7" w:val="clear"/>
            <w:tcMar>
              <w:top w:type="dxa" w:w="60"/>
              <w:left w:type="dxa" w:w="100"/>
              <w:bottom w:type="dxa" w:w="60"/>
              <w:right w:type="dxa" w:w="100"/>
            </w:tcMar>
          </w:tcPr>
          <w:p>
            <w:r>
              <w:rPr>
                <w:rFonts w:ascii="Arial" w:cs="Arial" w:eastAsia="Arial" w:hAnsi="Arial"/>
                <w:sz w:val="18"/>
                <w:szCs w:val="18"/>
              </w:rPr>
              <w:t xml:space="preserve">IT Act/SPDI</w:t>
            </w:r>
          </w:p>
        </w:tc>
        <w:tc>
          <w:tcPr>
            <w:tcW w:type="dxa" w:w="1200"/>
            <w:tcBorders>
              <w:top w:val="single" w:color="CCCCCC" w:sz="1"/>
              <w:left w:val="single" w:color="CCCCCC" w:sz="1"/>
              <w:bottom w:val="single" w:color="CCCCCC" w:sz="1"/>
              <w:right w:val="single" w:color="CCCCCC" w:sz="1"/>
            </w:tcBorders>
            <w:shd w:fill="E8F8F5" w:val="clear"/>
            <w:tcMar>
              <w:top w:type="dxa" w:w="60"/>
              <w:left w:type="dxa" w:w="100"/>
              <w:bottom w:type="dxa" w:w="60"/>
              <w:right w:type="dxa" w:w="100"/>
            </w:tcMar>
          </w:tcPr>
          <w:p>
            <w:r>
              <w:rPr>
                <w:rFonts w:ascii="Arial" w:cs="Arial" w:eastAsia="Arial" w:hAnsi="Arial"/>
                <w:sz w:val="18"/>
                <w:szCs w:val="18"/>
              </w:rPr>
              <w:t xml:space="preserve">Low cost</w:t>
            </w:r>
          </w:p>
        </w:tc>
        <w:tc>
          <w:tcPr>
            <w:tcW w:type="dxa" w:w="1200"/>
            <w:tcBorders>
              <w:top w:val="single" w:color="CCCCCC" w:sz="1"/>
              <w:left w:val="single" w:color="CCCCCC" w:sz="1"/>
              <w:bottom w:val="single" w:color="CCCCCC" w:sz="1"/>
              <w:right w:val="single" w:color="CCCCCC" w:sz="1"/>
            </w:tcBorders>
            <w:shd w:fill="E8F8F5" w:val="clear"/>
            <w:tcMar>
              <w:top w:type="dxa" w:w="60"/>
              <w:left w:type="dxa" w:w="100"/>
              <w:bottom w:type="dxa" w:w="60"/>
              <w:right w:type="dxa" w:w="100"/>
            </w:tcMar>
          </w:tcPr>
          <w:p>
            <w:r>
              <w:rPr>
                <w:rFonts w:ascii="Arial" w:cs="Arial" w:eastAsia="Arial" w:hAnsi="Arial"/>
                <w:sz w:val="18"/>
                <w:szCs w:val="18"/>
              </w:rPr>
              <w:t xml:space="preserve">English</w:t>
            </w:r>
          </w:p>
        </w:tc>
        <w:tc>
          <w:tcPr>
            <w:tcW w:type="dxa" w:w="1160"/>
            <w:tcBorders>
              <w:top w:val="single" w:color="CCCCCC" w:sz="1"/>
              <w:left w:val="single" w:color="CCCCCC" w:sz="1"/>
              <w:bottom w:val="single" w:color="CCCCCC" w:sz="1"/>
              <w:right w:val="single" w:color="CCCCCC" w:sz="1"/>
            </w:tcBorders>
            <w:shd w:fill="E8F8F5" w:val="clear"/>
            <w:tcMar>
              <w:top w:type="dxa" w:w="60"/>
              <w:left w:type="dxa" w:w="100"/>
              <w:bottom w:type="dxa" w:w="60"/>
              <w:right w:type="dxa" w:w="100"/>
            </w:tcMar>
          </w:tcPr>
          <w:p>
            <w:r>
              <w:rPr>
                <w:rFonts w:ascii="Arial" w:cs="Arial" w:eastAsia="Arial" w:hAnsi="Arial"/>
                <w:sz w:val="18"/>
                <w:szCs w:val="18"/>
              </w:rPr>
              <w:t xml:space="preserve">Tier 1</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China</w:t>
            </w:r>
          </w:p>
        </w:tc>
        <w:tc>
          <w:tcPr>
            <w:tcW w:type="dxa" w:w="1200"/>
            <w:tcBorders>
              <w:top w:val="single" w:color="CCCCCC" w:sz="1"/>
              <w:left w:val="single" w:color="CCCCCC" w:sz="1"/>
              <w:bottom w:val="single" w:color="CCCCCC" w:sz="1"/>
              <w:right w:val="single" w:color="CCCCCC" w:sz="1"/>
            </w:tcBorders>
            <w:shd w:fill="FDEDEC" w:val="clear"/>
            <w:tcMar>
              <w:top w:type="dxa" w:w="60"/>
              <w:left w:type="dxa" w:w="100"/>
              <w:bottom w:type="dxa" w:w="60"/>
              <w:right w:type="dxa" w:w="100"/>
            </w:tcMar>
          </w:tcPr>
          <w:p>
            <w:r>
              <w:rPr>
                <w:rFonts w:ascii="Arial" w:cs="Arial" w:eastAsia="Arial" w:hAnsi="Arial"/>
                <w:sz w:val="18"/>
                <w:szCs w:val="18"/>
              </w:rPr>
              <w:t xml:space="preserve">Limited</w:t>
            </w:r>
          </w:p>
        </w:tc>
        <w:tc>
          <w:tcPr>
            <w:tcW w:type="dxa" w:w="1200"/>
            <w:tcBorders>
              <w:top w:val="single" w:color="CCCCCC" w:sz="1"/>
              <w:left w:val="single" w:color="CCCCCC" w:sz="1"/>
              <w:bottom w:val="single" w:color="CCCCCC" w:sz="1"/>
              <w:right w:val="single" w:color="CCCCCC" w:sz="1"/>
            </w:tcBorders>
            <w:shd w:fill="E8F8F5" w:val="clear"/>
            <w:tcMar>
              <w:top w:type="dxa" w:w="60"/>
              <w:left w:type="dxa" w:w="100"/>
              <w:bottom w:type="dxa" w:w="60"/>
              <w:right w:type="dxa" w:w="100"/>
            </w:tcMar>
          </w:tcPr>
          <w:p>
            <w:r>
              <w:rPr>
                <w:rFonts w:ascii="Arial" w:cs="Arial" w:eastAsia="Arial" w:hAnsi="Arial"/>
                <w:sz w:val="18"/>
                <w:szCs w:val="18"/>
              </w:rPr>
              <w:t xml:space="preserve">Massive</w:t>
            </w:r>
          </w:p>
        </w:tc>
        <w:tc>
          <w:tcPr>
            <w:tcW w:type="dxa" w:w="1200"/>
            <w:tcBorders>
              <w:top w:val="single" w:color="CCCCCC" w:sz="1"/>
              <w:left w:val="single" w:color="CCCCCC" w:sz="1"/>
              <w:bottom w:val="single" w:color="CCCCCC" w:sz="1"/>
              <w:right w:val="single" w:color="CCCCCC" w:sz="1"/>
            </w:tcBorders>
            <w:shd w:fill="FDEDEC" w:val="clear"/>
            <w:tcMar>
              <w:top w:type="dxa" w:w="60"/>
              <w:left w:type="dxa" w:w="100"/>
              <w:bottom w:type="dxa" w:w="60"/>
              <w:right w:type="dxa" w:w="100"/>
            </w:tcMar>
          </w:tcPr>
          <w:p>
            <w:r>
              <w:rPr>
                <w:rFonts w:ascii="Arial" w:cs="Arial" w:eastAsia="Arial" w:hAnsi="Arial"/>
                <w:sz w:val="18"/>
                <w:szCs w:val="18"/>
              </w:rPr>
              <w:t xml:space="preserve">PIPL/Complex</w:t>
            </w:r>
          </w:p>
        </w:tc>
        <w:tc>
          <w:tcPr>
            <w:tcW w:type="dxa" w:w="1200"/>
            <w:tcBorders>
              <w:top w:val="single" w:color="CCCCCC" w:sz="1"/>
              <w:left w:val="single" w:color="CCCCCC" w:sz="1"/>
              <w:bottom w:val="single" w:color="CCCCCC" w:sz="1"/>
              <w:right w:val="single" w:color="CCCCCC" w:sz="1"/>
            </w:tcBorders>
            <w:shd w:fill="FEF9E7" w:val="clear"/>
            <w:tcMar>
              <w:top w:type="dxa" w:w="60"/>
              <w:left w:type="dxa" w:w="100"/>
              <w:bottom w:type="dxa" w:w="60"/>
              <w:right w:type="dxa" w:w="100"/>
            </w:tcMar>
          </w:tcPr>
          <w:p>
            <w:r>
              <w:rPr>
                <w:rFonts w:ascii="Arial" w:cs="Arial" w:eastAsia="Arial" w:hAnsi="Arial"/>
                <w:sz w:val="18"/>
                <w:szCs w:val="18"/>
              </w:rPr>
              <w:t xml:space="preserve">Mixed</w:t>
            </w:r>
          </w:p>
        </w:tc>
        <w:tc>
          <w:tcPr>
            <w:tcW w:type="dxa" w:w="1200"/>
            <w:tcBorders>
              <w:top w:val="single" w:color="CCCCCC" w:sz="1"/>
              <w:left w:val="single" w:color="CCCCCC" w:sz="1"/>
              <w:bottom w:val="single" w:color="CCCCCC" w:sz="1"/>
              <w:right w:val="single" w:color="CCCCCC" w:sz="1"/>
            </w:tcBorders>
            <w:shd w:fill="FDEDEC" w:val="clear"/>
            <w:tcMar>
              <w:top w:type="dxa" w:w="60"/>
              <w:left w:type="dxa" w:w="100"/>
              <w:bottom w:type="dxa" w:w="60"/>
              <w:right w:type="dxa" w:w="100"/>
            </w:tcMar>
          </w:tcPr>
          <w:p>
            <w:r>
              <w:rPr>
                <w:rFonts w:ascii="Arial" w:cs="Arial" w:eastAsia="Arial" w:hAnsi="Arial"/>
                <w:sz w:val="18"/>
                <w:szCs w:val="18"/>
              </w:rPr>
              <w:t xml:space="preserve">Chinese only</w:t>
            </w:r>
          </w:p>
        </w:tc>
        <w:tc>
          <w:tcPr>
            <w:tcW w:type="dxa" w:w="1160"/>
            <w:tcBorders>
              <w:top w:val="single" w:color="CCCCCC" w:sz="1"/>
              <w:left w:val="single" w:color="CCCCCC" w:sz="1"/>
              <w:bottom w:val="single" w:color="CCCCCC" w:sz="1"/>
              <w:right w:val="single" w:color="CCCCCC" w:sz="1"/>
            </w:tcBorders>
            <w:shd w:fill="FDEDEC" w:val="clear"/>
            <w:tcMar>
              <w:top w:type="dxa" w:w="60"/>
              <w:left w:type="dxa" w:w="100"/>
              <w:bottom w:type="dxa" w:w="60"/>
              <w:right w:type="dxa" w:w="100"/>
            </w:tcMar>
          </w:tcPr>
          <w:p>
            <w:r>
              <w:rPr>
                <w:rFonts w:ascii="Arial" w:cs="Arial" w:eastAsia="Arial" w:hAnsi="Arial"/>
                <w:sz w:val="18"/>
                <w:szCs w:val="18"/>
              </w:rPr>
              <w:t xml:space="preserve">Tier 3</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Brazil</w:t>
            </w:r>
          </w:p>
        </w:tc>
        <w:tc>
          <w:tcPr>
            <w:tcW w:type="dxa" w:w="1200"/>
            <w:tcBorders>
              <w:top w:val="single" w:color="CCCCCC" w:sz="1"/>
              <w:left w:val="single" w:color="CCCCCC" w:sz="1"/>
              <w:bottom w:val="single" w:color="CCCCCC" w:sz="1"/>
              <w:right w:val="single" w:color="CCCCCC" w:sz="1"/>
            </w:tcBorders>
            <w:shd w:fill="E8F8F5" w:val="clear"/>
            <w:tcMar>
              <w:top w:type="dxa" w:w="60"/>
              <w:left w:type="dxa" w:w="100"/>
              <w:bottom w:type="dxa" w:w="60"/>
              <w:right w:type="dxa" w:w="100"/>
            </w:tcMar>
          </w:tcPr>
          <w:p>
            <w:r>
              <w:rPr>
                <w:rFonts w:ascii="Arial" w:cs="Arial" w:eastAsia="Arial" w:hAnsi="Arial"/>
                <w:sz w:val="18"/>
                <w:szCs w:val="18"/>
              </w:rPr>
              <w:t xml:space="preserve">Good</w:t>
            </w:r>
          </w:p>
        </w:tc>
        <w:tc>
          <w:tcPr>
            <w:tcW w:type="dxa" w:w="1200"/>
            <w:tcBorders>
              <w:top w:val="single" w:color="CCCCCC" w:sz="1"/>
              <w:left w:val="single" w:color="CCCCCC" w:sz="1"/>
              <w:bottom w:val="single" w:color="CCCCCC" w:sz="1"/>
              <w:right w:val="single" w:color="CCCCCC" w:sz="1"/>
            </w:tcBorders>
            <w:shd w:fill="E8F8F5" w:val="clear"/>
            <w:tcMar>
              <w:top w:type="dxa" w:w="60"/>
              <w:left w:type="dxa" w:w="100"/>
              <w:bottom w:type="dxa" w:w="60"/>
              <w:right w:type="dxa" w:w="100"/>
            </w:tcMar>
          </w:tcPr>
          <w:p>
            <w:r>
              <w:rPr>
                <w:rFonts w:ascii="Arial" w:cs="Arial" w:eastAsia="Arial" w:hAnsi="Arial"/>
                <w:sz w:val="18"/>
                <w:szCs w:val="18"/>
              </w:rPr>
              <w:t xml:space="preserve">High</w:t>
            </w:r>
          </w:p>
        </w:tc>
        <w:tc>
          <w:tcPr>
            <w:tcW w:type="dxa" w:w="1200"/>
            <w:tcBorders>
              <w:top w:val="single" w:color="CCCCCC" w:sz="1"/>
              <w:left w:val="single" w:color="CCCCCC" w:sz="1"/>
              <w:bottom w:val="single" w:color="CCCCCC" w:sz="1"/>
              <w:right w:val="single" w:color="CCCCCC" w:sz="1"/>
            </w:tcBorders>
            <w:shd w:fill="FEF9E7" w:val="clear"/>
            <w:tcMar>
              <w:top w:type="dxa" w:w="60"/>
              <w:left w:type="dxa" w:w="100"/>
              <w:bottom w:type="dxa" w:w="60"/>
              <w:right w:type="dxa" w:w="100"/>
            </w:tcMar>
          </w:tcPr>
          <w:p>
            <w:r>
              <w:rPr>
                <w:rFonts w:ascii="Arial" w:cs="Arial" w:eastAsia="Arial" w:hAnsi="Arial"/>
                <w:sz w:val="18"/>
                <w:szCs w:val="18"/>
              </w:rPr>
              <w:t xml:space="preserve">LGPD</w:t>
            </w:r>
          </w:p>
        </w:tc>
        <w:tc>
          <w:tcPr>
            <w:tcW w:type="dxa" w:w="1200"/>
            <w:tcBorders>
              <w:top w:val="single" w:color="CCCCCC" w:sz="1"/>
              <w:left w:val="single" w:color="CCCCCC" w:sz="1"/>
              <w:bottom w:val="single" w:color="CCCCCC" w:sz="1"/>
              <w:right w:val="single" w:color="CCCCCC" w:sz="1"/>
            </w:tcBorders>
            <w:shd w:fill="E8F8F5" w:val="clear"/>
            <w:tcMar>
              <w:top w:type="dxa" w:w="60"/>
              <w:left w:type="dxa" w:w="100"/>
              <w:bottom w:type="dxa" w:w="60"/>
              <w:right w:type="dxa" w:w="100"/>
            </w:tcMar>
          </w:tcPr>
          <w:p>
            <w:r>
              <w:rPr>
                <w:rFonts w:ascii="Arial" w:cs="Arial" w:eastAsia="Arial" w:hAnsi="Arial"/>
                <w:sz w:val="18"/>
                <w:szCs w:val="18"/>
              </w:rPr>
              <w:t xml:space="preserve">Free</w:t>
            </w:r>
          </w:p>
        </w:tc>
        <w:tc>
          <w:tcPr>
            <w:tcW w:type="dxa" w:w="1200"/>
            <w:tcBorders>
              <w:top w:val="single" w:color="CCCCCC" w:sz="1"/>
              <w:left w:val="single" w:color="CCCCCC" w:sz="1"/>
              <w:bottom w:val="single" w:color="CCCCCC" w:sz="1"/>
              <w:right w:val="single" w:color="CCCCCC" w:sz="1"/>
            </w:tcBorders>
            <w:shd w:fill="FEF9E7" w:val="clear"/>
            <w:tcMar>
              <w:top w:type="dxa" w:w="60"/>
              <w:left w:type="dxa" w:w="100"/>
              <w:bottom w:type="dxa" w:w="60"/>
              <w:right w:type="dxa" w:w="100"/>
            </w:tcMar>
          </w:tcPr>
          <w:p>
            <w:r>
              <w:rPr>
                <w:rFonts w:ascii="Arial" w:cs="Arial" w:eastAsia="Arial" w:hAnsi="Arial"/>
                <w:sz w:val="18"/>
                <w:szCs w:val="18"/>
              </w:rPr>
              <w:t xml:space="preserve">Portuguese</w:t>
            </w:r>
          </w:p>
        </w:tc>
        <w:tc>
          <w:tcPr>
            <w:tcW w:type="dxa" w:w="1160"/>
            <w:tcBorders>
              <w:top w:val="single" w:color="CCCCCC" w:sz="1"/>
              <w:left w:val="single" w:color="CCCCCC" w:sz="1"/>
              <w:bottom w:val="single" w:color="CCCCCC" w:sz="1"/>
              <w:right w:val="single" w:color="CCCCCC" w:sz="1"/>
            </w:tcBorders>
            <w:shd w:fill="FEF9E7" w:val="clear"/>
            <w:tcMar>
              <w:top w:type="dxa" w:w="60"/>
              <w:left w:type="dxa" w:w="100"/>
              <w:bottom w:type="dxa" w:w="60"/>
              <w:right w:type="dxa" w:w="100"/>
            </w:tcMar>
          </w:tcPr>
          <w:p>
            <w:r>
              <w:rPr>
                <w:rFonts w:ascii="Arial" w:cs="Arial" w:eastAsia="Arial" w:hAnsi="Arial"/>
                <w:sz w:val="18"/>
                <w:szCs w:val="18"/>
              </w:rPr>
              <w:t xml:space="preserve">Tier 2</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LatAm (other)</w:t>
            </w:r>
          </w:p>
        </w:tc>
        <w:tc>
          <w:tcPr>
            <w:tcW w:type="dxa" w:w="1200"/>
            <w:tcBorders>
              <w:top w:val="single" w:color="CCCCCC" w:sz="1"/>
              <w:left w:val="single" w:color="CCCCCC" w:sz="1"/>
              <w:bottom w:val="single" w:color="CCCCCC" w:sz="1"/>
              <w:right w:val="single" w:color="CCCCCC" w:sz="1"/>
            </w:tcBorders>
            <w:shd w:fill="FDEDEC" w:val="clear"/>
            <w:tcMar>
              <w:top w:type="dxa" w:w="60"/>
              <w:left w:type="dxa" w:w="100"/>
              <w:bottom w:type="dxa" w:w="60"/>
              <w:right w:type="dxa" w:w="100"/>
            </w:tcMar>
          </w:tcPr>
          <w:p>
            <w:r>
              <w:rPr>
                <w:rFonts w:ascii="Arial" w:cs="Arial" w:eastAsia="Arial" w:hAnsi="Arial"/>
                <w:sz w:val="18"/>
                <w:szCs w:val="18"/>
              </w:rPr>
              <w:t xml:space="preserve">Limited</w:t>
            </w:r>
          </w:p>
        </w:tc>
        <w:tc>
          <w:tcPr>
            <w:tcW w:type="dxa" w:w="1200"/>
            <w:tcBorders>
              <w:top w:val="single" w:color="CCCCCC" w:sz="1"/>
              <w:left w:val="single" w:color="CCCCCC" w:sz="1"/>
              <w:bottom w:val="single" w:color="CCCCCC" w:sz="1"/>
              <w:right w:val="single" w:color="CCCCCC" w:sz="1"/>
            </w:tcBorders>
            <w:shd w:fill="FEF9E7" w:val="clear"/>
            <w:tcMar>
              <w:top w:type="dxa" w:w="60"/>
              <w:left w:type="dxa" w:w="100"/>
              <w:bottom w:type="dxa" w:w="60"/>
              <w:right w:type="dxa" w:w="100"/>
            </w:tcMar>
          </w:tcPr>
          <w:p>
            <w:r>
              <w:rPr>
                <w:rFonts w:ascii="Arial" w:cs="Arial" w:eastAsia="Arial" w:hAnsi="Arial"/>
                <w:sz w:val="18"/>
                <w:szCs w:val="18"/>
              </w:rPr>
              <w:t xml:space="preserve">Moderate</w:t>
            </w:r>
          </w:p>
        </w:tc>
        <w:tc>
          <w:tcPr>
            <w:tcW w:type="dxa" w:w="1200"/>
            <w:tcBorders>
              <w:top w:val="single" w:color="CCCCCC" w:sz="1"/>
              <w:left w:val="single" w:color="CCCCCC" w:sz="1"/>
              <w:bottom w:val="single" w:color="CCCCCC" w:sz="1"/>
              <w:right w:val="single" w:color="CCCCCC" w:sz="1"/>
            </w:tcBorders>
            <w:shd w:fill="FEF9E7" w:val="clear"/>
            <w:tcMar>
              <w:top w:type="dxa" w:w="60"/>
              <w:left w:type="dxa" w:w="100"/>
              <w:bottom w:type="dxa" w:w="60"/>
              <w:right w:type="dxa" w:w="100"/>
            </w:tcMar>
          </w:tcPr>
          <w:p>
            <w:r>
              <w:rPr>
                <w:rFonts w:ascii="Arial" w:cs="Arial" w:eastAsia="Arial" w:hAnsi="Arial"/>
                <w:sz w:val="18"/>
                <w:szCs w:val="18"/>
              </w:rPr>
              <w:t xml:space="preserve">Varied</w:t>
            </w:r>
          </w:p>
        </w:tc>
        <w:tc>
          <w:tcPr>
            <w:tcW w:type="dxa" w:w="1200"/>
            <w:tcBorders>
              <w:top w:val="single" w:color="CCCCCC" w:sz="1"/>
              <w:left w:val="single" w:color="CCCCCC" w:sz="1"/>
              <w:bottom w:val="single" w:color="CCCCCC" w:sz="1"/>
              <w:right w:val="single" w:color="CCCCCC" w:sz="1"/>
            </w:tcBorders>
            <w:shd w:fill="E8F8F5" w:val="clear"/>
            <w:tcMar>
              <w:top w:type="dxa" w:w="60"/>
              <w:left w:type="dxa" w:w="100"/>
              <w:bottom w:type="dxa" w:w="60"/>
              <w:right w:type="dxa" w:w="100"/>
            </w:tcMar>
          </w:tcPr>
          <w:p>
            <w:r>
              <w:rPr>
                <w:rFonts w:ascii="Arial" w:cs="Arial" w:eastAsia="Arial" w:hAnsi="Arial"/>
                <w:sz w:val="18"/>
                <w:szCs w:val="18"/>
              </w:rPr>
              <w:t xml:space="preserve">Free/Low</w:t>
            </w:r>
          </w:p>
        </w:tc>
        <w:tc>
          <w:tcPr>
            <w:tcW w:type="dxa" w:w="1200"/>
            <w:tcBorders>
              <w:top w:val="single" w:color="CCCCCC" w:sz="1"/>
              <w:left w:val="single" w:color="CCCCCC" w:sz="1"/>
              <w:bottom w:val="single" w:color="CCCCCC" w:sz="1"/>
              <w:right w:val="single" w:color="CCCCCC" w:sz="1"/>
            </w:tcBorders>
            <w:shd w:fill="FEF9E7" w:val="clear"/>
            <w:tcMar>
              <w:top w:type="dxa" w:w="60"/>
              <w:left w:type="dxa" w:w="100"/>
              <w:bottom w:type="dxa" w:w="60"/>
              <w:right w:type="dxa" w:w="100"/>
            </w:tcMar>
          </w:tcPr>
          <w:p>
            <w:r>
              <w:rPr>
                <w:rFonts w:ascii="Arial" w:cs="Arial" w:eastAsia="Arial" w:hAnsi="Arial"/>
                <w:sz w:val="18"/>
                <w:szCs w:val="18"/>
              </w:rPr>
              <w:t xml:space="preserve">Spanish</w:t>
            </w:r>
          </w:p>
        </w:tc>
        <w:tc>
          <w:tcPr>
            <w:tcW w:type="dxa" w:w="1160"/>
            <w:tcBorders>
              <w:top w:val="single" w:color="CCCCCC" w:sz="1"/>
              <w:left w:val="single" w:color="CCCCCC" w:sz="1"/>
              <w:bottom w:val="single" w:color="CCCCCC" w:sz="1"/>
              <w:right w:val="single" w:color="CCCCCC" w:sz="1"/>
            </w:tcBorders>
            <w:shd w:fill="FEF9E7" w:val="clear"/>
            <w:tcMar>
              <w:top w:type="dxa" w:w="60"/>
              <w:left w:type="dxa" w:w="100"/>
              <w:bottom w:type="dxa" w:w="60"/>
              <w:right w:type="dxa" w:w="100"/>
            </w:tcMar>
          </w:tcPr>
          <w:p>
            <w:r>
              <w:rPr>
                <w:rFonts w:ascii="Arial" w:cs="Arial" w:eastAsia="Arial" w:hAnsi="Arial"/>
                <w:sz w:val="18"/>
                <w:szCs w:val="18"/>
              </w:rPr>
              <w:t xml:space="preserve">Tier 2-3</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Kenya</w:t>
            </w:r>
          </w:p>
        </w:tc>
        <w:tc>
          <w:tcPr>
            <w:tcW w:type="dxa" w:w="1200"/>
            <w:tcBorders>
              <w:top w:val="single" w:color="CCCCCC" w:sz="1"/>
              <w:left w:val="single" w:color="CCCCCC" w:sz="1"/>
              <w:bottom w:val="single" w:color="CCCCCC" w:sz="1"/>
              <w:right w:val="single" w:color="CCCCCC" w:sz="1"/>
            </w:tcBorders>
            <w:shd w:fill="FDEDEC" w:val="clear"/>
            <w:tcMar>
              <w:top w:type="dxa" w:w="60"/>
              <w:left w:type="dxa" w:w="100"/>
              <w:bottom w:type="dxa" w:w="60"/>
              <w:right w:type="dxa" w:w="100"/>
            </w:tcMar>
          </w:tcPr>
          <w:p>
            <w:r>
              <w:rPr>
                <w:rFonts w:ascii="Arial" w:cs="Arial" w:eastAsia="Arial" w:hAnsi="Arial"/>
                <w:sz w:val="18"/>
                <w:szCs w:val="18"/>
              </w:rPr>
              <w:t xml:space="preserve">Limited</w:t>
            </w:r>
          </w:p>
        </w:tc>
        <w:tc>
          <w:tcPr>
            <w:tcW w:type="dxa" w:w="1200"/>
            <w:tcBorders>
              <w:top w:val="single" w:color="CCCCCC" w:sz="1"/>
              <w:left w:val="single" w:color="CCCCCC" w:sz="1"/>
              <w:bottom w:val="single" w:color="CCCCCC" w:sz="1"/>
              <w:right w:val="single" w:color="CCCCCC" w:sz="1"/>
            </w:tcBorders>
            <w:shd w:fill="FEF9E7" w:val="clear"/>
            <w:tcMar>
              <w:top w:type="dxa" w:w="60"/>
              <w:left w:type="dxa" w:w="100"/>
              <w:bottom w:type="dxa" w:w="60"/>
              <w:right w:type="dxa" w:w="100"/>
            </w:tcMar>
          </w:tcPr>
          <w:p>
            <w:r>
              <w:rPr>
                <w:rFonts w:ascii="Arial" w:cs="Arial" w:eastAsia="Arial" w:hAnsi="Arial"/>
                <w:sz w:val="18"/>
                <w:szCs w:val="18"/>
              </w:rPr>
              <w:t xml:space="preserve">Moderate</w:t>
            </w:r>
          </w:p>
        </w:tc>
        <w:tc>
          <w:tcPr>
            <w:tcW w:type="dxa" w:w="1200"/>
            <w:tcBorders>
              <w:top w:val="single" w:color="CCCCCC" w:sz="1"/>
              <w:left w:val="single" w:color="CCCCCC" w:sz="1"/>
              <w:bottom w:val="single" w:color="CCCCCC" w:sz="1"/>
              <w:right w:val="single" w:color="CCCCCC" w:sz="1"/>
            </w:tcBorders>
            <w:shd w:fill="FEF9E7" w:val="clear"/>
            <w:tcMar>
              <w:top w:type="dxa" w:w="60"/>
              <w:left w:type="dxa" w:w="100"/>
              <w:bottom w:type="dxa" w:w="60"/>
              <w:right w:type="dxa" w:w="100"/>
            </w:tcMar>
          </w:tcPr>
          <w:p>
            <w:r>
              <w:rPr>
                <w:rFonts w:ascii="Arial" w:cs="Arial" w:eastAsia="Arial" w:hAnsi="Arial"/>
                <w:sz w:val="18"/>
                <w:szCs w:val="18"/>
              </w:rPr>
              <w:t xml:space="preserve">DPA 2019</w:t>
            </w:r>
          </w:p>
        </w:tc>
        <w:tc>
          <w:tcPr>
            <w:tcW w:type="dxa" w:w="1200"/>
            <w:tcBorders>
              <w:top w:val="single" w:color="CCCCCC" w:sz="1"/>
              <w:left w:val="single" w:color="CCCCCC" w:sz="1"/>
              <w:bottom w:val="single" w:color="CCCCCC" w:sz="1"/>
              <w:right w:val="single" w:color="CCCCCC" w:sz="1"/>
            </w:tcBorders>
            <w:shd w:fill="E8F8F5" w:val="clear"/>
            <w:tcMar>
              <w:top w:type="dxa" w:w="60"/>
              <w:left w:type="dxa" w:w="100"/>
              <w:bottom w:type="dxa" w:w="60"/>
              <w:right w:type="dxa" w:w="100"/>
            </w:tcMar>
          </w:tcPr>
          <w:p>
            <w:r>
              <w:rPr>
                <w:rFonts w:ascii="Arial" w:cs="Arial" w:eastAsia="Arial" w:hAnsi="Arial"/>
                <w:sz w:val="18"/>
                <w:szCs w:val="18"/>
              </w:rPr>
              <w:t xml:space="preserve">Free</w:t>
            </w:r>
          </w:p>
        </w:tc>
        <w:tc>
          <w:tcPr>
            <w:tcW w:type="dxa" w:w="1200"/>
            <w:tcBorders>
              <w:top w:val="single" w:color="CCCCCC" w:sz="1"/>
              <w:left w:val="single" w:color="CCCCCC" w:sz="1"/>
              <w:bottom w:val="single" w:color="CCCCCC" w:sz="1"/>
              <w:right w:val="single" w:color="CCCCCC" w:sz="1"/>
            </w:tcBorders>
            <w:shd w:fill="E8F8F5" w:val="clear"/>
            <w:tcMar>
              <w:top w:type="dxa" w:w="60"/>
              <w:left w:type="dxa" w:w="100"/>
              <w:bottom w:type="dxa" w:w="60"/>
              <w:right w:type="dxa" w:w="100"/>
            </w:tcMar>
          </w:tcPr>
          <w:p>
            <w:r>
              <w:rPr>
                <w:rFonts w:ascii="Arial" w:cs="Arial" w:eastAsia="Arial" w:hAnsi="Arial"/>
                <w:sz w:val="18"/>
                <w:szCs w:val="18"/>
              </w:rPr>
              <w:t xml:space="preserve">English</w:t>
            </w:r>
          </w:p>
        </w:tc>
        <w:tc>
          <w:tcPr>
            <w:tcW w:type="dxa" w:w="1160"/>
            <w:tcBorders>
              <w:top w:val="single" w:color="CCCCCC" w:sz="1"/>
              <w:left w:val="single" w:color="CCCCCC" w:sz="1"/>
              <w:bottom w:val="single" w:color="CCCCCC" w:sz="1"/>
              <w:right w:val="single" w:color="CCCCCC" w:sz="1"/>
            </w:tcBorders>
            <w:shd w:fill="FEF9E7" w:val="clear"/>
            <w:tcMar>
              <w:top w:type="dxa" w:w="60"/>
              <w:left w:type="dxa" w:w="100"/>
              <w:bottom w:type="dxa" w:w="60"/>
              <w:right w:type="dxa" w:w="100"/>
            </w:tcMar>
          </w:tcPr>
          <w:p>
            <w:r>
              <w:rPr>
                <w:rFonts w:ascii="Arial" w:cs="Arial" w:eastAsia="Arial" w:hAnsi="Arial"/>
                <w:sz w:val="18"/>
                <w:szCs w:val="18"/>
              </w:rPr>
              <w:t xml:space="preserve">Tier 2</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South Africa</w:t>
            </w:r>
          </w:p>
        </w:tc>
        <w:tc>
          <w:tcPr>
            <w:tcW w:type="dxa" w:w="1200"/>
            <w:tcBorders>
              <w:top w:val="single" w:color="CCCCCC" w:sz="1"/>
              <w:left w:val="single" w:color="CCCCCC" w:sz="1"/>
              <w:bottom w:val="single" w:color="CCCCCC" w:sz="1"/>
              <w:right w:val="single" w:color="CCCCCC" w:sz="1"/>
            </w:tcBorders>
            <w:shd w:fill="FDEDEC" w:val="clear"/>
            <w:tcMar>
              <w:top w:type="dxa" w:w="60"/>
              <w:left w:type="dxa" w:w="100"/>
              <w:bottom w:type="dxa" w:w="60"/>
              <w:right w:type="dxa" w:w="100"/>
            </w:tcMar>
          </w:tcPr>
          <w:p>
            <w:r>
              <w:rPr>
                <w:rFonts w:ascii="Arial" w:cs="Arial" w:eastAsia="Arial" w:hAnsi="Arial"/>
                <w:sz w:val="18"/>
                <w:szCs w:val="18"/>
              </w:rPr>
              <w:t xml:space="preserve">Limited</w:t>
            </w:r>
          </w:p>
        </w:tc>
        <w:tc>
          <w:tcPr>
            <w:tcW w:type="dxa" w:w="1200"/>
            <w:tcBorders>
              <w:top w:val="single" w:color="CCCCCC" w:sz="1"/>
              <w:left w:val="single" w:color="CCCCCC" w:sz="1"/>
              <w:bottom w:val="single" w:color="CCCCCC" w:sz="1"/>
              <w:right w:val="single" w:color="CCCCCC" w:sz="1"/>
            </w:tcBorders>
            <w:shd w:fill="FEF9E7" w:val="clear"/>
            <w:tcMar>
              <w:top w:type="dxa" w:w="60"/>
              <w:left w:type="dxa" w:w="100"/>
              <w:bottom w:type="dxa" w:w="60"/>
              <w:right w:type="dxa" w:w="100"/>
            </w:tcMar>
          </w:tcPr>
          <w:p>
            <w:r>
              <w:rPr>
                <w:rFonts w:ascii="Arial" w:cs="Arial" w:eastAsia="Arial" w:hAnsi="Arial"/>
                <w:sz w:val="18"/>
                <w:szCs w:val="18"/>
              </w:rPr>
              <w:t xml:space="preserve">Moderate</w:t>
            </w:r>
          </w:p>
        </w:tc>
        <w:tc>
          <w:tcPr>
            <w:tcW w:type="dxa" w:w="1200"/>
            <w:tcBorders>
              <w:top w:val="single" w:color="CCCCCC" w:sz="1"/>
              <w:left w:val="single" w:color="CCCCCC" w:sz="1"/>
              <w:bottom w:val="single" w:color="CCCCCC" w:sz="1"/>
              <w:right w:val="single" w:color="CCCCCC" w:sz="1"/>
            </w:tcBorders>
            <w:shd w:fill="FEF9E7" w:val="clear"/>
            <w:tcMar>
              <w:top w:type="dxa" w:w="60"/>
              <w:left w:type="dxa" w:w="100"/>
              <w:bottom w:type="dxa" w:w="60"/>
              <w:right w:type="dxa" w:w="100"/>
            </w:tcMar>
          </w:tcPr>
          <w:p>
            <w:r>
              <w:rPr>
                <w:rFonts w:ascii="Arial" w:cs="Arial" w:eastAsia="Arial" w:hAnsi="Arial"/>
                <w:sz w:val="18"/>
                <w:szCs w:val="18"/>
              </w:rPr>
              <w:t xml:space="preserve">POPIA</w:t>
            </w:r>
          </w:p>
        </w:tc>
        <w:tc>
          <w:tcPr>
            <w:tcW w:type="dxa" w:w="1200"/>
            <w:tcBorders>
              <w:top w:val="single" w:color="CCCCCC" w:sz="1"/>
              <w:left w:val="single" w:color="CCCCCC" w:sz="1"/>
              <w:bottom w:val="single" w:color="CCCCCC" w:sz="1"/>
              <w:right w:val="single" w:color="CCCCCC" w:sz="1"/>
            </w:tcBorders>
            <w:shd w:fill="FEF9E7" w:val="clear"/>
            <w:tcMar>
              <w:top w:type="dxa" w:w="60"/>
              <w:left w:type="dxa" w:w="100"/>
              <w:bottom w:type="dxa" w:w="60"/>
              <w:right w:type="dxa" w:w="100"/>
            </w:tcMar>
          </w:tcPr>
          <w:p>
            <w:r>
              <w:rPr>
                <w:rFonts w:ascii="Arial" w:cs="Arial" w:eastAsia="Arial" w:hAnsi="Arial"/>
                <w:sz w:val="18"/>
                <w:szCs w:val="18"/>
              </w:rPr>
              <w:t xml:space="preserve">Mixed</w:t>
            </w:r>
          </w:p>
        </w:tc>
        <w:tc>
          <w:tcPr>
            <w:tcW w:type="dxa" w:w="1200"/>
            <w:tcBorders>
              <w:top w:val="single" w:color="CCCCCC" w:sz="1"/>
              <w:left w:val="single" w:color="CCCCCC" w:sz="1"/>
              <w:bottom w:val="single" w:color="CCCCCC" w:sz="1"/>
              <w:right w:val="single" w:color="CCCCCC" w:sz="1"/>
            </w:tcBorders>
            <w:shd w:fill="E8F8F5" w:val="clear"/>
            <w:tcMar>
              <w:top w:type="dxa" w:w="60"/>
              <w:left w:type="dxa" w:w="100"/>
              <w:bottom w:type="dxa" w:w="60"/>
              <w:right w:type="dxa" w:w="100"/>
            </w:tcMar>
          </w:tcPr>
          <w:p>
            <w:r>
              <w:rPr>
                <w:rFonts w:ascii="Arial" w:cs="Arial" w:eastAsia="Arial" w:hAnsi="Arial"/>
                <w:sz w:val="18"/>
                <w:szCs w:val="18"/>
              </w:rPr>
              <w:t xml:space="preserve">English</w:t>
            </w:r>
          </w:p>
        </w:tc>
        <w:tc>
          <w:tcPr>
            <w:tcW w:type="dxa" w:w="1160"/>
            <w:tcBorders>
              <w:top w:val="single" w:color="CCCCCC" w:sz="1"/>
              <w:left w:val="single" w:color="CCCCCC" w:sz="1"/>
              <w:bottom w:val="single" w:color="CCCCCC" w:sz="1"/>
              <w:right w:val="single" w:color="CCCCCC" w:sz="1"/>
            </w:tcBorders>
            <w:shd w:fill="FEF9E7" w:val="clear"/>
            <w:tcMar>
              <w:top w:type="dxa" w:w="60"/>
              <w:left w:type="dxa" w:w="100"/>
              <w:bottom w:type="dxa" w:w="60"/>
              <w:right w:type="dxa" w:w="100"/>
            </w:tcMar>
          </w:tcPr>
          <w:p>
            <w:r>
              <w:rPr>
                <w:rFonts w:ascii="Arial" w:cs="Arial" w:eastAsia="Arial" w:hAnsi="Arial"/>
                <w:sz w:val="18"/>
                <w:szCs w:val="18"/>
              </w:rPr>
              <w:t xml:space="preserve">Tier 2</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Nigeria/Ghana</w:t>
            </w:r>
          </w:p>
        </w:tc>
        <w:tc>
          <w:tcPr>
            <w:tcW w:type="dxa" w:w="1200"/>
            <w:tcBorders>
              <w:top w:val="single" w:color="CCCCCC" w:sz="1"/>
              <w:left w:val="single" w:color="CCCCCC" w:sz="1"/>
              <w:bottom w:val="single" w:color="CCCCCC" w:sz="1"/>
              <w:right w:val="single" w:color="CCCCCC" w:sz="1"/>
            </w:tcBorders>
            <w:shd w:fill="FDF2E9" w:val="clear"/>
            <w:tcMar>
              <w:top w:type="dxa" w:w="60"/>
              <w:left w:type="dxa" w:w="100"/>
              <w:bottom w:type="dxa" w:w="60"/>
              <w:right w:type="dxa" w:w="100"/>
            </w:tcMar>
          </w:tcPr>
          <w:p>
            <w:r>
              <w:rPr>
                <w:rFonts w:ascii="Arial" w:cs="Arial" w:eastAsia="Arial" w:hAnsi="Arial"/>
                <w:sz w:val="18"/>
                <w:szCs w:val="18"/>
              </w:rPr>
              <w:t xml:space="preserve">Emerging</w:t>
            </w:r>
          </w:p>
        </w:tc>
        <w:tc>
          <w:tcPr>
            <w:tcW w:type="dxa" w:w="1200"/>
            <w:tcBorders>
              <w:top w:val="single" w:color="CCCCCC" w:sz="1"/>
              <w:left w:val="single" w:color="CCCCCC" w:sz="1"/>
              <w:bottom w:val="single" w:color="CCCCCC" w:sz="1"/>
              <w:right w:val="single" w:color="CCCCCC" w:sz="1"/>
            </w:tcBorders>
            <w:shd w:fill="FEF9E7" w:val="clear"/>
            <w:tcMar>
              <w:top w:type="dxa" w:w="60"/>
              <w:left w:type="dxa" w:w="100"/>
              <w:bottom w:type="dxa" w:w="60"/>
              <w:right w:type="dxa" w:w="100"/>
            </w:tcMar>
          </w:tcPr>
          <w:p>
            <w:r>
              <w:rPr>
                <w:rFonts w:ascii="Arial" w:cs="Arial" w:eastAsia="Arial" w:hAnsi="Arial"/>
                <w:sz w:val="18"/>
                <w:szCs w:val="18"/>
              </w:rPr>
              <w:t xml:space="preserve">Low-Med</w:t>
            </w:r>
          </w:p>
        </w:tc>
        <w:tc>
          <w:tcPr>
            <w:tcW w:type="dxa" w:w="1200"/>
            <w:tcBorders>
              <w:top w:val="single" w:color="CCCCCC" w:sz="1"/>
              <w:left w:val="single" w:color="CCCCCC" w:sz="1"/>
              <w:bottom w:val="single" w:color="CCCCCC" w:sz="1"/>
              <w:right w:val="single" w:color="CCCCCC" w:sz="1"/>
            </w:tcBorders>
            <w:shd w:fill="FEF9E7" w:val="clear"/>
            <w:tcMar>
              <w:top w:type="dxa" w:w="60"/>
              <w:left w:type="dxa" w:w="100"/>
              <w:bottom w:type="dxa" w:w="60"/>
              <w:right w:type="dxa" w:w="100"/>
            </w:tcMar>
          </w:tcPr>
          <w:p>
            <w:r>
              <w:rPr>
                <w:rFonts w:ascii="Arial" w:cs="Arial" w:eastAsia="Arial" w:hAnsi="Arial"/>
                <w:sz w:val="18"/>
                <w:szCs w:val="18"/>
              </w:rPr>
              <w:t xml:space="preserve">NDPR/DPA</w:t>
            </w:r>
          </w:p>
        </w:tc>
        <w:tc>
          <w:tcPr>
            <w:tcW w:type="dxa" w:w="1200"/>
            <w:tcBorders>
              <w:top w:val="single" w:color="CCCCCC" w:sz="1"/>
              <w:left w:val="single" w:color="CCCCCC" w:sz="1"/>
              <w:bottom w:val="single" w:color="CCCCCC" w:sz="1"/>
              <w:right w:val="single" w:color="CCCCCC" w:sz="1"/>
            </w:tcBorders>
            <w:shd w:fill="E8F8F5" w:val="clear"/>
            <w:tcMar>
              <w:top w:type="dxa" w:w="60"/>
              <w:left w:type="dxa" w:w="100"/>
              <w:bottom w:type="dxa" w:w="60"/>
              <w:right w:type="dxa" w:w="100"/>
            </w:tcMar>
          </w:tcPr>
          <w:p>
            <w:r>
              <w:rPr>
                <w:rFonts w:ascii="Arial" w:cs="Arial" w:eastAsia="Arial" w:hAnsi="Arial"/>
                <w:sz w:val="18"/>
                <w:szCs w:val="18"/>
              </w:rPr>
              <w:t xml:space="preserve">Low cost</w:t>
            </w:r>
          </w:p>
        </w:tc>
        <w:tc>
          <w:tcPr>
            <w:tcW w:type="dxa" w:w="1200"/>
            <w:tcBorders>
              <w:top w:val="single" w:color="CCCCCC" w:sz="1"/>
              <w:left w:val="single" w:color="CCCCCC" w:sz="1"/>
              <w:bottom w:val="single" w:color="CCCCCC" w:sz="1"/>
              <w:right w:val="single" w:color="CCCCCC" w:sz="1"/>
            </w:tcBorders>
            <w:shd w:fill="E8F8F5" w:val="clear"/>
            <w:tcMar>
              <w:top w:type="dxa" w:w="60"/>
              <w:left w:type="dxa" w:w="100"/>
              <w:bottom w:type="dxa" w:w="60"/>
              <w:right w:type="dxa" w:w="100"/>
            </w:tcMar>
          </w:tcPr>
          <w:p>
            <w:r>
              <w:rPr>
                <w:rFonts w:ascii="Arial" w:cs="Arial" w:eastAsia="Arial" w:hAnsi="Arial"/>
                <w:sz w:val="18"/>
                <w:szCs w:val="18"/>
              </w:rPr>
              <w:t xml:space="preserve">English</w:t>
            </w:r>
          </w:p>
        </w:tc>
        <w:tc>
          <w:tcPr>
            <w:tcW w:type="dxa" w:w="1160"/>
            <w:tcBorders>
              <w:top w:val="single" w:color="CCCCCC" w:sz="1"/>
              <w:left w:val="single" w:color="CCCCCC" w:sz="1"/>
              <w:bottom w:val="single" w:color="CCCCCC" w:sz="1"/>
              <w:right w:val="single" w:color="CCCCCC" w:sz="1"/>
            </w:tcBorders>
            <w:shd w:fill="FDF2E9" w:val="clear"/>
            <w:tcMar>
              <w:top w:type="dxa" w:w="60"/>
              <w:left w:type="dxa" w:w="100"/>
              <w:bottom w:type="dxa" w:w="60"/>
              <w:right w:type="dxa" w:w="100"/>
            </w:tcMar>
          </w:tcPr>
          <w:p>
            <w:r>
              <w:rPr>
                <w:rFonts w:ascii="Arial" w:cs="Arial" w:eastAsia="Arial" w:hAnsi="Arial"/>
                <w:sz w:val="18"/>
                <w:szCs w:val="18"/>
              </w:rPr>
              <w:t xml:space="preserve">Tier 3</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UAE</w:t>
            </w:r>
          </w:p>
        </w:tc>
        <w:tc>
          <w:tcPr>
            <w:tcW w:type="dxa" w:w="1200"/>
            <w:tcBorders>
              <w:top w:val="single" w:color="CCCCCC" w:sz="1"/>
              <w:left w:val="single" w:color="CCCCCC" w:sz="1"/>
              <w:bottom w:val="single" w:color="CCCCCC" w:sz="1"/>
              <w:right w:val="single" w:color="CCCCCC" w:sz="1"/>
            </w:tcBorders>
            <w:shd w:fill="FDF2E9" w:val="clear"/>
            <w:tcMar>
              <w:top w:type="dxa" w:w="60"/>
              <w:left w:type="dxa" w:w="100"/>
              <w:bottom w:type="dxa" w:w="60"/>
              <w:right w:type="dxa" w:w="100"/>
            </w:tcMar>
          </w:tcPr>
          <w:p>
            <w:r>
              <w:rPr>
                <w:rFonts w:ascii="Arial" w:cs="Arial" w:eastAsia="Arial" w:hAnsi="Arial"/>
                <w:sz w:val="18"/>
                <w:szCs w:val="18"/>
              </w:rPr>
              <w:t xml:space="preserve">Emerging</w:t>
            </w:r>
          </w:p>
        </w:tc>
        <w:tc>
          <w:tcPr>
            <w:tcW w:type="dxa" w:w="1200"/>
            <w:tcBorders>
              <w:top w:val="single" w:color="CCCCCC" w:sz="1"/>
              <w:left w:val="single" w:color="CCCCCC" w:sz="1"/>
              <w:bottom w:val="single" w:color="CCCCCC" w:sz="1"/>
              <w:right w:val="single" w:color="CCCCCC" w:sz="1"/>
            </w:tcBorders>
            <w:shd w:fill="FEF9E7" w:val="clear"/>
            <w:tcMar>
              <w:top w:type="dxa" w:w="60"/>
              <w:left w:type="dxa" w:w="100"/>
              <w:bottom w:type="dxa" w:w="60"/>
              <w:right w:type="dxa" w:w="100"/>
            </w:tcMar>
          </w:tcPr>
          <w:p>
            <w:r>
              <w:rPr>
                <w:rFonts w:ascii="Arial" w:cs="Arial" w:eastAsia="Arial" w:hAnsi="Arial"/>
                <w:sz w:val="18"/>
                <w:szCs w:val="18"/>
              </w:rPr>
              <w:t xml:space="preserve">Small</w:t>
            </w:r>
          </w:p>
        </w:tc>
        <w:tc>
          <w:tcPr>
            <w:tcW w:type="dxa" w:w="1200"/>
            <w:tcBorders>
              <w:top w:val="single" w:color="CCCCCC" w:sz="1"/>
              <w:left w:val="single" w:color="CCCCCC" w:sz="1"/>
              <w:bottom w:val="single" w:color="CCCCCC" w:sz="1"/>
              <w:right w:val="single" w:color="CCCCCC" w:sz="1"/>
            </w:tcBorders>
            <w:shd w:fill="FEF9E7" w:val="clear"/>
            <w:tcMar>
              <w:top w:type="dxa" w:w="60"/>
              <w:left w:type="dxa" w:w="100"/>
              <w:bottom w:type="dxa" w:w="60"/>
              <w:right w:type="dxa" w:w="100"/>
            </w:tcMar>
          </w:tcPr>
          <w:p>
            <w:r>
              <w:rPr>
                <w:rFonts w:ascii="Arial" w:cs="Arial" w:eastAsia="Arial" w:hAnsi="Arial"/>
                <w:sz w:val="18"/>
                <w:szCs w:val="18"/>
              </w:rPr>
              <w:t xml:space="preserve">PDPL/DIFC</w:t>
            </w:r>
          </w:p>
        </w:tc>
        <w:tc>
          <w:tcPr>
            <w:tcW w:type="dxa" w:w="1200"/>
            <w:tcBorders>
              <w:top w:val="single" w:color="CCCCCC" w:sz="1"/>
              <w:left w:val="single" w:color="CCCCCC" w:sz="1"/>
              <w:bottom w:val="single" w:color="CCCCCC" w:sz="1"/>
              <w:right w:val="single" w:color="CCCCCC" w:sz="1"/>
            </w:tcBorders>
            <w:shd w:fill="E8F8F5" w:val="clear"/>
            <w:tcMar>
              <w:top w:type="dxa" w:w="60"/>
              <w:left w:type="dxa" w:w="100"/>
              <w:bottom w:type="dxa" w:w="60"/>
              <w:right w:type="dxa" w:w="100"/>
            </w:tcMar>
          </w:tcPr>
          <w:p>
            <w:r>
              <w:rPr>
                <w:rFonts w:ascii="Arial" w:cs="Arial" w:eastAsia="Arial" w:hAnsi="Arial"/>
                <w:sz w:val="18"/>
                <w:szCs w:val="18"/>
              </w:rPr>
              <w:t xml:space="preserve">Free</w:t>
            </w:r>
          </w:p>
        </w:tc>
        <w:tc>
          <w:tcPr>
            <w:tcW w:type="dxa" w:w="1200"/>
            <w:tcBorders>
              <w:top w:val="single" w:color="CCCCCC" w:sz="1"/>
              <w:left w:val="single" w:color="CCCCCC" w:sz="1"/>
              <w:bottom w:val="single" w:color="CCCCCC" w:sz="1"/>
              <w:right w:val="single" w:color="CCCCCC" w:sz="1"/>
            </w:tcBorders>
            <w:shd w:fill="E8F8F5" w:val="clear"/>
            <w:tcMar>
              <w:top w:type="dxa" w:w="60"/>
              <w:left w:type="dxa" w:w="100"/>
              <w:bottom w:type="dxa" w:w="60"/>
              <w:right w:type="dxa" w:w="100"/>
            </w:tcMar>
          </w:tcPr>
          <w:p>
            <w:r>
              <w:rPr>
                <w:rFonts w:ascii="Arial" w:cs="Arial" w:eastAsia="Arial" w:hAnsi="Arial"/>
                <w:sz w:val="18"/>
                <w:szCs w:val="18"/>
              </w:rPr>
              <w:t xml:space="preserve">EN/AR</w:t>
            </w:r>
          </w:p>
        </w:tc>
        <w:tc>
          <w:tcPr>
            <w:tcW w:type="dxa" w:w="1160"/>
            <w:tcBorders>
              <w:top w:val="single" w:color="CCCCCC" w:sz="1"/>
              <w:left w:val="single" w:color="CCCCCC" w:sz="1"/>
              <w:bottom w:val="single" w:color="CCCCCC" w:sz="1"/>
              <w:right w:val="single" w:color="CCCCCC" w:sz="1"/>
            </w:tcBorders>
            <w:shd w:fill="FEF9E7" w:val="clear"/>
            <w:tcMar>
              <w:top w:type="dxa" w:w="60"/>
              <w:left w:type="dxa" w:w="100"/>
              <w:bottom w:type="dxa" w:w="60"/>
              <w:right w:type="dxa" w:w="100"/>
            </w:tcMar>
          </w:tcPr>
          <w:p>
            <w:r>
              <w:rPr>
                <w:rFonts w:ascii="Arial" w:cs="Arial" w:eastAsia="Arial" w:hAnsi="Arial"/>
                <w:sz w:val="18"/>
                <w:szCs w:val="18"/>
              </w:rPr>
              <w:t xml:space="preserve">Tier 2</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Saudi Arabia</w:t>
            </w:r>
          </w:p>
        </w:tc>
        <w:tc>
          <w:tcPr>
            <w:tcW w:type="dxa" w:w="1200"/>
            <w:tcBorders>
              <w:top w:val="single" w:color="CCCCCC" w:sz="1"/>
              <w:left w:val="single" w:color="CCCCCC" w:sz="1"/>
              <w:bottom w:val="single" w:color="CCCCCC" w:sz="1"/>
              <w:right w:val="single" w:color="CCCCCC" w:sz="1"/>
            </w:tcBorders>
            <w:shd w:fill="FDEDEC" w:val="clear"/>
            <w:tcMar>
              <w:top w:type="dxa" w:w="60"/>
              <w:left w:type="dxa" w:w="100"/>
              <w:bottom w:type="dxa" w:w="60"/>
              <w:right w:type="dxa" w:w="100"/>
            </w:tcMar>
          </w:tcPr>
          <w:p>
            <w:r>
              <w:rPr>
                <w:rFonts w:ascii="Arial" w:cs="Arial" w:eastAsia="Arial" w:hAnsi="Arial"/>
                <w:sz w:val="18"/>
                <w:szCs w:val="18"/>
              </w:rPr>
              <w:t xml:space="preserve">Basic</w:t>
            </w:r>
          </w:p>
        </w:tc>
        <w:tc>
          <w:tcPr>
            <w:tcW w:type="dxa" w:w="1200"/>
            <w:tcBorders>
              <w:top w:val="single" w:color="CCCCCC" w:sz="1"/>
              <w:left w:val="single" w:color="CCCCCC" w:sz="1"/>
              <w:bottom w:val="single" w:color="CCCCCC" w:sz="1"/>
              <w:right w:val="single" w:color="CCCCCC" w:sz="1"/>
            </w:tcBorders>
            <w:shd w:fill="FDEDEC" w:val="clear"/>
            <w:tcMar>
              <w:top w:type="dxa" w:w="60"/>
              <w:left w:type="dxa" w:w="100"/>
              <w:bottom w:type="dxa" w:w="60"/>
              <w:right w:type="dxa" w:w="100"/>
            </w:tcMar>
          </w:tcPr>
          <w:p>
            <w:r>
              <w:rPr>
                <w:rFonts w:ascii="Arial" w:cs="Arial" w:eastAsia="Arial" w:hAnsi="Arial"/>
                <w:sz w:val="18"/>
                <w:szCs w:val="18"/>
              </w:rPr>
              <w:t xml:space="preserve">Small</w:t>
            </w:r>
          </w:p>
        </w:tc>
        <w:tc>
          <w:tcPr>
            <w:tcW w:type="dxa" w:w="1200"/>
            <w:tcBorders>
              <w:top w:val="single" w:color="CCCCCC" w:sz="1"/>
              <w:left w:val="single" w:color="CCCCCC" w:sz="1"/>
              <w:bottom w:val="single" w:color="CCCCCC" w:sz="1"/>
              <w:right w:val="single" w:color="CCCCCC" w:sz="1"/>
            </w:tcBorders>
            <w:shd w:fill="FEF9E7" w:val="clear"/>
            <w:tcMar>
              <w:top w:type="dxa" w:w="60"/>
              <w:left w:type="dxa" w:w="100"/>
              <w:bottom w:type="dxa" w:w="60"/>
              <w:right w:type="dxa" w:w="100"/>
            </w:tcMar>
          </w:tcPr>
          <w:p>
            <w:r>
              <w:rPr>
                <w:rFonts w:ascii="Arial" w:cs="Arial" w:eastAsia="Arial" w:hAnsi="Arial"/>
                <w:sz w:val="18"/>
                <w:szCs w:val="18"/>
              </w:rPr>
              <w:t xml:space="preserve">PDPL</w:t>
            </w:r>
          </w:p>
        </w:tc>
        <w:tc>
          <w:tcPr>
            <w:tcW w:type="dxa" w:w="1200"/>
            <w:tcBorders>
              <w:top w:val="single" w:color="CCCCCC" w:sz="1"/>
              <w:left w:val="single" w:color="CCCCCC" w:sz="1"/>
              <w:bottom w:val="single" w:color="CCCCCC" w:sz="1"/>
              <w:right w:val="single" w:color="CCCCCC" w:sz="1"/>
            </w:tcBorders>
            <w:shd w:fill="FEF9E7" w:val="clear"/>
            <w:tcMar>
              <w:top w:type="dxa" w:w="60"/>
              <w:left w:type="dxa" w:w="100"/>
              <w:bottom w:type="dxa" w:w="60"/>
              <w:right w:type="dxa" w:w="100"/>
            </w:tcMar>
          </w:tcPr>
          <w:p>
            <w:r>
              <w:rPr>
                <w:rFonts w:ascii="Arial" w:cs="Arial" w:eastAsia="Arial" w:hAnsi="Arial"/>
                <w:sz w:val="18"/>
                <w:szCs w:val="18"/>
              </w:rPr>
              <w:t xml:space="preserve">Mixed</w:t>
            </w:r>
          </w:p>
        </w:tc>
        <w:tc>
          <w:tcPr>
            <w:tcW w:type="dxa" w:w="1200"/>
            <w:tcBorders>
              <w:top w:val="single" w:color="CCCCCC" w:sz="1"/>
              <w:left w:val="single" w:color="CCCCCC" w:sz="1"/>
              <w:bottom w:val="single" w:color="CCCCCC" w:sz="1"/>
              <w:right w:val="single" w:color="CCCCCC" w:sz="1"/>
            </w:tcBorders>
            <w:shd w:fill="FEF9E7" w:val="clear"/>
            <w:tcMar>
              <w:top w:type="dxa" w:w="60"/>
              <w:left w:type="dxa" w:w="100"/>
              <w:bottom w:type="dxa" w:w="60"/>
              <w:right w:type="dxa" w:w="100"/>
            </w:tcMar>
          </w:tcPr>
          <w:p>
            <w:r>
              <w:rPr>
                <w:rFonts w:ascii="Arial" w:cs="Arial" w:eastAsia="Arial" w:hAnsi="Arial"/>
                <w:sz w:val="18"/>
                <w:szCs w:val="18"/>
              </w:rPr>
              <w:t xml:space="preserve">Arabic/EN</w:t>
            </w:r>
          </w:p>
        </w:tc>
        <w:tc>
          <w:tcPr>
            <w:tcW w:type="dxa" w:w="1160"/>
            <w:tcBorders>
              <w:top w:val="single" w:color="CCCCCC" w:sz="1"/>
              <w:left w:val="single" w:color="CCCCCC" w:sz="1"/>
              <w:bottom w:val="single" w:color="CCCCCC" w:sz="1"/>
              <w:right w:val="single" w:color="CCCCCC" w:sz="1"/>
            </w:tcBorders>
            <w:shd w:fill="FDEDEC" w:val="clear"/>
            <w:tcMar>
              <w:top w:type="dxa" w:w="60"/>
              <w:left w:type="dxa" w:w="100"/>
              <w:bottom w:type="dxa" w:w="60"/>
              <w:right w:type="dxa" w:w="100"/>
            </w:tcMar>
          </w:tcPr>
          <w:p>
            <w:r>
              <w:rPr>
                <w:rFonts w:ascii="Arial" w:cs="Arial" w:eastAsia="Arial" w:hAnsi="Arial"/>
                <w:sz w:val="18"/>
                <w:szCs w:val="18"/>
              </w:rPr>
              <w:t xml:space="preserve">Tier 3</w:t>
            </w:r>
          </w:p>
        </w:tc>
      </w:tr>
    </w:tbl>
    <w:p>
      <w:pPr>
        <w:spacing w:after="200"/>
      </w:pPr>
    </w:p>
    <w:p>
      <w:pPr>
        <w:spacing w:after="120"/>
      </w:pPr>
      <w:r>
        <w:rPr>
          <w:rFonts w:ascii="Arial" w:cs="Arial" w:eastAsia="Arial" w:hAnsi="Arial"/>
          <w:i/>
          <w:iCs/>
          <w:color w:val="666666"/>
          <w:sz w:val="18"/>
          <w:szCs w:val="18"/>
        </w:rPr>
        <w:t xml:space="preserve">Legend: Green = High readiness/favorable, Yellow = Moderate/caution needed, Orange = Developing, Red = Significant barriers.</w:t>
      </w:r>
    </w:p>
    <w:p>
      <w:pPr>
        <w:pStyle w:val="Heading2"/>
      </w:pPr>
      <w:r>
        <w:t xml:space="preserve">Priority Ranking</w:t>
      </w:r>
    </w:p>
    <w:p>
      <w:pPr>
        <w:spacing w:after="80"/>
      </w:pPr>
      <w:r>
        <w:rPr>
          <w:rFonts w:ascii="Arial" w:cs="Arial" w:eastAsia="Arial" w:hAnsi="Arial"/>
          <w:b/>
          <w:bCs/>
          <w:sz w:val="22"/>
          <w:szCs w:val="22"/>
        </w:rPr>
        <w:t xml:space="preserve">Tier 1 (Immediate - Q2 2026): </w:t>
      </w:r>
      <w:r>
        <w:rPr>
          <w:rFonts w:ascii="Arial" w:cs="Arial" w:eastAsia="Arial" w:hAnsi="Arial"/>
          <w:sz w:val="22"/>
          <w:szCs w:val="22"/>
        </w:rPr>
        <w:t xml:space="preserve">UK (Companies House), EU (EUIPO/EPO/EUR-Lex), Australia (ASIC/ABR), Singapore (ACRA/IPOS), India (MCA/Indian Kanoon), Japan (EDINET), South Korea (DART/KIPRIS)</w:t>
      </w:r>
    </w:p>
    <w:p>
      <w:pPr>
        <w:spacing w:after="80"/>
      </w:pPr>
      <w:r>
        <w:rPr>
          <w:rFonts w:ascii="Arial" w:cs="Arial" w:eastAsia="Arial" w:hAnsi="Arial"/>
          <w:b/>
          <w:bCs/>
          <w:sz w:val="22"/>
          <w:szCs w:val="22"/>
        </w:rPr>
        <w:t xml:space="preserve">Tier 2 (Q3-Q4 2026): </w:t>
      </w:r>
      <w:r>
        <w:rPr>
          <w:rFonts w:ascii="Arial" w:cs="Arial" w:eastAsia="Arial" w:hAnsi="Arial"/>
          <w:sz w:val="22"/>
          <w:szCs w:val="22"/>
        </w:rPr>
        <w:t xml:space="preserve">Canada (SEDAR+/CanLII/OSFI), Brazil (CVM/DOU), Chile (CMF), Kenya (Kenya Law/Gazette), South Africa (SAFLII/CIPC), Hong Kong (HKEX/ICRIS), UAE (DIFC/ADGM)</w:t>
      </w:r>
    </w:p>
    <w:p>
      <w:pPr>
        <w:spacing w:after="80"/>
      </w:pPr>
      <w:r>
        <w:rPr>
          <w:rFonts w:ascii="Arial" w:cs="Arial" w:eastAsia="Arial" w:hAnsi="Arial"/>
          <w:b/>
          <w:bCs/>
          <w:sz w:val="22"/>
          <w:szCs w:val="22"/>
        </w:rPr>
        <w:t xml:space="preserve">Tier 3 (2027+): </w:t>
      </w:r>
      <w:r>
        <w:rPr>
          <w:rFonts w:ascii="Arial" w:cs="Arial" w:eastAsia="Arial" w:hAnsi="Arial"/>
          <w:sz w:val="22"/>
          <w:szCs w:val="22"/>
        </w:rPr>
        <w:t xml:space="preserve">China (CNINFO/CNIPA), Mexico, Colombia, Argentina, Peru, Philippines, Indonesia, Nigeria, Ghana, Saudi Arabia</w:t>
      </w:r>
    </w:p>
    <w:p>
      <w:r>
        <w:br w:type="page"/>
      </w:r>
    </w:p>
    <w:p>
      <w:pPr>
        <w:pStyle w:val="Heading1"/>
      </w:pPr>
      <w:r>
        <w:t xml:space="preserve">Chapter 1: Australia</w:t>
      </w:r>
    </w:p>
    <w:p>
      <w:pPr>
        <w:spacing w:after="120"/>
      </w:pPr>
      <w:r>
        <w:rPr>
          <w:rFonts w:ascii="Arial" w:cs="Arial" w:eastAsia="Arial" w:hAnsi="Arial"/>
          <w:sz w:val="22"/>
          <w:szCs w:val="22"/>
        </w:rPr>
        <w:t xml:space="preserve">Australia offers one of the most accessible data environments globally for corporate verification, with well-documented APIs, centralized federal registries, and strong English-language support. The Privacy Act 1988 with its 13 Australian Privacy Principles governs data handling.</w:t>
      </w:r>
    </w:p>
    <w:p>
      <w:pPr>
        <w:pStyle w:val="Heading3"/>
      </w:pPr>
      <w:r>
        <w:t xml:space="preserve">ASIC (Australian Securities and Investments Commission)</w:t>
      </w:r>
    </w:p>
    <w:p>
      <w:pPr>
        <w:spacing w:after="80"/>
      </w:pPr>
      <w:r>
        <w:rPr>
          <w:rFonts w:ascii="Arial" w:cs="Arial" w:eastAsia="Arial" w:hAnsi="Arial"/>
          <w:b/>
          <w:bCs/>
          <w:sz w:val="22"/>
          <w:szCs w:val="22"/>
        </w:rPr>
        <w:t xml:space="preserve">URL: </w:t>
      </w:r>
      <w:r>
        <w:rPr>
          <w:rFonts w:ascii="Arial" w:cs="Arial" w:eastAsia="Arial" w:hAnsi="Arial"/>
          <w:sz w:val="22"/>
          <w:szCs w:val="22"/>
        </w:rPr>
        <w:t xml:space="preserve">https://asic.gov.au | API: https://asic.gov.au/online-services/application-programming-interfaces-apis-for-digital-service-providers-dsps/</w:t>
      </w:r>
    </w:p>
    <w:p>
      <w:pPr>
        <w:spacing w:after="80"/>
      </w:pPr>
      <w:r>
        <w:rPr>
          <w:rFonts w:ascii="Arial" w:cs="Arial" w:eastAsia="Arial" w:hAnsi="Arial"/>
          <w:b/>
          <w:bCs/>
          <w:sz w:val="22"/>
          <w:szCs w:val="22"/>
        </w:rPr>
        <w:t xml:space="preserve">Volume: </w:t>
      </w:r>
      <w:r>
        <w:rPr>
          <w:rFonts w:ascii="Arial" w:cs="Arial" w:eastAsia="Arial" w:hAnsi="Arial"/>
          <w:sz w:val="22"/>
          <w:szCs w:val="22"/>
        </w:rPr>
        <w:t xml:space="preserve">3.4 million registered companies; 3.1 million updates processed annually</w:t>
      </w:r>
    </w:p>
    <w:p>
      <w:pPr>
        <w:spacing w:after="80"/>
      </w:pPr>
      <w:r>
        <w:rPr>
          <w:rFonts w:ascii="Arial" w:cs="Arial" w:eastAsia="Arial" w:hAnsi="Arial"/>
          <w:b/>
          <w:bCs/>
          <w:sz w:val="22"/>
          <w:szCs w:val="22"/>
        </w:rPr>
        <w:t xml:space="preserve">Access Method: </w:t>
      </w:r>
      <w:r>
        <w:rPr>
          <w:rFonts w:ascii="Arial" w:cs="Arial" w:eastAsia="Arial" w:hAnsi="Arial"/>
          <w:sz w:val="22"/>
          <w:szCs w:val="22"/>
        </w:rPr>
        <w:t xml:space="preserve">REST API (OAuth 2.0, free registration as Digital Service Provider); Bulk download via data.gov.au; Real-time search via ASICConnect</w:t>
      </w:r>
    </w:p>
    <w:p>
      <w:pPr>
        <w:spacing w:after="80"/>
      </w:pPr>
      <w:r>
        <w:rPr>
          <w:rFonts w:ascii="Arial" w:cs="Arial" w:eastAsia="Arial" w:hAnsi="Arial"/>
          <w:b/>
          <w:bCs/>
          <w:sz w:val="22"/>
          <w:szCs w:val="22"/>
        </w:rPr>
        <w:t xml:space="preserve">Data Format: </w:t>
      </w:r>
      <w:r>
        <w:rPr>
          <w:rFonts w:ascii="Arial" w:cs="Arial" w:eastAsia="Arial" w:hAnsi="Arial"/>
          <w:sz w:val="22"/>
          <w:szCs w:val="22"/>
        </w:rPr>
        <w:t xml:space="preserve">JSON, RDF, XML (ISO19115-3)</w:t>
      </w:r>
    </w:p>
    <w:p>
      <w:pPr>
        <w:spacing w:after="80"/>
      </w:pPr>
      <w:r>
        <w:rPr>
          <w:rFonts w:ascii="Arial" w:cs="Arial" w:eastAsia="Arial" w:hAnsi="Arial"/>
          <w:b/>
          <w:bCs/>
          <w:sz w:val="22"/>
          <w:szCs w:val="22"/>
        </w:rPr>
        <w:t xml:space="preserve">Update Frequency: </w:t>
      </w:r>
      <w:r>
        <w:rPr>
          <w:rFonts w:ascii="Arial" w:cs="Arial" w:eastAsia="Arial" w:hAnsi="Arial"/>
          <w:sz w:val="22"/>
          <w:szCs w:val="22"/>
        </w:rPr>
        <w:t xml:space="preserve">Weekly (Company Dataset updated every Tuesday); Real-time via ASICConnect</w:t>
      </w:r>
    </w:p>
    <w:p>
      <w:pPr>
        <w:spacing w:after="80"/>
      </w:pPr>
      <w:r>
        <w:rPr>
          <w:rFonts w:ascii="Arial" w:cs="Arial" w:eastAsia="Arial" w:hAnsi="Arial"/>
          <w:b/>
          <w:bCs/>
          <w:sz w:val="22"/>
          <w:szCs w:val="22"/>
        </w:rPr>
        <w:t xml:space="preserve">Cost: </w:t>
      </w:r>
      <w:r>
        <w:rPr>
          <w:rFonts w:ascii="Arial" w:cs="Arial" w:eastAsia="Arial" w:hAnsi="Arial"/>
          <w:sz w:val="22"/>
          <w:szCs w:val="22"/>
        </w:rPr>
        <w:t xml:space="preserve">Free for API access (no connection fee); must register as DSP. Fees for specific extracts.</w:t>
      </w:r>
    </w:p>
    <w:p>
      <w:pPr>
        <w:spacing w:after="80"/>
      </w:pPr>
      <w:r>
        <w:rPr>
          <w:rFonts w:ascii="Arial" w:cs="Arial" w:eastAsia="Arial" w:hAnsi="Arial"/>
          <w:b/>
          <w:bCs/>
          <w:sz w:val="22"/>
          <w:szCs w:val="22"/>
        </w:rPr>
        <w:t xml:space="preserve">Language: </w:t>
      </w:r>
      <w:r>
        <w:rPr>
          <w:rFonts w:ascii="Arial" w:cs="Arial" w:eastAsia="Arial" w:hAnsi="Arial"/>
          <w:sz w:val="22"/>
          <w:szCs w:val="22"/>
        </w:rPr>
        <w:t xml:space="preserve">English</w:t>
      </w:r>
    </w:p>
    <w:p>
      <w:pPr>
        <w:spacing w:after="80"/>
      </w:pPr>
      <w:r>
        <w:rPr>
          <w:rFonts w:ascii="Arial" w:cs="Arial" w:eastAsia="Arial" w:hAnsi="Arial"/>
          <w:b/>
          <w:bCs/>
          <w:sz w:val="22"/>
          <w:szCs w:val="22"/>
        </w:rPr>
        <w:t xml:space="preserve">Legal Analysis: </w:t>
      </w:r>
      <w:r>
        <w:rPr>
          <w:rFonts w:ascii="Arial" w:cs="Arial" w:eastAsia="Arial" w:hAnsi="Arial"/>
          <w:sz w:val="22"/>
          <w:szCs w:val="22"/>
        </w:rPr>
        <w:t xml:space="preserve">Privacy Act 1988 (13 Australian Privacy Principles). Residential address restrictions implemented Feb 2026. Data use for verification permitted under consumer/identity verification allowances.</w:t>
      </w:r>
    </w:p>
    <w:p>
      <w:pPr>
        <w:spacing w:after="80"/>
      </w:pPr>
      <w:r>
        <w:rPr>
          <w:rFonts w:ascii="Arial" w:cs="Arial" w:eastAsia="Arial" w:hAnsi="Arial"/>
          <w:b/>
          <w:bCs/>
          <w:sz w:val="22"/>
          <w:szCs w:val="22"/>
        </w:rPr>
        <w:t xml:space="preserve">Technical Complexity: </w:t>
      </w:r>
      <w:r>
        <w:rPr>
          <w:rFonts w:ascii="Arial" w:cs="Arial" w:eastAsia="Arial" w:hAnsi="Arial"/>
          <w:sz w:val="22"/>
          <w:szCs w:val="22"/>
        </w:rPr>
        <w:t xml:space="preserve">Medium (OAuth 2.0 enforcement, API registration required)</w:t>
      </w:r>
    </w:p>
    <w:p>
      <w:pPr>
        <w:spacing w:after="200"/>
      </w:pPr>
    </w:p>
    <w:p>
      <w:pPr>
        <w:pStyle w:val="Heading3"/>
      </w:pPr>
      <w:r>
        <w:t xml:space="preserve">AustLII (Australasian Legal Information Institute)</w:t>
      </w:r>
    </w:p>
    <w:p>
      <w:pPr>
        <w:spacing w:after="80"/>
      </w:pPr>
      <w:r>
        <w:rPr>
          <w:rFonts w:ascii="Arial" w:cs="Arial" w:eastAsia="Arial" w:hAnsi="Arial"/>
          <w:b/>
          <w:bCs/>
          <w:sz w:val="22"/>
          <w:szCs w:val="22"/>
        </w:rPr>
        <w:t xml:space="preserve">URL: </w:t>
      </w:r>
      <w:r>
        <w:rPr>
          <w:rFonts w:ascii="Arial" w:cs="Arial" w:eastAsia="Arial" w:hAnsi="Arial"/>
          <w:sz w:val="22"/>
          <w:szCs w:val="22"/>
        </w:rPr>
        <w:t xml:space="preserve">https://www.austlii.edu.au/</w:t>
      </w:r>
    </w:p>
    <w:p>
      <w:pPr>
        <w:spacing w:after="80"/>
      </w:pPr>
      <w:r>
        <w:rPr>
          <w:rFonts w:ascii="Arial" w:cs="Arial" w:eastAsia="Arial" w:hAnsi="Arial"/>
          <w:b/>
          <w:bCs/>
          <w:sz w:val="22"/>
          <w:szCs w:val="22"/>
        </w:rPr>
        <w:t xml:space="preserve">Volume: </w:t>
      </w:r>
      <w:r>
        <w:rPr>
          <w:rFonts w:ascii="Arial" w:cs="Arial" w:eastAsia="Arial" w:hAnsi="Arial"/>
          <w:sz w:val="22"/>
          <w:szCs w:val="22"/>
        </w:rPr>
        <w:t xml:space="preserve">1,056 databases; 1,502,739 cases and decisions; 126,232 journal articles</w:t>
      </w:r>
    </w:p>
    <w:p>
      <w:pPr>
        <w:spacing w:after="80"/>
      </w:pPr>
      <w:r>
        <w:rPr>
          <w:rFonts w:ascii="Arial" w:cs="Arial" w:eastAsia="Arial" w:hAnsi="Arial"/>
          <w:b/>
          <w:bCs/>
          <w:sz w:val="22"/>
          <w:szCs w:val="22"/>
        </w:rPr>
        <w:t xml:space="preserve">Access Method: </w:t>
      </w:r>
      <w:r>
        <w:rPr>
          <w:rFonts w:ascii="Arial" w:cs="Arial" w:eastAsia="Arial" w:hAnsi="Arial"/>
          <w:sz w:val="22"/>
          <w:szCs w:val="22"/>
        </w:rPr>
        <w:t xml:space="preserve">Web search (free); No public API. Commercial bulk access requires written licensing agreement.</w:t>
      </w:r>
    </w:p>
    <w:p>
      <w:pPr>
        <w:spacing w:after="80"/>
      </w:pPr>
      <w:r>
        <w:rPr>
          <w:rFonts w:ascii="Arial" w:cs="Arial" w:eastAsia="Arial" w:hAnsi="Arial"/>
          <w:b/>
          <w:bCs/>
          <w:sz w:val="22"/>
          <w:szCs w:val="22"/>
        </w:rPr>
        <w:t xml:space="preserve">Data Format: </w:t>
      </w:r>
      <w:r>
        <w:rPr>
          <w:rFonts w:ascii="Arial" w:cs="Arial" w:eastAsia="Arial" w:hAnsi="Arial"/>
          <w:sz w:val="22"/>
          <w:szCs w:val="22"/>
        </w:rPr>
        <w:t xml:space="preserve">HTML (primary), PDF (historical 1977-1994), Word documents (1995-present)</w:t>
      </w:r>
    </w:p>
    <w:p>
      <w:pPr>
        <w:spacing w:after="80"/>
      </w:pPr>
      <w:r>
        <w:rPr>
          <w:rFonts w:ascii="Arial" w:cs="Arial" w:eastAsia="Arial" w:hAnsi="Arial"/>
          <w:b/>
          <w:bCs/>
          <w:sz w:val="22"/>
          <w:szCs w:val="22"/>
        </w:rPr>
        <w:t xml:space="preserve">Update Frequency: </w:t>
      </w:r>
      <w:r>
        <w:rPr>
          <w:rFonts w:ascii="Arial" w:cs="Arial" w:eastAsia="Arial" w:hAnsi="Arial"/>
          <w:sz w:val="22"/>
          <w:szCs w:val="22"/>
        </w:rPr>
        <w:t xml:space="preserve">Daily</w:t>
      </w:r>
    </w:p>
    <w:p>
      <w:pPr>
        <w:spacing w:after="80"/>
      </w:pPr>
      <w:r>
        <w:rPr>
          <w:rFonts w:ascii="Arial" w:cs="Arial" w:eastAsia="Arial" w:hAnsi="Arial"/>
          <w:b/>
          <w:bCs/>
          <w:sz w:val="22"/>
          <w:szCs w:val="22"/>
        </w:rPr>
        <w:t xml:space="preserve">Cost: </w:t>
      </w:r>
      <w:r>
        <w:rPr>
          <w:rFonts w:ascii="Arial" w:cs="Arial" w:eastAsia="Arial" w:hAnsi="Arial"/>
          <w:sz w:val="22"/>
          <w:szCs w:val="22"/>
        </w:rPr>
        <w:t xml:space="preserve">Free for web searches; commercial licensing must be negotiated</w:t>
      </w:r>
    </w:p>
    <w:p>
      <w:pPr>
        <w:spacing w:after="80"/>
      </w:pPr>
      <w:r>
        <w:rPr>
          <w:rFonts w:ascii="Arial" w:cs="Arial" w:eastAsia="Arial" w:hAnsi="Arial"/>
          <w:b/>
          <w:bCs/>
          <w:sz w:val="22"/>
          <w:szCs w:val="22"/>
        </w:rPr>
        <w:t xml:space="preserve">Language: </w:t>
      </w:r>
      <w:r>
        <w:rPr>
          <w:rFonts w:ascii="Arial" w:cs="Arial" w:eastAsia="Arial" w:hAnsi="Arial"/>
          <w:sz w:val="22"/>
          <w:szCs w:val="22"/>
        </w:rPr>
        <w:t xml:space="preserve">English</w:t>
      </w:r>
    </w:p>
    <w:p>
      <w:pPr>
        <w:spacing w:after="80"/>
      </w:pPr>
      <w:r>
        <w:rPr>
          <w:rFonts w:ascii="Arial" w:cs="Arial" w:eastAsia="Arial" w:hAnsi="Arial"/>
          <w:b/>
          <w:bCs/>
          <w:sz w:val="22"/>
          <w:szCs w:val="22"/>
        </w:rPr>
        <w:t xml:space="preserve">Legal Analysis: </w:t>
      </w:r>
      <w:r>
        <w:rPr>
          <w:rFonts w:ascii="Arial" w:cs="Arial" w:eastAsia="Arial" w:hAnsi="Arial"/>
          <w:sz w:val="22"/>
          <w:szCs w:val="22"/>
        </w:rPr>
        <w:t xml:space="preserve">Prohibits scraping, spidering, crawling, mirroring, API access, bulk querying. Only exception: written licensing agreements.</w:t>
      </w:r>
    </w:p>
    <w:p>
      <w:pPr>
        <w:spacing w:after="80"/>
      </w:pPr>
      <w:r>
        <w:rPr>
          <w:rFonts w:ascii="Arial" w:cs="Arial" w:eastAsia="Arial" w:hAnsi="Arial"/>
          <w:b/>
          <w:bCs/>
          <w:sz w:val="22"/>
          <w:szCs w:val="22"/>
        </w:rPr>
        <w:t xml:space="preserve">Technical Complexity: </w:t>
      </w:r>
      <w:r>
        <w:rPr>
          <w:rFonts w:ascii="Arial" w:cs="Arial" w:eastAsia="Arial" w:hAnsi="Arial"/>
          <w:sz w:val="22"/>
          <w:szCs w:val="22"/>
        </w:rPr>
        <w:t xml:space="preserve">Hard (manual web access only; commercial access requires negotiated licensing)</w:t>
      </w:r>
    </w:p>
    <w:p>
      <w:pPr>
        <w:spacing w:after="200"/>
      </w:pPr>
    </w:p>
    <w:p>
      <w:pPr>
        <w:pStyle w:val="Heading3"/>
      </w:pPr>
      <w:r>
        <w:t xml:space="preserve">IP Australia (Patents, Trademarks, Designs)</w:t>
      </w:r>
    </w:p>
    <w:p>
      <w:pPr>
        <w:spacing w:after="80"/>
      </w:pPr>
      <w:r>
        <w:rPr>
          <w:rFonts w:ascii="Arial" w:cs="Arial" w:eastAsia="Arial" w:hAnsi="Arial"/>
          <w:b/>
          <w:bCs/>
          <w:sz w:val="22"/>
          <w:szCs w:val="22"/>
        </w:rPr>
        <w:t xml:space="preserve">URL: </w:t>
      </w:r>
      <w:r>
        <w:rPr>
          <w:rFonts w:ascii="Arial" w:cs="Arial" w:eastAsia="Arial" w:hAnsi="Arial"/>
          <w:sz w:val="22"/>
          <w:szCs w:val="22"/>
        </w:rPr>
        <w:t xml:space="preserve">https://www.ipaustralia.gov.au/ | API: https://portal.api.ipaustralia.gov.au/</w:t>
      </w:r>
    </w:p>
    <w:p>
      <w:pPr>
        <w:spacing w:after="80"/>
      </w:pPr>
      <w:r>
        <w:rPr>
          <w:rFonts w:ascii="Arial" w:cs="Arial" w:eastAsia="Arial" w:hAnsi="Arial"/>
          <w:b/>
          <w:bCs/>
          <w:sz w:val="22"/>
          <w:szCs w:val="22"/>
        </w:rPr>
        <w:t xml:space="preserve">Volume: </w:t>
      </w:r>
      <w:r>
        <w:rPr>
          <w:rFonts w:ascii="Arial" w:cs="Arial" w:eastAsia="Arial" w:hAnsi="Arial"/>
          <w:sz w:val="22"/>
          <w:szCs w:val="22"/>
        </w:rPr>
        <w:t xml:space="preserve">85,945 trademark applications (2024); 30,478 standard patent applications (2024)</w:t>
      </w:r>
    </w:p>
    <w:p>
      <w:pPr>
        <w:spacing w:after="80"/>
      </w:pPr>
      <w:r>
        <w:rPr>
          <w:rFonts w:ascii="Arial" w:cs="Arial" w:eastAsia="Arial" w:hAnsi="Arial"/>
          <w:b/>
          <w:bCs/>
          <w:sz w:val="22"/>
          <w:szCs w:val="22"/>
        </w:rPr>
        <w:t xml:space="preserve">Access Method: </w:t>
      </w:r>
      <w:r>
        <w:rPr>
          <w:rFonts w:ascii="Arial" w:cs="Arial" w:eastAsia="Arial" w:hAnsi="Arial"/>
          <w:sz w:val="22"/>
          <w:szCs w:val="22"/>
        </w:rPr>
        <w:t xml:space="preserve">OAuth 2.0 authenticated APIs for high-volume customers</w:t>
      </w:r>
    </w:p>
    <w:p>
      <w:pPr>
        <w:spacing w:after="80"/>
      </w:pPr>
      <w:r>
        <w:rPr>
          <w:rFonts w:ascii="Arial" w:cs="Arial" w:eastAsia="Arial" w:hAnsi="Arial"/>
          <w:b/>
          <w:bCs/>
          <w:sz w:val="22"/>
          <w:szCs w:val="22"/>
        </w:rPr>
        <w:t xml:space="preserve">Data Format: </w:t>
      </w:r>
      <w:r>
        <w:rPr>
          <w:rFonts w:ascii="Arial" w:cs="Arial" w:eastAsia="Arial" w:hAnsi="Arial"/>
          <w:sz w:val="22"/>
          <w:szCs w:val="22"/>
        </w:rPr>
        <w:t xml:space="preserve">JSON, XML structured data</w:t>
      </w:r>
    </w:p>
    <w:p>
      <w:pPr>
        <w:spacing w:after="80"/>
      </w:pPr>
      <w:r>
        <w:rPr>
          <w:rFonts w:ascii="Arial" w:cs="Arial" w:eastAsia="Arial" w:hAnsi="Arial"/>
          <w:b/>
          <w:bCs/>
          <w:sz w:val="22"/>
          <w:szCs w:val="22"/>
        </w:rPr>
        <w:t xml:space="preserve">Update Frequency: </w:t>
      </w:r>
      <w:r>
        <w:rPr>
          <w:rFonts w:ascii="Arial" w:cs="Arial" w:eastAsia="Arial" w:hAnsi="Arial"/>
          <w:sz w:val="22"/>
          <w:szCs w:val="22"/>
        </w:rPr>
        <w:t xml:space="preserve">Real-time API access; data updated continuously</w:t>
      </w:r>
    </w:p>
    <w:p>
      <w:pPr>
        <w:spacing w:after="80"/>
      </w:pPr>
      <w:r>
        <w:rPr>
          <w:rFonts w:ascii="Arial" w:cs="Arial" w:eastAsia="Arial" w:hAnsi="Arial"/>
          <w:b/>
          <w:bCs/>
          <w:sz w:val="22"/>
          <w:szCs w:val="22"/>
        </w:rPr>
        <w:t xml:space="preserve">Cost: </w:t>
      </w:r>
      <w:r>
        <w:rPr>
          <w:rFonts w:ascii="Arial" w:cs="Arial" w:eastAsia="Arial" w:hAnsi="Arial"/>
          <w:sz w:val="22"/>
          <w:szCs w:val="22"/>
        </w:rPr>
        <w:t xml:space="preserve">Free to connect APIs; fees apply for filing/searches</w:t>
      </w:r>
    </w:p>
    <w:p>
      <w:pPr>
        <w:spacing w:after="80"/>
      </w:pPr>
      <w:r>
        <w:rPr>
          <w:rFonts w:ascii="Arial" w:cs="Arial" w:eastAsia="Arial" w:hAnsi="Arial"/>
          <w:b/>
          <w:bCs/>
          <w:sz w:val="22"/>
          <w:szCs w:val="22"/>
        </w:rPr>
        <w:t xml:space="preserve">Language: </w:t>
      </w:r>
      <w:r>
        <w:rPr>
          <w:rFonts w:ascii="Arial" w:cs="Arial" w:eastAsia="Arial" w:hAnsi="Arial"/>
          <w:sz w:val="22"/>
          <w:szCs w:val="22"/>
        </w:rPr>
        <w:t xml:space="preserve">English</w:t>
      </w:r>
    </w:p>
    <w:p>
      <w:pPr>
        <w:spacing w:after="80"/>
      </w:pPr>
      <w:r>
        <w:rPr>
          <w:rFonts w:ascii="Arial" w:cs="Arial" w:eastAsia="Arial" w:hAnsi="Arial"/>
          <w:b/>
          <w:bCs/>
          <w:sz w:val="22"/>
          <w:szCs w:val="22"/>
        </w:rPr>
        <w:t xml:space="preserve">Legal Analysis: </w:t>
      </w:r>
      <w:r>
        <w:rPr>
          <w:rFonts w:ascii="Arial" w:cs="Arial" w:eastAsia="Arial" w:hAnsi="Arial"/>
          <w:sz w:val="22"/>
          <w:szCs w:val="22"/>
        </w:rPr>
        <w:t xml:space="preserve">Australian Privacy Act for personal information of filers. Registration and OAuth 2.0 authentication required.</w:t>
      </w:r>
    </w:p>
    <w:p>
      <w:pPr>
        <w:spacing w:after="80"/>
      </w:pPr>
      <w:r>
        <w:rPr>
          <w:rFonts w:ascii="Arial" w:cs="Arial" w:eastAsia="Arial" w:hAnsi="Arial"/>
          <w:b/>
          <w:bCs/>
          <w:sz w:val="22"/>
          <w:szCs w:val="22"/>
        </w:rPr>
        <w:t xml:space="preserve">Technical Complexity: </w:t>
      </w:r>
      <w:r>
        <w:rPr>
          <w:rFonts w:ascii="Arial" w:cs="Arial" w:eastAsia="Arial" w:hAnsi="Arial"/>
          <w:sz w:val="22"/>
          <w:szCs w:val="22"/>
        </w:rPr>
        <w:t xml:space="preserve">Medium (OAuth 2.0 required, API portal registration)</w:t>
      </w:r>
    </w:p>
    <w:p>
      <w:pPr>
        <w:spacing w:after="200"/>
      </w:pPr>
    </w:p>
    <w:p>
      <w:pPr>
        <w:pStyle w:val="Heading3"/>
      </w:pPr>
      <w:r>
        <w:t xml:space="preserve">Federal Court of Australia (Decisions)</w:t>
      </w:r>
    </w:p>
    <w:p>
      <w:pPr>
        <w:spacing w:after="80"/>
      </w:pPr>
      <w:r>
        <w:rPr>
          <w:rFonts w:ascii="Arial" w:cs="Arial" w:eastAsia="Arial" w:hAnsi="Arial"/>
          <w:b/>
          <w:bCs/>
          <w:sz w:val="22"/>
          <w:szCs w:val="22"/>
        </w:rPr>
        <w:t xml:space="preserve">URL: </w:t>
      </w:r>
      <w:r>
        <w:rPr>
          <w:rFonts w:ascii="Arial" w:cs="Arial" w:eastAsia="Arial" w:hAnsi="Arial"/>
          <w:sz w:val="22"/>
          <w:szCs w:val="22"/>
        </w:rPr>
        <w:t xml:space="preserve">https://www.fedcourt.gov.au/digital-law-library/judgments/ | Federal Law Search from 1984+</w:t>
      </w:r>
    </w:p>
    <w:p>
      <w:pPr>
        <w:spacing w:after="80"/>
      </w:pPr>
      <w:r>
        <w:rPr>
          <w:rFonts w:ascii="Arial" w:cs="Arial" w:eastAsia="Arial" w:hAnsi="Arial"/>
          <w:b/>
          <w:bCs/>
          <w:sz w:val="22"/>
          <w:szCs w:val="22"/>
        </w:rPr>
        <w:t xml:space="preserve">Volume: </w:t>
      </w:r>
      <w:r>
        <w:rPr>
          <w:rFonts w:ascii="Arial" w:cs="Arial" w:eastAsia="Arial" w:hAnsi="Arial"/>
          <w:sz w:val="22"/>
          <w:szCs w:val="22"/>
        </w:rPr>
        <w:t xml:space="preserve">Judgments from 1977 to present; available through AustLII (1.5M+ total Australian cases)</w:t>
      </w:r>
    </w:p>
    <w:p>
      <w:pPr>
        <w:spacing w:after="80"/>
      </w:pPr>
      <w:r>
        <w:rPr>
          <w:rFonts w:ascii="Arial" w:cs="Arial" w:eastAsia="Arial" w:hAnsi="Arial"/>
          <w:b/>
          <w:bCs/>
          <w:sz w:val="22"/>
          <w:szCs w:val="22"/>
        </w:rPr>
        <w:t xml:space="preserve">Access Method: </w:t>
      </w:r>
      <w:r>
        <w:rPr>
          <w:rFonts w:ascii="Arial" w:cs="Arial" w:eastAsia="Arial" w:hAnsi="Arial"/>
          <w:sz w:val="22"/>
          <w:szCs w:val="22"/>
        </w:rPr>
        <w:t xml:space="preserve">Public web search (free); Full-text searchable. No API.</w:t>
      </w:r>
    </w:p>
    <w:p>
      <w:pPr>
        <w:spacing w:after="80"/>
      </w:pPr>
      <w:r>
        <w:rPr>
          <w:rFonts w:ascii="Arial" w:cs="Arial" w:eastAsia="Arial" w:hAnsi="Arial"/>
          <w:b/>
          <w:bCs/>
          <w:sz w:val="22"/>
          <w:szCs w:val="22"/>
        </w:rPr>
        <w:t xml:space="preserve">Data Format: </w:t>
      </w:r>
      <w:r>
        <w:rPr>
          <w:rFonts w:ascii="Arial" w:cs="Arial" w:eastAsia="Arial" w:hAnsi="Arial"/>
          <w:sz w:val="22"/>
          <w:szCs w:val="22"/>
        </w:rPr>
        <w:t xml:space="preserve">HTML (1995-present), PDF (1977-1994), downloadable as MS Word</w:t>
      </w:r>
    </w:p>
    <w:p>
      <w:pPr>
        <w:spacing w:after="80"/>
      </w:pPr>
      <w:r>
        <w:rPr>
          <w:rFonts w:ascii="Arial" w:cs="Arial" w:eastAsia="Arial" w:hAnsi="Arial"/>
          <w:b/>
          <w:bCs/>
          <w:sz w:val="22"/>
          <w:szCs w:val="22"/>
        </w:rPr>
        <w:t xml:space="preserve">Update Frequency: </w:t>
      </w:r>
      <w:r>
        <w:rPr>
          <w:rFonts w:ascii="Arial" w:cs="Arial" w:eastAsia="Arial" w:hAnsi="Arial"/>
          <w:sz w:val="22"/>
          <w:szCs w:val="22"/>
        </w:rPr>
        <w:t xml:space="preserve">Daily (within 24 hours of judgment; priority cases within 1 hour)</w:t>
      </w:r>
    </w:p>
    <w:p>
      <w:pPr>
        <w:spacing w:after="80"/>
      </w:pPr>
      <w:r>
        <w:rPr>
          <w:rFonts w:ascii="Arial" w:cs="Arial" w:eastAsia="Arial" w:hAnsi="Arial"/>
          <w:b/>
          <w:bCs/>
          <w:sz w:val="22"/>
          <w:szCs w:val="22"/>
        </w:rPr>
        <w:t xml:space="preserve">Cost: </w:t>
      </w:r>
      <w:r>
        <w:rPr>
          <w:rFonts w:ascii="Arial" w:cs="Arial" w:eastAsia="Arial" w:hAnsi="Arial"/>
          <w:sz w:val="22"/>
          <w:szCs w:val="22"/>
        </w:rPr>
        <w:t xml:space="preserve">Free public access</w:t>
      </w:r>
    </w:p>
    <w:p>
      <w:pPr>
        <w:spacing w:after="80"/>
      </w:pPr>
      <w:r>
        <w:rPr>
          <w:rFonts w:ascii="Arial" w:cs="Arial" w:eastAsia="Arial" w:hAnsi="Arial"/>
          <w:b/>
          <w:bCs/>
          <w:sz w:val="22"/>
          <w:szCs w:val="22"/>
        </w:rPr>
        <w:t xml:space="preserve">Language: </w:t>
      </w:r>
      <w:r>
        <w:rPr>
          <w:rFonts w:ascii="Arial" w:cs="Arial" w:eastAsia="Arial" w:hAnsi="Arial"/>
          <w:sz w:val="22"/>
          <w:szCs w:val="22"/>
        </w:rPr>
        <w:t xml:space="preserve">English</w:t>
      </w:r>
    </w:p>
    <w:p>
      <w:pPr>
        <w:spacing w:after="80"/>
      </w:pPr>
      <w:r>
        <w:rPr>
          <w:rFonts w:ascii="Arial" w:cs="Arial" w:eastAsia="Arial" w:hAnsi="Arial"/>
          <w:b/>
          <w:bCs/>
          <w:sz w:val="22"/>
          <w:szCs w:val="22"/>
        </w:rPr>
        <w:t xml:space="preserve">Legal Analysis: </w:t>
      </w:r>
      <w:r>
        <w:rPr>
          <w:rFonts w:ascii="Arial" w:cs="Arial" w:eastAsia="Arial" w:hAnsi="Arial"/>
          <w:sz w:val="22"/>
          <w:szCs w:val="22"/>
        </w:rPr>
        <w:t xml:space="preserve">Judgments are public documents. Copyright retained by courts. Commercial bulk access restricted without agreement.</w:t>
      </w:r>
    </w:p>
    <w:p>
      <w:pPr>
        <w:spacing w:after="80"/>
      </w:pPr>
      <w:r>
        <w:rPr>
          <w:rFonts w:ascii="Arial" w:cs="Arial" w:eastAsia="Arial" w:hAnsi="Arial"/>
          <w:b/>
          <w:bCs/>
          <w:sz w:val="22"/>
          <w:szCs w:val="22"/>
        </w:rPr>
        <w:t xml:space="preserve">Technical Complexity: </w:t>
      </w:r>
      <w:r>
        <w:rPr>
          <w:rFonts w:ascii="Arial" w:cs="Arial" w:eastAsia="Arial" w:hAnsi="Arial"/>
          <w:sz w:val="22"/>
          <w:szCs w:val="22"/>
        </w:rPr>
        <w:t xml:space="preserve">Easy (web search only; no API)</w:t>
      </w:r>
    </w:p>
    <w:p>
      <w:pPr>
        <w:spacing w:after="200"/>
      </w:pPr>
    </w:p>
    <w:p>
      <w:pPr>
        <w:pStyle w:val="Heading3"/>
      </w:pPr>
      <w:r>
        <w:t xml:space="preserve">Australian Business Register (ABR/ABN Lookup)</w:t>
      </w:r>
    </w:p>
    <w:p>
      <w:pPr>
        <w:spacing w:after="80"/>
      </w:pPr>
      <w:r>
        <w:rPr>
          <w:rFonts w:ascii="Arial" w:cs="Arial" w:eastAsia="Arial" w:hAnsi="Arial"/>
          <w:b/>
          <w:bCs/>
          <w:sz w:val="22"/>
          <w:szCs w:val="22"/>
        </w:rPr>
        <w:t xml:space="preserve">URL: </w:t>
      </w:r>
      <w:r>
        <w:rPr>
          <w:rFonts w:ascii="Arial" w:cs="Arial" w:eastAsia="Arial" w:hAnsi="Arial"/>
          <w:sz w:val="22"/>
          <w:szCs w:val="22"/>
        </w:rPr>
        <w:t xml:space="preserve">https://abr.business.gov.au/ | Web Services: https://abr.business.gov.au/Tools/WebServices</w:t>
      </w:r>
    </w:p>
    <w:p>
      <w:pPr>
        <w:spacing w:after="80"/>
      </w:pPr>
      <w:r>
        <w:rPr>
          <w:rFonts w:ascii="Arial" w:cs="Arial" w:eastAsia="Arial" w:hAnsi="Arial"/>
          <w:b/>
          <w:bCs/>
          <w:sz w:val="22"/>
          <w:szCs w:val="22"/>
        </w:rPr>
        <w:t xml:space="preserve">Volume: </w:t>
      </w:r>
      <w:r>
        <w:rPr>
          <w:rFonts w:ascii="Arial" w:cs="Arial" w:eastAsia="Arial" w:hAnsi="Arial"/>
          <w:sz w:val="22"/>
          <w:szCs w:val="22"/>
        </w:rPr>
        <w:t xml:space="preserve">3.4 million active businesses</w:t>
      </w:r>
    </w:p>
    <w:p>
      <w:pPr>
        <w:spacing w:after="80"/>
      </w:pPr>
      <w:r>
        <w:rPr>
          <w:rFonts w:ascii="Arial" w:cs="Arial" w:eastAsia="Arial" w:hAnsi="Arial"/>
          <w:b/>
          <w:bCs/>
          <w:sz w:val="22"/>
          <w:szCs w:val="22"/>
        </w:rPr>
        <w:t xml:space="preserve">Access Method: </w:t>
      </w:r>
      <w:r>
        <w:rPr>
          <w:rFonts w:ascii="Arial" w:cs="Arial" w:eastAsia="Arial" w:hAnsi="Arial"/>
          <w:sz w:val="22"/>
          <w:szCs w:val="22"/>
        </w:rPr>
        <w:t xml:space="preserve">SOAP or HTTP GET/POST web services (free, requires GUID registration); Limited JSON support; Bulk extraction via data.gov.au</w:t>
      </w:r>
    </w:p>
    <w:p>
      <w:pPr>
        <w:spacing w:after="80"/>
      </w:pPr>
      <w:r>
        <w:rPr>
          <w:rFonts w:ascii="Arial" w:cs="Arial" w:eastAsia="Arial" w:hAnsi="Arial"/>
          <w:b/>
          <w:bCs/>
          <w:sz w:val="22"/>
          <w:szCs w:val="22"/>
        </w:rPr>
        <w:t xml:space="preserve">Data Format: </w:t>
      </w:r>
      <w:r>
        <w:rPr>
          <w:rFonts w:ascii="Arial" w:cs="Arial" w:eastAsia="Arial" w:hAnsi="Arial"/>
          <w:sz w:val="22"/>
          <w:szCs w:val="22"/>
        </w:rPr>
        <w:t xml:space="preserve">SOAP XML responses; JSON for ABN name searches</w:t>
      </w:r>
    </w:p>
    <w:p>
      <w:pPr>
        <w:spacing w:after="80"/>
      </w:pPr>
      <w:r>
        <w:rPr>
          <w:rFonts w:ascii="Arial" w:cs="Arial" w:eastAsia="Arial" w:hAnsi="Arial"/>
          <w:b/>
          <w:bCs/>
          <w:sz w:val="22"/>
          <w:szCs w:val="22"/>
        </w:rPr>
        <w:t xml:space="preserve">Update Frequency: </w:t>
      </w:r>
      <w:r>
        <w:rPr>
          <w:rFonts w:ascii="Arial" w:cs="Arial" w:eastAsia="Arial" w:hAnsi="Arial"/>
          <w:sz w:val="22"/>
          <w:szCs w:val="22"/>
        </w:rPr>
        <w:t xml:space="preserve">Hourly updates</w:t>
      </w:r>
    </w:p>
    <w:p>
      <w:pPr>
        <w:spacing w:after="80"/>
      </w:pPr>
      <w:r>
        <w:rPr>
          <w:rFonts w:ascii="Arial" w:cs="Arial" w:eastAsia="Arial" w:hAnsi="Arial"/>
          <w:b/>
          <w:bCs/>
          <w:sz w:val="22"/>
          <w:szCs w:val="22"/>
        </w:rPr>
        <w:t xml:space="preserve">Cost: </w:t>
      </w:r>
      <w:r>
        <w:rPr>
          <w:rFonts w:ascii="Arial" w:cs="Arial" w:eastAsia="Arial" w:hAnsi="Arial"/>
          <w:sz w:val="22"/>
          <w:szCs w:val="22"/>
        </w:rPr>
        <w:t xml:space="preserve">Free access; registration required for API credentials (GUID)</w:t>
      </w:r>
    </w:p>
    <w:p>
      <w:pPr>
        <w:spacing w:after="80"/>
      </w:pPr>
      <w:r>
        <w:rPr>
          <w:rFonts w:ascii="Arial" w:cs="Arial" w:eastAsia="Arial" w:hAnsi="Arial"/>
          <w:b/>
          <w:bCs/>
          <w:sz w:val="22"/>
          <w:szCs w:val="22"/>
        </w:rPr>
        <w:t xml:space="preserve">Language: </w:t>
      </w:r>
      <w:r>
        <w:rPr>
          <w:rFonts w:ascii="Arial" w:cs="Arial" w:eastAsia="Arial" w:hAnsi="Arial"/>
          <w:sz w:val="22"/>
          <w:szCs w:val="22"/>
        </w:rPr>
        <w:t xml:space="preserve">English</w:t>
      </w:r>
    </w:p>
    <w:p>
      <w:pPr>
        <w:spacing w:after="80"/>
      </w:pPr>
      <w:r>
        <w:rPr>
          <w:rFonts w:ascii="Arial" w:cs="Arial" w:eastAsia="Arial" w:hAnsi="Arial"/>
          <w:b/>
          <w:bCs/>
          <w:sz w:val="22"/>
          <w:szCs w:val="22"/>
        </w:rPr>
        <w:t xml:space="preserve">Legal Analysis: </w:t>
      </w:r>
      <w:r>
        <w:rPr>
          <w:rFonts w:ascii="Arial" w:cs="Arial" w:eastAsia="Arial" w:hAnsi="Arial"/>
          <w:sz w:val="22"/>
          <w:szCs w:val="22"/>
        </w:rPr>
        <w:t xml:space="preserve">ABN data is publicly available. Privacy Act applies to personal information of business principals. Read-only API.</w:t>
      </w:r>
    </w:p>
    <w:p>
      <w:pPr>
        <w:spacing w:after="80"/>
      </w:pPr>
      <w:r>
        <w:rPr>
          <w:rFonts w:ascii="Arial" w:cs="Arial" w:eastAsia="Arial" w:hAnsi="Arial"/>
          <w:b/>
          <w:bCs/>
          <w:sz w:val="22"/>
          <w:szCs w:val="22"/>
        </w:rPr>
        <w:t xml:space="preserve">Technical Complexity: </w:t>
      </w:r>
      <w:r>
        <w:rPr>
          <w:rFonts w:ascii="Arial" w:cs="Arial" w:eastAsia="Arial" w:hAnsi="Arial"/>
          <w:sz w:val="22"/>
          <w:szCs w:val="22"/>
        </w:rPr>
        <w:t xml:space="preserve">Easy-Medium (SOAP or HTTP, free registration)</w:t>
      </w:r>
    </w:p>
    <w:p>
      <w:pPr>
        <w:spacing w:after="200"/>
      </w:pPr>
    </w:p>
    <w:p>
      <w:pPr>
        <w:pStyle w:val="Heading3"/>
      </w:pPr>
      <w:r>
        <w:t xml:space="preserve">State/Territory Registries</w:t>
      </w:r>
    </w:p>
    <w:p>
      <w:pPr>
        <w:spacing w:after="80"/>
      </w:pPr>
      <w:r>
        <w:rPr>
          <w:rFonts w:ascii="Arial" w:cs="Arial" w:eastAsia="Arial" w:hAnsi="Arial"/>
          <w:b/>
          <w:bCs/>
          <w:sz w:val="22"/>
          <w:szCs w:val="22"/>
        </w:rPr>
        <w:t xml:space="preserve">URL: </w:t>
      </w:r>
      <w:r>
        <w:rPr>
          <w:rFonts w:ascii="Arial" w:cs="Arial" w:eastAsia="Arial" w:hAnsi="Arial"/>
          <w:sz w:val="22"/>
          <w:szCs w:val="22"/>
        </w:rPr>
        <w:t xml:space="preserve">Centralized under ASIC since 1991</w:t>
      </w:r>
    </w:p>
    <w:p>
      <w:pPr>
        <w:spacing w:after="80"/>
      </w:pPr>
      <w:r>
        <w:rPr>
          <w:rFonts w:ascii="Arial" w:cs="Arial" w:eastAsia="Arial" w:hAnsi="Arial"/>
          <w:b/>
          <w:bCs/>
          <w:sz w:val="22"/>
          <w:szCs w:val="22"/>
        </w:rPr>
        <w:t xml:space="preserve">Volume: </w:t>
      </w:r>
      <w:r>
        <w:rPr>
          <w:rFonts w:ascii="Arial" w:cs="Arial" w:eastAsia="Arial" w:hAnsi="Arial"/>
          <w:sz w:val="22"/>
          <w:szCs w:val="22"/>
        </w:rPr>
        <w:t xml:space="preserve">N/A (no separate state company registries exist)</w:t>
      </w:r>
    </w:p>
    <w:p>
      <w:pPr>
        <w:spacing w:after="80"/>
      </w:pPr>
      <w:r>
        <w:rPr>
          <w:rFonts w:ascii="Arial" w:cs="Arial" w:eastAsia="Arial" w:hAnsi="Arial"/>
          <w:b/>
          <w:bCs/>
          <w:sz w:val="22"/>
          <w:szCs w:val="22"/>
        </w:rPr>
        <w:t xml:space="preserve">Access Method: </w:t>
      </w:r>
      <w:r>
        <w:rPr>
          <w:rFonts w:ascii="Arial" w:cs="Arial" w:eastAsia="Arial" w:hAnsi="Arial"/>
          <w:sz w:val="22"/>
          <w:szCs w:val="22"/>
        </w:rPr>
        <w:t xml:space="preserve">All corporate registrations handled federally by ASIC. Land registries exist at state level but are separate systems.</w:t>
      </w:r>
    </w:p>
    <w:p>
      <w:pPr>
        <w:spacing w:after="80"/>
      </w:pPr>
      <w:r>
        <w:rPr>
          <w:rFonts w:ascii="Arial" w:cs="Arial" w:eastAsia="Arial" w:hAnsi="Arial"/>
          <w:b/>
          <w:bCs/>
          <w:sz w:val="22"/>
          <w:szCs w:val="22"/>
        </w:rPr>
        <w:t xml:space="preserve">Data Format: </w:t>
      </w:r>
      <w:r>
        <w:rPr>
          <w:rFonts w:ascii="Arial" w:cs="Arial" w:eastAsia="Arial" w:hAnsi="Arial"/>
          <w:sz w:val="22"/>
          <w:szCs w:val="22"/>
        </w:rPr>
        <w:t xml:space="preserve">N/A</w:t>
      </w:r>
    </w:p>
    <w:p>
      <w:pPr>
        <w:spacing w:after="80"/>
      </w:pPr>
      <w:r>
        <w:rPr>
          <w:rFonts w:ascii="Arial" w:cs="Arial" w:eastAsia="Arial" w:hAnsi="Arial"/>
          <w:b/>
          <w:bCs/>
          <w:sz w:val="22"/>
          <w:szCs w:val="22"/>
        </w:rPr>
        <w:t xml:space="preserve">Update Frequency: </w:t>
      </w:r>
      <w:r>
        <w:rPr>
          <w:rFonts w:ascii="Arial" w:cs="Arial" w:eastAsia="Arial" w:hAnsi="Arial"/>
          <w:sz w:val="22"/>
          <w:szCs w:val="22"/>
        </w:rPr>
        <w:t xml:space="preserve">N/A</w:t>
      </w:r>
    </w:p>
    <w:p>
      <w:pPr>
        <w:spacing w:after="80"/>
      </w:pPr>
      <w:r>
        <w:rPr>
          <w:rFonts w:ascii="Arial" w:cs="Arial" w:eastAsia="Arial" w:hAnsi="Arial"/>
          <w:b/>
          <w:bCs/>
          <w:sz w:val="22"/>
          <w:szCs w:val="22"/>
        </w:rPr>
        <w:t xml:space="preserve">Cost: </w:t>
      </w:r>
      <w:r>
        <w:rPr>
          <w:rFonts w:ascii="Arial" w:cs="Arial" w:eastAsia="Arial" w:hAnsi="Arial"/>
          <w:sz w:val="22"/>
          <w:szCs w:val="22"/>
        </w:rPr>
        <w:t xml:space="preserve">N/A</w:t>
      </w:r>
    </w:p>
    <w:p>
      <w:pPr>
        <w:spacing w:after="80"/>
      </w:pPr>
      <w:r>
        <w:rPr>
          <w:rFonts w:ascii="Arial" w:cs="Arial" w:eastAsia="Arial" w:hAnsi="Arial"/>
          <w:b/>
          <w:bCs/>
          <w:sz w:val="22"/>
          <w:szCs w:val="22"/>
        </w:rPr>
        <w:t xml:space="preserve">Language: </w:t>
      </w:r>
      <w:r>
        <w:rPr>
          <w:rFonts w:ascii="Arial" w:cs="Arial" w:eastAsia="Arial" w:hAnsi="Arial"/>
          <w:sz w:val="22"/>
          <w:szCs w:val="22"/>
        </w:rPr>
        <w:t xml:space="preserve">English</w:t>
      </w:r>
    </w:p>
    <w:p>
      <w:pPr>
        <w:spacing w:after="80"/>
      </w:pPr>
      <w:r>
        <w:rPr>
          <w:rFonts w:ascii="Arial" w:cs="Arial" w:eastAsia="Arial" w:hAnsi="Arial"/>
          <w:b/>
          <w:bCs/>
          <w:sz w:val="22"/>
          <w:szCs w:val="22"/>
        </w:rPr>
        <w:t xml:space="preserve">Legal Analysis: </w:t>
      </w:r>
      <w:r>
        <w:rPr>
          <w:rFonts w:ascii="Arial" w:cs="Arial" w:eastAsia="Arial" w:hAnsi="Arial"/>
          <w:sz w:val="22"/>
          <w:szCs w:val="22"/>
        </w:rPr>
        <w:t xml:space="preserve">No separate state-level corporate registries to integrate.</w:t>
      </w:r>
    </w:p>
    <w:p>
      <w:pPr>
        <w:spacing w:after="80"/>
      </w:pPr>
      <w:r>
        <w:rPr>
          <w:rFonts w:ascii="Arial" w:cs="Arial" w:eastAsia="Arial" w:hAnsi="Arial"/>
          <w:b/>
          <w:bCs/>
          <w:sz w:val="22"/>
          <w:szCs w:val="22"/>
        </w:rPr>
        <w:t xml:space="preserve">Technical Complexity: </w:t>
      </w:r>
      <w:r>
        <w:rPr>
          <w:rFonts w:ascii="Arial" w:cs="Arial" w:eastAsia="Arial" w:hAnsi="Arial"/>
          <w:sz w:val="22"/>
          <w:szCs w:val="22"/>
        </w:rPr>
        <w:t xml:space="preserve">N/A (covered by ASIC)</w:t>
      </w:r>
    </w:p>
    <w:p>
      <w:pPr>
        <w:spacing w:after="200"/>
      </w:pPr>
    </w:p>
    <w:p>
      <w:r>
        <w:br w:type="page"/>
      </w:r>
    </w:p>
    <w:p>
      <w:pPr>
        <w:pStyle w:val="Heading1"/>
      </w:pPr>
      <w:r>
        <w:t xml:space="preserve">Chapter 2: Canada</w:t>
      </w:r>
    </w:p>
    <w:p>
      <w:pPr>
        <w:spacing w:after="120"/>
      </w:pPr>
      <w:r>
        <w:rPr>
          <w:rFonts w:ascii="Arial" w:cs="Arial" w:eastAsia="Arial" w:hAnsi="Arial"/>
          <w:sz w:val="22"/>
          <w:szCs w:val="22"/>
        </w:rPr>
        <w:t xml:space="preserve">Canada presents a fragmented data landscape due to provincial jurisdiction over business registration, but offers strong federal-level sources. Bilingual (English/French) requirements apply to national datasets. The Personal Information Protection and Electronic Documents Act (PIPEDA) governs federal privacy, with provincial variations.</w:t>
      </w:r>
    </w:p>
    <w:p>
      <w:pPr>
        <w:pStyle w:val="Heading3"/>
      </w:pPr>
      <w:r>
        <w:t xml:space="preserve">SEDAR+ (Securities Filings)</w:t>
      </w:r>
    </w:p>
    <w:p>
      <w:pPr>
        <w:spacing w:after="80"/>
      </w:pPr>
      <w:r>
        <w:rPr>
          <w:rFonts w:ascii="Arial" w:cs="Arial" w:eastAsia="Arial" w:hAnsi="Arial"/>
          <w:b/>
          <w:bCs/>
          <w:sz w:val="22"/>
          <w:szCs w:val="22"/>
        </w:rPr>
        <w:t xml:space="preserve">URL: </w:t>
      </w:r>
      <w:r>
        <w:rPr>
          <w:rFonts w:ascii="Arial" w:cs="Arial" w:eastAsia="Arial" w:hAnsi="Arial"/>
          <w:sz w:val="22"/>
          <w:szCs w:val="22"/>
        </w:rPr>
        <w:t xml:space="preserve">https://www.sedarplus.ca/</w:t>
      </w:r>
    </w:p>
    <w:p>
      <w:pPr>
        <w:spacing w:after="80"/>
      </w:pPr>
      <w:r>
        <w:rPr>
          <w:rFonts w:ascii="Arial" w:cs="Arial" w:eastAsia="Arial" w:hAnsi="Arial"/>
          <w:b/>
          <w:bCs/>
          <w:sz w:val="22"/>
          <w:szCs w:val="22"/>
        </w:rPr>
        <w:t xml:space="preserve">Volume: </w:t>
      </w:r>
      <w:r>
        <w:rPr>
          <w:rFonts w:ascii="Arial" w:cs="Arial" w:eastAsia="Arial" w:hAnsi="Arial"/>
          <w:sz w:val="22"/>
          <w:szCs w:val="22"/>
        </w:rPr>
        <w:t xml:space="preserve">All Canadian public companies and investment funds; 1.1M+ annual documents filed</w:t>
      </w:r>
    </w:p>
    <w:p>
      <w:pPr>
        <w:spacing w:after="80"/>
      </w:pPr>
      <w:r>
        <w:rPr>
          <w:rFonts w:ascii="Arial" w:cs="Arial" w:eastAsia="Arial" w:hAnsi="Arial"/>
          <w:b/>
          <w:bCs/>
          <w:sz w:val="22"/>
          <w:szCs w:val="22"/>
        </w:rPr>
        <w:t xml:space="preserve">Access Method: </w:t>
      </w:r>
      <w:r>
        <w:rPr>
          <w:rFonts w:ascii="Arial" w:cs="Arial" w:eastAsia="Arial" w:hAnsi="Arial"/>
          <w:sz w:val="22"/>
          <w:szCs w:val="22"/>
        </w:rPr>
        <w:t xml:space="preserve">Public web search (free, no account). Third-party APIs (QuoteMedia) offer SFTP and request APIs.</w:t>
      </w:r>
    </w:p>
    <w:p>
      <w:pPr>
        <w:spacing w:after="80"/>
      </w:pPr>
      <w:r>
        <w:rPr>
          <w:rFonts w:ascii="Arial" w:cs="Arial" w:eastAsia="Arial" w:hAnsi="Arial"/>
          <w:b/>
          <w:bCs/>
          <w:sz w:val="22"/>
          <w:szCs w:val="22"/>
        </w:rPr>
        <w:t xml:space="preserve">Data Format: </w:t>
      </w:r>
      <w:r>
        <w:rPr>
          <w:rFonts w:ascii="Arial" w:cs="Arial" w:eastAsia="Arial" w:hAnsi="Arial"/>
          <w:sz w:val="22"/>
          <w:szCs w:val="22"/>
        </w:rPr>
        <w:t xml:space="preserve">PDF, XML document downloads; SFTP delivery for third parties; JSON via request APIs</w:t>
      </w:r>
    </w:p>
    <w:p>
      <w:pPr>
        <w:spacing w:after="80"/>
      </w:pPr>
      <w:r>
        <w:rPr>
          <w:rFonts w:ascii="Arial" w:cs="Arial" w:eastAsia="Arial" w:hAnsi="Arial"/>
          <w:b/>
          <w:bCs/>
          <w:sz w:val="22"/>
          <w:szCs w:val="22"/>
        </w:rPr>
        <w:t xml:space="preserve">Update Frequency: </w:t>
      </w:r>
      <w:r>
        <w:rPr>
          <w:rFonts w:ascii="Arial" w:cs="Arial" w:eastAsia="Arial" w:hAnsi="Arial"/>
          <w:sz w:val="22"/>
          <w:szCs w:val="22"/>
        </w:rPr>
        <w:t xml:space="preserve">Real-time filing; documents available immediately upon acceptance</w:t>
      </w:r>
    </w:p>
    <w:p>
      <w:pPr>
        <w:spacing w:after="80"/>
      </w:pPr>
      <w:r>
        <w:rPr>
          <w:rFonts w:ascii="Arial" w:cs="Arial" w:eastAsia="Arial" w:hAnsi="Arial"/>
          <w:b/>
          <w:bCs/>
          <w:sz w:val="22"/>
          <w:szCs w:val="22"/>
        </w:rPr>
        <w:t xml:space="preserve">Cost: </w:t>
      </w:r>
      <w:r>
        <w:rPr>
          <w:rFonts w:ascii="Arial" w:cs="Arial" w:eastAsia="Arial" w:hAnsi="Arial"/>
          <w:sz w:val="22"/>
          <w:szCs w:val="22"/>
        </w:rPr>
        <w:t xml:space="preserve">Free public search; third-party API access fee-based</w:t>
      </w:r>
    </w:p>
    <w:p>
      <w:pPr>
        <w:spacing w:after="80"/>
      </w:pPr>
      <w:r>
        <w:rPr>
          <w:rFonts w:ascii="Arial" w:cs="Arial" w:eastAsia="Arial" w:hAnsi="Arial"/>
          <w:b/>
          <w:bCs/>
          <w:sz w:val="22"/>
          <w:szCs w:val="22"/>
        </w:rPr>
        <w:t xml:space="preserve">Language: </w:t>
      </w:r>
      <w:r>
        <w:rPr>
          <w:rFonts w:ascii="Arial" w:cs="Arial" w:eastAsia="Arial" w:hAnsi="Arial"/>
          <w:sz w:val="22"/>
          <w:szCs w:val="22"/>
        </w:rPr>
        <w:t xml:space="preserve">English and French (bilingual filings required)</w:t>
      </w:r>
    </w:p>
    <w:p>
      <w:pPr>
        <w:spacing w:after="80"/>
      </w:pPr>
      <w:r>
        <w:rPr>
          <w:rFonts w:ascii="Arial" w:cs="Arial" w:eastAsia="Arial" w:hAnsi="Arial"/>
          <w:b/>
          <w:bCs/>
          <w:sz w:val="22"/>
          <w:szCs w:val="22"/>
        </w:rPr>
        <w:t xml:space="preserve">Legal Analysis: </w:t>
      </w:r>
      <w:r>
        <w:rPr>
          <w:rFonts w:ascii="Arial" w:cs="Arial" w:eastAsia="Arial" w:hAnsi="Arial"/>
          <w:sz w:val="22"/>
          <w:szCs w:val="22"/>
        </w:rPr>
        <w:t xml:space="preserve">Public filings under Securities Acts. No restriction on commercial use of public filing data.</w:t>
      </w:r>
    </w:p>
    <w:p>
      <w:pPr>
        <w:spacing w:after="80"/>
      </w:pPr>
      <w:r>
        <w:rPr>
          <w:rFonts w:ascii="Arial" w:cs="Arial" w:eastAsia="Arial" w:hAnsi="Arial"/>
          <w:b/>
          <w:bCs/>
          <w:sz w:val="22"/>
          <w:szCs w:val="22"/>
        </w:rPr>
        <w:t xml:space="preserve">Technical Complexity: </w:t>
      </w:r>
      <w:r>
        <w:rPr>
          <w:rFonts w:ascii="Arial" w:cs="Arial" w:eastAsia="Arial" w:hAnsi="Arial"/>
          <w:sz w:val="22"/>
          <w:szCs w:val="22"/>
        </w:rPr>
        <w:t xml:space="preserve">Easy (web search); Medium (third-party API integration)</w:t>
      </w:r>
    </w:p>
    <w:p>
      <w:pPr>
        <w:spacing w:after="200"/>
      </w:pPr>
    </w:p>
    <w:p>
      <w:pPr>
        <w:pStyle w:val="Heading3"/>
      </w:pPr>
      <w:r>
        <w:t xml:space="preserve">CIPO (Canadian Intellectual Property Office)</w:t>
      </w:r>
    </w:p>
    <w:p>
      <w:pPr>
        <w:spacing w:after="80"/>
      </w:pPr>
      <w:r>
        <w:rPr>
          <w:rFonts w:ascii="Arial" w:cs="Arial" w:eastAsia="Arial" w:hAnsi="Arial"/>
          <w:b/>
          <w:bCs/>
          <w:sz w:val="22"/>
          <w:szCs w:val="22"/>
        </w:rPr>
        <w:t xml:space="preserve">URL: </w:t>
      </w:r>
      <w:r>
        <w:rPr>
          <w:rFonts w:ascii="Arial" w:cs="Arial" w:eastAsia="Arial" w:hAnsi="Arial"/>
          <w:sz w:val="22"/>
          <w:szCs w:val="22"/>
        </w:rPr>
        <w:t xml:space="preserve">https://ised-isde.canada.ca/site/canadian-intellectual-property-office/en/ | IP Horizons: https://ised-isde.canada.ca/site/canadian-intellectual-property-office/en/canadian-intellectual-property-statistics/ip-horizons-download-intellectual-property-data</w:t>
      </w:r>
    </w:p>
    <w:p>
      <w:pPr>
        <w:spacing w:after="80"/>
      </w:pPr>
      <w:r>
        <w:rPr>
          <w:rFonts w:ascii="Arial" w:cs="Arial" w:eastAsia="Arial" w:hAnsi="Arial"/>
          <w:b/>
          <w:bCs/>
          <w:sz w:val="22"/>
          <w:szCs w:val="22"/>
        </w:rPr>
        <w:t xml:space="preserve">Volume: </w:t>
      </w:r>
      <w:r>
        <w:rPr>
          <w:rFonts w:ascii="Arial" w:cs="Arial" w:eastAsia="Arial" w:hAnsi="Arial"/>
          <w:sz w:val="22"/>
          <w:szCs w:val="22"/>
        </w:rPr>
        <w:t xml:space="preserve">2.24-2.5 million patent documents (1878-present); significant trademark volume</w:t>
      </w:r>
    </w:p>
    <w:p>
      <w:pPr>
        <w:spacing w:after="80"/>
      </w:pPr>
      <w:r>
        <w:rPr>
          <w:rFonts w:ascii="Arial" w:cs="Arial" w:eastAsia="Arial" w:hAnsi="Arial"/>
          <w:b/>
          <w:bCs/>
          <w:sz w:val="22"/>
          <w:szCs w:val="22"/>
        </w:rPr>
        <w:t xml:space="preserve">Access Method: </w:t>
      </w:r>
      <w:r>
        <w:rPr>
          <w:rFonts w:ascii="Arial" w:cs="Arial" w:eastAsia="Arial" w:hAnsi="Arial"/>
          <w:sz w:val="22"/>
          <w:szCs w:val="22"/>
        </w:rPr>
        <w:t xml:space="preserve">IP Horizons bulk download (CSV, TXT, XML, PNG); Web search interface (free). No official REST API.</w:t>
      </w:r>
    </w:p>
    <w:p>
      <w:pPr>
        <w:spacing w:after="80"/>
      </w:pPr>
      <w:r>
        <w:rPr>
          <w:rFonts w:ascii="Arial" w:cs="Arial" w:eastAsia="Arial" w:hAnsi="Arial"/>
          <w:b/>
          <w:bCs/>
          <w:sz w:val="22"/>
          <w:szCs w:val="22"/>
        </w:rPr>
        <w:t xml:space="preserve">Data Format: </w:t>
      </w:r>
      <w:r>
        <w:rPr>
          <w:rFonts w:ascii="Arial" w:cs="Arial" w:eastAsia="Arial" w:hAnsi="Arial"/>
          <w:sz w:val="22"/>
          <w:szCs w:val="22"/>
        </w:rPr>
        <w:t xml:space="preserve">CSV, TXT, XML (weekly updates), PNG (trademark images)</w:t>
      </w:r>
    </w:p>
    <w:p>
      <w:pPr>
        <w:spacing w:after="80"/>
      </w:pPr>
      <w:r>
        <w:rPr>
          <w:rFonts w:ascii="Arial" w:cs="Arial" w:eastAsia="Arial" w:hAnsi="Arial"/>
          <w:b/>
          <w:bCs/>
          <w:sz w:val="22"/>
          <w:szCs w:val="22"/>
        </w:rPr>
        <w:t xml:space="preserve">Update Frequency: </w:t>
      </w:r>
      <w:r>
        <w:rPr>
          <w:rFonts w:ascii="Arial" w:cs="Arial" w:eastAsia="Arial" w:hAnsi="Arial"/>
          <w:sz w:val="22"/>
          <w:szCs w:val="22"/>
        </w:rPr>
        <w:t xml:space="preserve">Trademarks: quarterly (CSV/TXT), weekly (XML/PNG); Patents: weekly</w:t>
      </w:r>
    </w:p>
    <w:p>
      <w:pPr>
        <w:spacing w:after="80"/>
      </w:pPr>
      <w:r>
        <w:rPr>
          <w:rFonts w:ascii="Arial" w:cs="Arial" w:eastAsia="Arial" w:hAnsi="Arial"/>
          <w:b/>
          <w:bCs/>
          <w:sz w:val="22"/>
          <w:szCs w:val="22"/>
        </w:rPr>
        <w:t xml:space="preserve">Cost: </w:t>
      </w:r>
      <w:r>
        <w:rPr>
          <w:rFonts w:ascii="Arial" w:cs="Arial" w:eastAsia="Arial" w:hAnsi="Arial"/>
          <w:sz w:val="22"/>
          <w:szCs w:val="22"/>
        </w:rPr>
        <w:t xml:space="preserve">Free for researcher datasets and web searches</w:t>
      </w:r>
    </w:p>
    <w:p>
      <w:pPr>
        <w:spacing w:after="80"/>
      </w:pPr>
      <w:r>
        <w:rPr>
          <w:rFonts w:ascii="Arial" w:cs="Arial" w:eastAsia="Arial" w:hAnsi="Arial"/>
          <w:b/>
          <w:bCs/>
          <w:sz w:val="22"/>
          <w:szCs w:val="22"/>
        </w:rPr>
        <w:t xml:space="preserve">Language: </w:t>
      </w:r>
      <w:r>
        <w:rPr>
          <w:rFonts w:ascii="Arial" w:cs="Arial" w:eastAsia="Arial" w:hAnsi="Arial"/>
          <w:sz w:val="22"/>
          <w:szCs w:val="22"/>
        </w:rPr>
        <w:t xml:space="preserve">English and French</w:t>
      </w:r>
    </w:p>
    <w:p>
      <w:pPr>
        <w:spacing w:after="80"/>
      </w:pPr>
      <w:r>
        <w:rPr>
          <w:rFonts w:ascii="Arial" w:cs="Arial" w:eastAsia="Arial" w:hAnsi="Arial"/>
          <w:b/>
          <w:bCs/>
          <w:sz w:val="22"/>
          <w:szCs w:val="22"/>
        </w:rPr>
        <w:t xml:space="preserve">Legal Analysis: </w:t>
      </w:r>
      <w:r>
        <w:rPr>
          <w:rFonts w:ascii="Arial" w:cs="Arial" w:eastAsia="Arial" w:hAnsi="Arial"/>
          <w:sz w:val="22"/>
          <w:szCs w:val="22"/>
        </w:rPr>
        <w:t xml:space="preserve">Public IP registry. Fair dealing applicable to non-commercial research. Commercial use permitted for legitimate business.</w:t>
      </w:r>
    </w:p>
    <w:p>
      <w:pPr>
        <w:spacing w:after="80"/>
      </w:pPr>
      <w:r>
        <w:rPr>
          <w:rFonts w:ascii="Arial" w:cs="Arial" w:eastAsia="Arial" w:hAnsi="Arial"/>
          <w:b/>
          <w:bCs/>
          <w:sz w:val="22"/>
          <w:szCs w:val="22"/>
        </w:rPr>
        <w:t xml:space="preserve">Technical Complexity: </w:t>
      </w:r>
      <w:r>
        <w:rPr>
          <w:rFonts w:ascii="Arial" w:cs="Arial" w:eastAsia="Arial" w:hAnsi="Arial"/>
          <w:sz w:val="22"/>
          <w:szCs w:val="22"/>
        </w:rPr>
        <w:t xml:space="preserve">Easy (web search and bulk download)</w:t>
      </w:r>
    </w:p>
    <w:p>
      <w:pPr>
        <w:spacing w:after="200"/>
      </w:pPr>
    </w:p>
    <w:p>
      <w:pPr>
        <w:pStyle w:val="Heading3"/>
      </w:pPr>
      <w:r>
        <w:t xml:space="preserve">CanLII (Canadian Legal Information Institute)</w:t>
      </w:r>
    </w:p>
    <w:p>
      <w:pPr>
        <w:spacing w:after="80"/>
      </w:pPr>
      <w:r>
        <w:rPr>
          <w:rFonts w:ascii="Arial" w:cs="Arial" w:eastAsia="Arial" w:hAnsi="Arial"/>
          <w:b/>
          <w:bCs/>
          <w:sz w:val="22"/>
          <w:szCs w:val="22"/>
        </w:rPr>
        <w:t xml:space="preserve">URL: </w:t>
      </w:r>
      <w:r>
        <w:rPr>
          <w:rFonts w:ascii="Arial" w:cs="Arial" w:eastAsia="Arial" w:hAnsi="Arial"/>
          <w:sz w:val="22"/>
          <w:szCs w:val="22"/>
        </w:rPr>
        <w:t xml:space="preserve">https://www.canlii.org/en/ | API: https://github.com/canlii/API_documentation</w:t>
      </w:r>
    </w:p>
    <w:p>
      <w:pPr>
        <w:spacing w:after="80"/>
      </w:pPr>
      <w:r>
        <w:rPr>
          <w:rFonts w:ascii="Arial" w:cs="Arial" w:eastAsia="Arial" w:hAnsi="Arial"/>
          <w:b/>
          <w:bCs/>
          <w:sz w:val="22"/>
          <w:szCs w:val="22"/>
        </w:rPr>
        <w:t xml:space="preserve">Volume: </w:t>
      </w:r>
      <w:r>
        <w:rPr>
          <w:rFonts w:ascii="Arial" w:cs="Arial" w:eastAsia="Arial" w:hAnsi="Arial"/>
          <w:sz w:val="22"/>
          <w:szCs w:val="22"/>
        </w:rPr>
        <w:t xml:space="preserve">Over 1 million linked and searchable documents from 200+ collections</w:t>
      </w:r>
    </w:p>
    <w:p>
      <w:pPr>
        <w:spacing w:after="80"/>
      </w:pPr>
      <w:r>
        <w:rPr>
          <w:rFonts w:ascii="Arial" w:cs="Arial" w:eastAsia="Arial" w:hAnsi="Arial"/>
          <w:b/>
          <w:bCs/>
          <w:sz w:val="22"/>
          <w:szCs w:val="22"/>
        </w:rPr>
        <w:t xml:space="preserve">Access Method: </w:t>
      </w:r>
      <w:r>
        <w:rPr>
          <w:rFonts w:ascii="Arial" w:cs="Arial" w:eastAsia="Arial" w:hAnsi="Arial"/>
          <w:sz w:val="22"/>
          <w:szCs w:val="22"/>
        </w:rPr>
        <w:t xml:space="preserve">Web search (free); REST HTTP API (read-only, requires API key, max 10MB transfers, max 10,000 results/query); Bulk/commercial licensing restricted.</w:t>
      </w:r>
    </w:p>
    <w:p>
      <w:pPr>
        <w:spacing w:after="80"/>
      </w:pPr>
      <w:r>
        <w:rPr>
          <w:rFonts w:ascii="Arial" w:cs="Arial" w:eastAsia="Arial" w:hAnsi="Arial"/>
          <w:b/>
          <w:bCs/>
          <w:sz w:val="22"/>
          <w:szCs w:val="22"/>
        </w:rPr>
        <w:t xml:space="preserve">Data Format: </w:t>
      </w:r>
      <w:r>
        <w:rPr>
          <w:rFonts w:ascii="Arial" w:cs="Arial" w:eastAsia="Arial" w:hAnsi="Arial"/>
          <w:sz w:val="22"/>
          <w:szCs w:val="22"/>
        </w:rPr>
        <w:t xml:space="preserve">JSON (API), HTML (web)</w:t>
      </w:r>
    </w:p>
    <w:p>
      <w:pPr>
        <w:spacing w:after="80"/>
      </w:pPr>
      <w:r>
        <w:rPr>
          <w:rFonts w:ascii="Arial" w:cs="Arial" w:eastAsia="Arial" w:hAnsi="Arial"/>
          <w:b/>
          <w:bCs/>
          <w:sz w:val="22"/>
          <w:szCs w:val="22"/>
        </w:rPr>
        <w:t xml:space="preserve">Update Frequency: </w:t>
      </w:r>
      <w:r>
        <w:rPr>
          <w:rFonts w:ascii="Arial" w:cs="Arial" w:eastAsia="Arial" w:hAnsi="Arial"/>
          <w:sz w:val="22"/>
          <w:szCs w:val="22"/>
        </w:rPr>
        <w:t xml:space="preserve">Daily</w:t>
      </w:r>
    </w:p>
    <w:p>
      <w:pPr>
        <w:spacing w:after="80"/>
      </w:pPr>
      <w:r>
        <w:rPr>
          <w:rFonts w:ascii="Arial" w:cs="Arial" w:eastAsia="Arial" w:hAnsi="Arial"/>
          <w:b/>
          <w:bCs/>
          <w:sz w:val="22"/>
          <w:szCs w:val="22"/>
        </w:rPr>
        <w:t xml:space="preserve">Cost: </w:t>
      </w:r>
      <w:r>
        <w:rPr>
          <w:rFonts w:ascii="Arial" w:cs="Arial" w:eastAsia="Arial" w:hAnsi="Arial"/>
          <w:sz w:val="22"/>
          <w:szCs w:val="22"/>
        </w:rPr>
        <w:t xml:space="preserve">Free web search; Free API access (must apply); Bulk commercial licensing restricted</w:t>
      </w:r>
    </w:p>
    <w:p>
      <w:pPr>
        <w:spacing w:after="80"/>
      </w:pPr>
      <w:r>
        <w:rPr>
          <w:rFonts w:ascii="Arial" w:cs="Arial" w:eastAsia="Arial" w:hAnsi="Arial"/>
          <w:b/>
          <w:bCs/>
          <w:sz w:val="22"/>
          <w:szCs w:val="22"/>
        </w:rPr>
        <w:t xml:space="preserve">Language: </w:t>
      </w:r>
      <w:r>
        <w:rPr>
          <w:rFonts w:ascii="Arial" w:cs="Arial" w:eastAsia="Arial" w:hAnsi="Arial"/>
          <w:sz w:val="22"/>
          <w:szCs w:val="22"/>
        </w:rPr>
        <w:t xml:space="preserve">English and French</w:t>
      </w:r>
    </w:p>
    <w:p>
      <w:pPr>
        <w:spacing w:after="80"/>
      </w:pPr>
      <w:r>
        <w:rPr>
          <w:rFonts w:ascii="Arial" w:cs="Arial" w:eastAsia="Arial" w:hAnsi="Arial"/>
          <w:b/>
          <w:bCs/>
          <w:sz w:val="22"/>
          <w:szCs w:val="22"/>
        </w:rPr>
        <w:t xml:space="preserve">Legal Analysis: </w:t>
      </w:r>
      <w:r>
        <w:rPr>
          <w:rFonts w:ascii="Arial" w:cs="Arial" w:eastAsia="Arial" w:hAnsi="Arial"/>
          <w:sz w:val="22"/>
          <w:szCs w:val="22"/>
        </w:rPr>
        <w:t xml:space="preserve">Constrained by licensing from most restrictive contributing court. Scraping prohibited. Canadian Judicial Council guidelines set framework for commercial bulk access.</w:t>
      </w:r>
    </w:p>
    <w:p>
      <w:pPr>
        <w:spacing w:after="80"/>
      </w:pPr>
      <w:r>
        <w:rPr>
          <w:rFonts w:ascii="Arial" w:cs="Arial" w:eastAsia="Arial" w:hAnsi="Arial"/>
          <w:b/>
          <w:bCs/>
          <w:sz w:val="22"/>
          <w:szCs w:val="22"/>
        </w:rPr>
        <w:t xml:space="preserve">Technical Complexity: </w:t>
      </w:r>
      <w:r>
        <w:rPr>
          <w:rFonts w:ascii="Arial" w:cs="Arial" w:eastAsia="Arial" w:hAnsi="Arial"/>
          <w:sz w:val="22"/>
          <w:szCs w:val="22"/>
        </w:rPr>
        <w:t xml:space="preserve">Medium (REST API with registration; bulk access restricted)</w:t>
      </w:r>
    </w:p>
    <w:p>
      <w:pPr>
        <w:spacing w:after="200"/>
      </w:pPr>
    </w:p>
    <w:p>
      <w:pPr>
        <w:pStyle w:val="Heading3"/>
      </w:pPr>
      <w:r>
        <w:t xml:space="preserve">Provincial Business Registries</w:t>
      </w:r>
    </w:p>
    <w:p>
      <w:pPr>
        <w:spacing w:after="80"/>
      </w:pPr>
      <w:r>
        <w:rPr>
          <w:rFonts w:ascii="Arial" w:cs="Arial" w:eastAsia="Arial" w:hAnsi="Arial"/>
          <w:b/>
          <w:bCs/>
          <w:sz w:val="22"/>
          <w:szCs w:val="22"/>
        </w:rPr>
        <w:t xml:space="preserve">URL: </w:t>
      </w:r>
      <w:r>
        <w:rPr>
          <w:rFonts w:ascii="Arial" w:cs="Arial" w:eastAsia="Arial" w:hAnsi="Arial"/>
          <w:sz w:val="22"/>
          <w:szCs w:val="22"/>
        </w:rPr>
        <w:t xml:space="preserve">Ontario: https://www.ontario.ca/page/ontario-business-registry | BC: gov.bc.ca | Alberta: alberta.ca | Federal aggregator: https://ised-isde.canada.ca/cbr-rec/</w:t>
      </w:r>
    </w:p>
    <w:p>
      <w:pPr>
        <w:spacing w:after="80"/>
      </w:pPr>
      <w:r>
        <w:rPr>
          <w:rFonts w:ascii="Arial" w:cs="Arial" w:eastAsia="Arial" w:hAnsi="Arial"/>
          <w:b/>
          <w:bCs/>
          <w:sz w:val="22"/>
          <w:szCs w:val="22"/>
        </w:rPr>
        <w:t xml:space="preserve">Volume: </w:t>
      </w:r>
      <w:r>
        <w:rPr>
          <w:rFonts w:ascii="Arial" w:cs="Arial" w:eastAsia="Arial" w:hAnsi="Arial"/>
          <w:sz w:val="22"/>
          <w:szCs w:val="22"/>
        </w:rPr>
        <w:t xml:space="preserve">Ontario 2M+, BC 1M+, Alberta 1M+ companies</w:t>
      </w:r>
    </w:p>
    <w:p>
      <w:pPr>
        <w:spacing w:after="80"/>
      </w:pPr>
      <w:r>
        <w:rPr>
          <w:rFonts w:ascii="Arial" w:cs="Arial" w:eastAsia="Arial" w:hAnsi="Arial"/>
          <w:b/>
          <w:bCs/>
          <w:sz w:val="22"/>
          <w:szCs w:val="22"/>
        </w:rPr>
        <w:t xml:space="preserve">Access Method: </w:t>
      </w:r>
      <w:r>
        <w:rPr>
          <w:rFonts w:ascii="Arial" w:cs="Arial" w:eastAsia="Arial" w:hAnsi="Arial"/>
          <w:sz w:val="22"/>
          <w:szCs w:val="22"/>
        </w:rPr>
        <w:t xml:space="preserve">Fragmented provincial systems. Ontario free basic search ($3-8 for docs). BC Online portal ($7/search). Alberta free via registry agents. MRAS federal aggregator. Third-party aggregators (Kyckr) provide multi-province API access.</w:t>
      </w:r>
    </w:p>
    <w:p>
      <w:pPr>
        <w:spacing w:after="80"/>
      </w:pPr>
      <w:r>
        <w:rPr>
          <w:rFonts w:ascii="Arial" w:cs="Arial" w:eastAsia="Arial" w:hAnsi="Arial"/>
          <w:b/>
          <w:bCs/>
          <w:sz w:val="22"/>
          <w:szCs w:val="22"/>
        </w:rPr>
        <w:t xml:space="preserve">Data Format: </w:t>
      </w:r>
      <w:r>
        <w:rPr>
          <w:rFonts w:ascii="Arial" w:cs="Arial" w:eastAsia="Arial" w:hAnsi="Arial"/>
          <w:sz w:val="22"/>
          <w:szCs w:val="22"/>
        </w:rPr>
        <w:t xml:space="preserve">Web/Download per province</w:t>
      </w:r>
    </w:p>
    <w:p>
      <w:pPr>
        <w:spacing w:after="80"/>
      </w:pPr>
      <w:r>
        <w:rPr>
          <w:rFonts w:ascii="Arial" w:cs="Arial" w:eastAsia="Arial" w:hAnsi="Arial"/>
          <w:b/>
          <w:bCs/>
          <w:sz w:val="22"/>
          <w:szCs w:val="22"/>
        </w:rPr>
        <w:t xml:space="preserve">Update Frequency: </w:t>
      </w:r>
      <w:r>
        <w:rPr>
          <w:rFonts w:ascii="Arial" w:cs="Arial" w:eastAsia="Arial" w:hAnsi="Arial"/>
          <w:sz w:val="22"/>
          <w:szCs w:val="22"/>
        </w:rPr>
        <w:t xml:space="preserve">Real-time per province</w:t>
      </w:r>
    </w:p>
    <w:p>
      <w:pPr>
        <w:spacing w:after="80"/>
      </w:pPr>
      <w:r>
        <w:rPr>
          <w:rFonts w:ascii="Arial" w:cs="Arial" w:eastAsia="Arial" w:hAnsi="Arial"/>
          <w:b/>
          <w:bCs/>
          <w:sz w:val="22"/>
          <w:szCs w:val="22"/>
        </w:rPr>
        <w:t xml:space="preserve">Cost: </w:t>
      </w:r>
      <w:r>
        <w:rPr>
          <w:rFonts w:ascii="Arial" w:cs="Arial" w:eastAsia="Arial" w:hAnsi="Arial"/>
          <w:sz w:val="22"/>
          <w:szCs w:val="22"/>
        </w:rPr>
        <w:t xml:space="preserve">Free to $7/search depending on province</w:t>
      </w:r>
    </w:p>
    <w:p>
      <w:pPr>
        <w:spacing w:after="80"/>
      </w:pPr>
      <w:r>
        <w:rPr>
          <w:rFonts w:ascii="Arial" w:cs="Arial" w:eastAsia="Arial" w:hAnsi="Arial"/>
          <w:b/>
          <w:bCs/>
          <w:sz w:val="22"/>
          <w:szCs w:val="22"/>
        </w:rPr>
        <w:t xml:space="preserve">Language: </w:t>
      </w:r>
      <w:r>
        <w:rPr>
          <w:rFonts w:ascii="Arial" w:cs="Arial" w:eastAsia="Arial" w:hAnsi="Arial"/>
          <w:sz w:val="22"/>
          <w:szCs w:val="22"/>
        </w:rPr>
        <w:t xml:space="preserve">English (Ontario, BC, Alberta); French (Quebec)</w:t>
      </w:r>
    </w:p>
    <w:p>
      <w:pPr>
        <w:spacing w:after="80"/>
      </w:pPr>
      <w:r>
        <w:rPr>
          <w:rFonts w:ascii="Arial" w:cs="Arial" w:eastAsia="Arial" w:hAnsi="Arial"/>
          <w:b/>
          <w:bCs/>
          <w:sz w:val="22"/>
          <w:szCs w:val="22"/>
        </w:rPr>
        <w:t xml:space="preserve">Legal Analysis: </w:t>
      </w:r>
      <w:r>
        <w:rPr>
          <w:rFonts w:ascii="Arial" w:cs="Arial" w:eastAsia="Arial" w:hAnsi="Arial"/>
          <w:sz w:val="22"/>
          <w:szCs w:val="22"/>
        </w:rPr>
        <w:t xml:space="preserve">Provincial jurisdiction over business registration. Commercial use of public registry data permitted. Privacy Act (federal) and provincial privacy laws apply.</w:t>
      </w:r>
    </w:p>
    <w:p>
      <w:pPr>
        <w:spacing w:after="80"/>
      </w:pPr>
      <w:r>
        <w:rPr>
          <w:rFonts w:ascii="Arial" w:cs="Arial" w:eastAsia="Arial" w:hAnsi="Arial"/>
          <w:b/>
          <w:bCs/>
          <w:sz w:val="22"/>
          <w:szCs w:val="22"/>
        </w:rPr>
        <w:t xml:space="preserve">Technical Complexity: </w:t>
      </w:r>
      <w:r>
        <w:rPr>
          <w:rFonts w:ascii="Arial" w:cs="Arial" w:eastAsia="Arial" w:hAnsi="Arial"/>
          <w:sz w:val="22"/>
          <w:szCs w:val="22"/>
        </w:rPr>
        <w:t xml:space="preserve">Medium-Hard (fragmented systems; third-party aggregation recommended)</w:t>
      </w:r>
    </w:p>
    <w:p>
      <w:pPr>
        <w:spacing w:after="200"/>
      </w:pPr>
    </w:p>
    <w:p>
      <w:pPr>
        <w:pStyle w:val="Heading3"/>
      </w:pPr>
      <w:r>
        <w:t xml:space="preserve">OSFI (Office of the Superintendent of Financial Institutions)</w:t>
      </w:r>
    </w:p>
    <w:p>
      <w:pPr>
        <w:spacing w:after="80"/>
      </w:pPr>
      <w:r>
        <w:rPr>
          <w:rFonts w:ascii="Arial" w:cs="Arial" w:eastAsia="Arial" w:hAnsi="Arial"/>
          <w:b/>
          <w:bCs/>
          <w:sz w:val="22"/>
          <w:szCs w:val="22"/>
        </w:rPr>
        <w:t xml:space="preserve">URL: </w:t>
      </w:r>
      <w:r>
        <w:rPr>
          <w:rFonts w:ascii="Arial" w:cs="Arial" w:eastAsia="Arial" w:hAnsi="Arial"/>
          <w:sz w:val="22"/>
          <w:szCs w:val="22"/>
        </w:rPr>
        <w:t xml:space="preserve">https://www.osfi-bsif.gc.ca/en/ | Open Data: https://open.canada.ca/data/en/organization/osfi-bsif | API: ws.osfi-bsif.gc.ca</w:t>
      </w:r>
    </w:p>
    <w:p>
      <w:pPr>
        <w:spacing w:after="80"/>
      </w:pPr>
      <w:r>
        <w:rPr>
          <w:rFonts w:ascii="Arial" w:cs="Arial" w:eastAsia="Arial" w:hAnsi="Arial"/>
          <w:b/>
          <w:bCs/>
          <w:sz w:val="22"/>
          <w:szCs w:val="22"/>
        </w:rPr>
        <w:t xml:space="preserve">Volume: </w:t>
      </w:r>
      <w:r>
        <w:rPr>
          <w:rFonts w:ascii="Arial" w:cs="Arial" w:eastAsia="Arial" w:hAnsi="Arial"/>
          <w:sz w:val="22"/>
          <w:szCs w:val="22"/>
        </w:rPr>
        <w:t xml:space="preserve">400+ federally regulated financial institutions (banks, insurers, trust companies); 1,200+ private pension plans</w:t>
      </w:r>
    </w:p>
    <w:p>
      <w:pPr>
        <w:spacing w:after="80"/>
      </w:pPr>
      <w:r>
        <w:rPr>
          <w:rFonts w:ascii="Arial" w:cs="Arial" w:eastAsia="Arial" w:hAnsi="Arial"/>
          <w:b/>
          <w:bCs/>
          <w:sz w:val="22"/>
          <w:szCs w:val="22"/>
        </w:rPr>
        <w:t xml:space="preserve">Access Method: </w:t>
      </w:r>
      <w:r>
        <w:rPr>
          <w:rFonts w:ascii="Arial" w:cs="Arial" w:eastAsia="Arial" w:hAnsi="Arial"/>
          <w:sz w:val="22"/>
          <w:szCs w:val="22"/>
        </w:rPr>
        <w:t xml:space="preserve">Open Government Canada portal (free download); Web search; API access via ws.osfi-bsif.gc.ca</w:t>
      </w:r>
    </w:p>
    <w:p>
      <w:pPr>
        <w:spacing w:after="80"/>
      </w:pPr>
      <w:r>
        <w:rPr>
          <w:rFonts w:ascii="Arial" w:cs="Arial" w:eastAsia="Arial" w:hAnsi="Arial"/>
          <w:b/>
          <w:bCs/>
          <w:sz w:val="22"/>
          <w:szCs w:val="22"/>
        </w:rPr>
        <w:t xml:space="preserve">Data Format: </w:t>
      </w:r>
      <w:r>
        <w:rPr>
          <w:rFonts w:ascii="Arial" w:cs="Arial" w:eastAsia="Arial" w:hAnsi="Arial"/>
          <w:sz w:val="22"/>
          <w:szCs w:val="22"/>
        </w:rPr>
        <w:t xml:space="preserve">CSV, JSON-compatible</w:t>
      </w:r>
    </w:p>
    <w:p>
      <w:pPr>
        <w:spacing w:after="80"/>
      </w:pPr>
      <w:r>
        <w:rPr>
          <w:rFonts w:ascii="Arial" w:cs="Arial" w:eastAsia="Arial" w:hAnsi="Arial"/>
          <w:b/>
          <w:bCs/>
          <w:sz w:val="22"/>
          <w:szCs w:val="22"/>
        </w:rPr>
        <w:t xml:space="preserve">Update Frequency: </w:t>
      </w:r>
      <w:r>
        <w:rPr>
          <w:rFonts w:ascii="Arial" w:cs="Arial" w:eastAsia="Arial" w:hAnsi="Arial"/>
          <w:sz w:val="22"/>
          <w:szCs w:val="22"/>
        </w:rPr>
        <w:t xml:space="preserve">Daily</w:t>
      </w:r>
    </w:p>
    <w:p>
      <w:pPr>
        <w:spacing w:after="80"/>
      </w:pPr>
      <w:r>
        <w:rPr>
          <w:rFonts w:ascii="Arial" w:cs="Arial" w:eastAsia="Arial" w:hAnsi="Arial"/>
          <w:b/>
          <w:bCs/>
          <w:sz w:val="22"/>
          <w:szCs w:val="22"/>
        </w:rPr>
        <w:t xml:space="preserve">Cost: </w:t>
      </w:r>
      <w:r>
        <w:rPr>
          <w:rFonts w:ascii="Arial" w:cs="Arial" w:eastAsia="Arial" w:hAnsi="Arial"/>
          <w:sz w:val="22"/>
          <w:szCs w:val="22"/>
        </w:rPr>
        <w:t xml:space="preserve">Free public access</w:t>
      </w:r>
    </w:p>
    <w:p>
      <w:pPr>
        <w:spacing w:after="80"/>
      </w:pPr>
      <w:r>
        <w:rPr>
          <w:rFonts w:ascii="Arial" w:cs="Arial" w:eastAsia="Arial" w:hAnsi="Arial"/>
          <w:b/>
          <w:bCs/>
          <w:sz w:val="22"/>
          <w:szCs w:val="22"/>
        </w:rPr>
        <w:t xml:space="preserve">Language: </w:t>
      </w:r>
      <w:r>
        <w:rPr>
          <w:rFonts w:ascii="Arial" w:cs="Arial" w:eastAsia="Arial" w:hAnsi="Arial"/>
          <w:sz w:val="22"/>
          <w:szCs w:val="22"/>
        </w:rPr>
        <w:t xml:space="preserve">English and French (bilingual)</w:t>
      </w:r>
    </w:p>
    <w:p>
      <w:pPr>
        <w:spacing w:after="80"/>
      </w:pPr>
      <w:r>
        <w:rPr>
          <w:rFonts w:ascii="Arial" w:cs="Arial" w:eastAsia="Arial" w:hAnsi="Arial"/>
          <w:b/>
          <w:bCs/>
          <w:sz w:val="22"/>
          <w:szCs w:val="22"/>
        </w:rPr>
        <w:t xml:space="preserve">Legal Analysis: </w:t>
      </w:r>
      <w:r>
        <w:rPr>
          <w:rFonts w:ascii="Arial" w:cs="Arial" w:eastAsia="Arial" w:hAnsi="Arial"/>
          <w:sz w:val="22"/>
          <w:szCs w:val="22"/>
        </w:rPr>
        <w:t xml:space="preserve">Regulatory disclosure. Public data under Open Government initiative. No commercial restriction.</w:t>
      </w:r>
    </w:p>
    <w:p>
      <w:pPr>
        <w:spacing w:after="80"/>
      </w:pPr>
      <w:r>
        <w:rPr>
          <w:rFonts w:ascii="Arial" w:cs="Arial" w:eastAsia="Arial" w:hAnsi="Arial"/>
          <w:b/>
          <w:bCs/>
          <w:sz w:val="22"/>
          <w:szCs w:val="22"/>
        </w:rPr>
        <w:t xml:space="preserve">Technical Complexity: </w:t>
      </w:r>
      <w:r>
        <w:rPr>
          <w:rFonts w:ascii="Arial" w:cs="Arial" w:eastAsia="Arial" w:hAnsi="Arial"/>
          <w:sz w:val="22"/>
          <w:szCs w:val="22"/>
        </w:rPr>
        <w:t xml:space="preserve">Easy (web search/download); Medium (API integration)</w:t>
      </w:r>
    </w:p>
    <w:p>
      <w:pPr>
        <w:spacing w:after="200"/>
      </w:pPr>
    </w:p>
    <w:p>
      <w:r>
        <w:br w:type="page"/>
      </w:r>
    </w:p>
    <w:p>
      <w:pPr>
        <w:pStyle w:val="Heading1"/>
      </w:pPr>
      <w:r>
        <w:t xml:space="preserve">Chapter 3: Latin America</w:t>
      </w:r>
    </w:p>
    <w:p>
      <w:pPr>
        <w:spacing w:after="120"/>
      </w:pPr>
      <w:r>
        <w:rPr>
          <w:rFonts w:ascii="Arial" w:cs="Arial" w:eastAsia="Arial" w:hAnsi="Arial"/>
          <w:sz w:val="22"/>
          <w:szCs w:val="22"/>
        </w:rPr>
        <w:t xml:space="preserve">Latin America presents a diverse data landscape with varying levels of digital maturity. Brazil leads with open data initiatives (CVM, DOU) and is the largest market. Chile stands out with a well-documented CMF API. Most IP offices across the region lack formal APIs, requiring web-based access. Data protection laws are converging toward GDPR-style frameworks (LGPD in Brazil, Law 21.719 in Chile).</w:t>
      </w:r>
    </w:p>
    <w:p>
      <w:pPr>
        <w:pStyle w:val="Heading2"/>
      </w:pPr>
      <w:r>
        <w:t xml:space="preserve">Brazil</w:t>
      </w:r>
    </w:p>
    <w:p>
      <w:pPr>
        <w:pStyle w:val="Heading3"/>
      </w:pPr>
      <w:r>
        <w:t xml:space="preserve">CVM (Comissão de Valores Mobiliários) - Securities</w:t>
      </w:r>
    </w:p>
    <w:p>
      <w:pPr>
        <w:spacing w:after="80"/>
      </w:pPr>
      <w:r>
        <w:rPr>
          <w:rFonts w:ascii="Arial" w:cs="Arial" w:eastAsia="Arial" w:hAnsi="Arial"/>
          <w:b/>
          <w:bCs/>
          <w:sz w:val="22"/>
          <w:szCs w:val="22"/>
        </w:rPr>
        <w:t xml:space="preserve">URL: </w:t>
      </w:r>
      <w:r>
        <w:rPr>
          <w:rFonts w:ascii="Arial" w:cs="Arial" w:eastAsia="Arial" w:hAnsi="Arial"/>
          <w:sz w:val="22"/>
          <w:szCs w:val="22"/>
        </w:rPr>
        <w:t xml:space="preserve">https://www.gov.br/cvm/pt-br | Open Data: https://dados.cvm.gov.br/dataset/</w:t>
      </w:r>
    </w:p>
    <w:p>
      <w:pPr>
        <w:spacing w:after="80"/>
      </w:pPr>
      <w:r>
        <w:rPr>
          <w:rFonts w:ascii="Arial" w:cs="Arial" w:eastAsia="Arial" w:hAnsi="Arial"/>
          <w:b/>
          <w:bCs/>
          <w:sz w:val="22"/>
          <w:szCs w:val="22"/>
        </w:rPr>
        <w:t xml:space="preserve">Volume: </w:t>
      </w:r>
      <w:r>
        <w:rPr>
          <w:rFonts w:ascii="Arial" w:cs="Arial" w:eastAsia="Arial" w:hAnsi="Arial"/>
          <w:sz w:val="22"/>
          <w:szCs w:val="22"/>
        </w:rPr>
        <w:t xml:space="preserve">All listed company filings; large volume of real-time market data and historical filings</w:t>
      </w:r>
    </w:p>
    <w:p>
      <w:pPr>
        <w:spacing w:after="80"/>
      </w:pPr>
      <w:r>
        <w:rPr>
          <w:rFonts w:ascii="Arial" w:cs="Arial" w:eastAsia="Arial" w:hAnsi="Arial"/>
          <w:b/>
          <w:bCs/>
          <w:sz w:val="22"/>
          <w:szCs w:val="22"/>
        </w:rPr>
        <w:t xml:space="preserve">Access Method: </w:t>
      </w:r>
      <w:r>
        <w:rPr>
          <w:rFonts w:ascii="Arial" w:cs="Arial" w:eastAsia="Arial" w:hAnsi="Arial"/>
          <w:sz w:val="22"/>
          <w:szCs w:val="22"/>
        </w:rPr>
        <w:t xml:space="preserve">API via open data portal; Web-based filing systems; Bulk data download</w:t>
      </w:r>
    </w:p>
    <w:p>
      <w:pPr>
        <w:spacing w:after="80"/>
      </w:pPr>
      <w:r>
        <w:rPr>
          <w:rFonts w:ascii="Arial" w:cs="Arial" w:eastAsia="Arial" w:hAnsi="Arial"/>
          <w:b/>
          <w:bCs/>
          <w:sz w:val="22"/>
          <w:szCs w:val="22"/>
        </w:rPr>
        <w:t xml:space="preserve">Data Format: </w:t>
      </w:r>
      <w:r>
        <w:rPr>
          <w:rFonts w:ascii="Arial" w:cs="Arial" w:eastAsia="Arial" w:hAnsi="Arial"/>
          <w:sz w:val="22"/>
          <w:szCs w:val="22"/>
        </w:rPr>
        <w:t xml:space="preserve">XML, JSON, CSV via open data portal</w:t>
      </w:r>
    </w:p>
    <w:p>
      <w:pPr>
        <w:spacing w:after="80"/>
      </w:pPr>
      <w:r>
        <w:rPr>
          <w:rFonts w:ascii="Arial" w:cs="Arial" w:eastAsia="Arial" w:hAnsi="Arial"/>
          <w:b/>
          <w:bCs/>
          <w:sz w:val="22"/>
          <w:szCs w:val="22"/>
        </w:rPr>
        <w:t xml:space="preserve">Update Frequency: </w:t>
      </w:r>
      <w:r>
        <w:rPr>
          <w:rFonts w:ascii="Arial" w:cs="Arial" w:eastAsia="Arial" w:hAnsi="Arial"/>
          <w:sz w:val="22"/>
          <w:szCs w:val="22"/>
        </w:rPr>
        <w:t xml:space="preserve">Real-time for market data; monthly aggregations for open data</w:t>
      </w:r>
    </w:p>
    <w:p>
      <w:pPr>
        <w:spacing w:after="80"/>
      </w:pPr>
      <w:r>
        <w:rPr>
          <w:rFonts w:ascii="Arial" w:cs="Arial" w:eastAsia="Arial" w:hAnsi="Arial"/>
          <w:b/>
          <w:bCs/>
          <w:sz w:val="22"/>
          <w:szCs w:val="22"/>
        </w:rPr>
        <w:t xml:space="preserve">Cost: </w:t>
      </w:r>
      <w:r>
        <w:rPr>
          <w:rFonts w:ascii="Arial" w:cs="Arial" w:eastAsia="Arial" w:hAnsi="Arial"/>
          <w:sz w:val="22"/>
          <w:szCs w:val="22"/>
        </w:rPr>
        <w:t xml:space="preserve">Free for open data access</w:t>
      </w:r>
    </w:p>
    <w:p>
      <w:pPr>
        <w:spacing w:after="80"/>
      </w:pPr>
      <w:r>
        <w:rPr>
          <w:rFonts w:ascii="Arial" w:cs="Arial" w:eastAsia="Arial" w:hAnsi="Arial"/>
          <w:b/>
          <w:bCs/>
          <w:sz w:val="22"/>
          <w:szCs w:val="22"/>
        </w:rPr>
        <w:t xml:space="preserve">Language: </w:t>
      </w:r>
      <w:r>
        <w:rPr>
          <w:rFonts w:ascii="Arial" w:cs="Arial" w:eastAsia="Arial" w:hAnsi="Arial"/>
          <w:sz w:val="22"/>
          <w:szCs w:val="22"/>
        </w:rPr>
        <w:t xml:space="preserve">Portuguese (primary); limited English</w:t>
      </w:r>
    </w:p>
    <w:p>
      <w:pPr>
        <w:spacing w:after="80"/>
      </w:pPr>
      <w:r>
        <w:rPr>
          <w:rFonts w:ascii="Arial" w:cs="Arial" w:eastAsia="Arial" w:hAnsi="Arial"/>
          <w:b/>
          <w:bCs/>
          <w:sz w:val="22"/>
          <w:szCs w:val="22"/>
        </w:rPr>
        <w:t xml:space="preserve">Legal Analysis: </w:t>
      </w:r>
      <w:r>
        <w:rPr>
          <w:rFonts w:ascii="Arial" w:cs="Arial" w:eastAsia="Arial" w:hAnsi="Arial"/>
          <w:sz w:val="22"/>
          <w:szCs w:val="22"/>
        </w:rPr>
        <w:t xml:space="preserve">LGPD (Lei Geral de Proteção de Dados). Securities regulation under Law 6,385/1976. Mandatory disclosure for listed companies.</w:t>
      </w:r>
    </w:p>
    <w:p>
      <w:pPr>
        <w:spacing w:after="80"/>
      </w:pPr>
      <w:r>
        <w:rPr>
          <w:rFonts w:ascii="Arial" w:cs="Arial" w:eastAsia="Arial" w:hAnsi="Arial"/>
          <w:b/>
          <w:bCs/>
          <w:sz w:val="22"/>
          <w:szCs w:val="22"/>
        </w:rPr>
        <w:t xml:space="preserve">Technical Complexity: </w:t>
      </w:r>
      <w:r>
        <w:rPr>
          <w:rFonts w:ascii="Arial" w:cs="Arial" w:eastAsia="Arial" w:hAnsi="Arial"/>
          <w:sz w:val="22"/>
          <w:szCs w:val="22"/>
        </w:rPr>
        <w:t xml:space="preserve">Low-Medium (REST API, standard authentication)</w:t>
      </w:r>
    </w:p>
    <w:p>
      <w:pPr>
        <w:spacing w:after="200"/>
      </w:pPr>
    </w:p>
    <w:p>
      <w:pPr>
        <w:pStyle w:val="Heading3"/>
      </w:pPr>
      <w:r>
        <w:t xml:space="preserve">INPI Brazil (Patents/Trademarks)</w:t>
      </w:r>
    </w:p>
    <w:p>
      <w:pPr>
        <w:spacing w:after="80"/>
      </w:pPr>
      <w:r>
        <w:rPr>
          <w:rFonts w:ascii="Arial" w:cs="Arial" w:eastAsia="Arial" w:hAnsi="Arial"/>
          <w:b/>
          <w:bCs/>
          <w:sz w:val="22"/>
          <w:szCs w:val="22"/>
        </w:rPr>
        <w:t xml:space="preserve">URL: </w:t>
      </w:r>
      <w:r>
        <w:rPr>
          <w:rFonts w:ascii="Arial" w:cs="Arial" w:eastAsia="Arial" w:hAnsi="Arial"/>
          <w:sz w:val="22"/>
          <w:szCs w:val="22"/>
        </w:rPr>
        <w:t xml:space="preserve">https://www.gov.br/inpi/en | WIPO integration for 5M+ trademark records</w:t>
      </w:r>
    </w:p>
    <w:p>
      <w:pPr>
        <w:spacing w:after="80"/>
      </w:pPr>
      <w:r>
        <w:rPr>
          <w:rFonts w:ascii="Arial" w:cs="Arial" w:eastAsia="Arial" w:hAnsi="Arial"/>
          <w:b/>
          <w:bCs/>
          <w:sz w:val="22"/>
          <w:szCs w:val="22"/>
        </w:rPr>
        <w:t xml:space="preserve">Volume: </w:t>
      </w:r>
      <w:r>
        <w:rPr>
          <w:rFonts w:ascii="Arial" w:cs="Arial" w:eastAsia="Arial" w:hAnsi="Arial"/>
          <w:sz w:val="22"/>
          <w:szCs w:val="22"/>
        </w:rPr>
        <w:t xml:space="preserve">504,461 trademark applications (2025, record year); 29,557 patent applications (2025, +6.7%); millions cumulative since 1970</w:t>
      </w:r>
    </w:p>
    <w:p>
      <w:pPr>
        <w:spacing w:after="80"/>
      </w:pPr>
      <w:r>
        <w:rPr>
          <w:rFonts w:ascii="Arial" w:cs="Arial" w:eastAsia="Arial" w:hAnsi="Arial"/>
          <w:b/>
          <w:bCs/>
          <w:sz w:val="22"/>
          <w:szCs w:val="22"/>
        </w:rPr>
        <w:t xml:space="preserve">Access Method: </w:t>
      </w:r>
      <w:r>
        <w:rPr>
          <w:rFonts w:ascii="Arial" w:cs="Arial" w:eastAsia="Arial" w:hAnsi="Arial"/>
          <w:sz w:val="22"/>
          <w:szCs w:val="22"/>
        </w:rPr>
        <w:t xml:space="preserve">BuscaWeb web interface (login/password required); Manual search and download. No programmatic API.</w:t>
      </w:r>
    </w:p>
    <w:p>
      <w:pPr>
        <w:spacing w:after="80"/>
      </w:pPr>
      <w:r>
        <w:rPr>
          <w:rFonts w:ascii="Arial" w:cs="Arial" w:eastAsia="Arial" w:hAnsi="Arial"/>
          <w:b/>
          <w:bCs/>
          <w:sz w:val="22"/>
          <w:szCs w:val="22"/>
        </w:rPr>
        <w:t xml:space="preserve">Data Format: </w:t>
      </w:r>
      <w:r>
        <w:rPr>
          <w:rFonts w:ascii="Arial" w:cs="Arial" w:eastAsia="Arial" w:hAnsi="Arial"/>
          <w:sz w:val="22"/>
          <w:szCs w:val="22"/>
        </w:rPr>
        <w:t xml:space="preserve">PDF, downloadable documents</w:t>
      </w:r>
    </w:p>
    <w:p>
      <w:pPr>
        <w:spacing w:after="80"/>
      </w:pPr>
      <w:r>
        <w:rPr>
          <w:rFonts w:ascii="Arial" w:cs="Arial" w:eastAsia="Arial" w:hAnsi="Arial"/>
          <w:b/>
          <w:bCs/>
          <w:sz w:val="22"/>
          <w:szCs w:val="22"/>
        </w:rPr>
        <w:t xml:space="preserve">Update Frequency: </w:t>
      </w:r>
      <w:r>
        <w:rPr>
          <w:rFonts w:ascii="Arial" w:cs="Arial" w:eastAsia="Arial" w:hAnsi="Arial"/>
          <w:sz w:val="22"/>
          <w:szCs w:val="22"/>
        </w:rPr>
        <w:t xml:space="preserve">Daily (new applications/decisions)</w:t>
      </w:r>
    </w:p>
    <w:p>
      <w:pPr>
        <w:spacing w:after="80"/>
      </w:pPr>
      <w:r>
        <w:rPr>
          <w:rFonts w:ascii="Arial" w:cs="Arial" w:eastAsia="Arial" w:hAnsi="Arial"/>
          <w:b/>
          <w:bCs/>
          <w:sz w:val="22"/>
          <w:szCs w:val="22"/>
        </w:rPr>
        <w:t xml:space="preserve">Cost: </w:t>
      </w:r>
      <w:r>
        <w:rPr>
          <w:rFonts w:ascii="Arial" w:cs="Arial" w:eastAsia="Arial" w:hAnsi="Arial"/>
          <w:sz w:val="22"/>
          <w:szCs w:val="22"/>
        </w:rPr>
        <w:t xml:space="preserve">Free for search; fees for registration/filing</w:t>
      </w:r>
    </w:p>
    <w:p>
      <w:pPr>
        <w:spacing w:after="80"/>
      </w:pPr>
      <w:r>
        <w:rPr>
          <w:rFonts w:ascii="Arial" w:cs="Arial" w:eastAsia="Arial" w:hAnsi="Arial"/>
          <w:b/>
          <w:bCs/>
          <w:sz w:val="22"/>
          <w:szCs w:val="22"/>
        </w:rPr>
        <w:t xml:space="preserve">Language: </w:t>
      </w:r>
      <w:r>
        <w:rPr>
          <w:rFonts w:ascii="Arial" w:cs="Arial" w:eastAsia="Arial" w:hAnsi="Arial"/>
          <w:sz w:val="22"/>
          <w:szCs w:val="22"/>
        </w:rPr>
        <w:t xml:space="preserve">Portuguese (primary); English on main portal</w:t>
      </w:r>
    </w:p>
    <w:p>
      <w:pPr>
        <w:spacing w:after="80"/>
      </w:pPr>
      <w:r>
        <w:rPr>
          <w:rFonts w:ascii="Arial" w:cs="Arial" w:eastAsia="Arial" w:hAnsi="Arial"/>
          <w:b/>
          <w:bCs/>
          <w:sz w:val="22"/>
          <w:szCs w:val="22"/>
        </w:rPr>
        <w:t xml:space="preserve">Legal Analysis: </w:t>
      </w:r>
      <w:r>
        <w:rPr>
          <w:rFonts w:ascii="Arial" w:cs="Arial" w:eastAsia="Arial" w:hAnsi="Arial"/>
          <w:sz w:val="22"/>
          <w:szCs w:val="22"/>
        </w:rPr>
        <w:t xml:space="preserve">LGPD compliance. Industrial Property Law. International treaty obligations (Paris Convention, TRIPS).</w:t>
      </w:r>
    </w:p>
    <w:p>
      <w:pPr>
        <w:spacing w:after="80"/>
      </w:pPr>
      <w:r>
        <w:rPr>
          <w:rFonts w:ascii="Arial" w:cs="Arial" w:eastAsia="Arial" w:hAnsi="Arial"/>
          <w:b/>
          <w:bCs/>
          <w:sz w:val="22"/>
          <w:szCs w:val="22"/>
        </w:rPr>
        <w:t xml:space="preserve">Technical Complexity: </w:t>
      </w:r>
      <w:r>
        <w:rPr>
          <w:rFonts w:ascii="Arial" w:cs="Arial" w:eastAsia="Arial" w:hAnsi="Arial"/>
          <w:sz w:val="22"/>
          <w:szCs w:val="22"/>
        </w:rPr>
        <w:t xml:space="preserve">Low (web interface only; no API)</w:t>
      </w:r>
    </w:p>
    <w:p>
      <w:pPr>
        <w:spacing w:after="200"/>
      </w:pPr>
    </w:p>
    <w:p>
      <w:pPr>
        <w:pStyle w:val="Heading3"/>
      </w:pPr>
      <w:r>
        <w:t xml:space="preserve">Diário Oficial da União (DOU) - Official Gazette</w:t>
      </w:r>
    </w:p>
    <w:p>
      <w:pPr>
        <w:spacing w:after="80"/>
      </w:pPr>
      <w:r>
        <w:rPr>
          <w:rFonts w:ascii="Arial" w:cs="Arial" w:eastAsia="Arial" w:hAnsi="Arial"/>
          <w:b/>
          <w:bCs/>
          <w:sz w:val="22"/>
          <w:szCs w:val="22"/>
        </w:rPr>
        <w:t xml:space="preserve">URL: </w:t>
      </w:r>
      <w:r>
        <w:rPr>
          <w:rFonts w:ascii="Arial" w:cs="Arial" w:eastAsia="Arial" w:hAnsi="Arial"/>
          <w:sz w:val="22"/>
          <w:szCs w:val="22"/>
        </w:rPr>
        <w:t xml:space="preserve">https://in.gov.br/servicos/diario-oficial-da-uniao | Open Data: https://in.gov.br/acesso-a-informacao/dados-abertos/base-de-dados | GitHub INLABS: https://github.com/Imprensa-Nacional/inlabs</w:t>
      </w:r>
    </w:p>
    <w:p>
      <w:pPr>
        <w:spacing w:after="80"/>
      </w:pPr>
      <w:r>
        <w:rPr>
          <w:rFonts w:ascii="Arial" w:cs="Arial" w:eastAsia="Arial" w:hAnsi="Arial"/>
          <w:b/>
          <w:bCs/>
          <w:sz w:val="22"/>
          <w:szCs w:val="22"/>
        </w:rPr>
        <w:t xml:space="preserve">Volume: </w:t>
      </w:r>
      <w:r>
        <w:rPr>
          <w:rFonts w:ascii="Arial" w:cs="Arial" w:eastAsia="Arial" w:hAnsi="Arial"/>
          <w:sz w:val="22"/>
          <w:szCs w:val="22"/>
        </w:rPr>
        <w:t xml:space="preserve">Daily publications (every business day); 200,000+ notices/publications monthly; fully digitized since 2017</w:t>
      </w:r>
    </w:p>
    <w:p>
      <w:pPr>
        <w:spacing w:after="80"/>
      </w:pPr>
      <w:r>
        <w:rPr>
          <w:rFonts w:ascii="Arial" w:cs="Arial" w:eastAsia="Arial" w:hAnsi="Arial"/>
          <w:b/>
          <w:bCs/>
          <w:sz w:val="22"/>
          <w:szCs w:val="22"/>
        </w:rPr>
        <w:t xml:space="preserve">Access Method: </w:t>
      </w:r>
      <w:r>
        <w:rPr>
          <w:rFonts w:ascii="Arial" w:cs="Arial" w:eastAsia="Arial" w:hAnsi="Arial"/>
          <w:sz w:val="22"/>
          <w:szCs w:val="22"/>
        </w:rPr>
        <w:t xml:space="preserve">Web search interface; REST API (open data); Bulk XML/PDF downloads via INLABS; WS-INCom API (government-only)</w:t>
      </w:r>
    </w:p>
    <w:p>
      <w:pPr>
        <w:spacing w:after="80"/>
      </w:pPr>
      <w:r>
        <w:rPr>
          <w:rFonts w:ascii="Arial" w:cs="Arial" w:eastAsia="Arial" w:hAnsi="Arial"/>
          <w:b/>
          <w:bCs/>
          <w:sz w:val="22"/>
          <w:szCs w:val="22"/>
        </w:rPr>
        <w:t xml:space="preserve">Data Format: </w:t>
      </w:r>
      <w:r>
        <w:rPr>
          <w:rFonts w:ascii="Arial" w:cs="Arial" w:eastAsia="Arial" w:hAnsi="Arial"/>
          <w:sz w:val="22"/>
          <w:szCs w:val="22"/>
        </w:rPr>
        <w:t xml:space="preserve">XML, PDF, HTML</w:t>
      </w:r>
    </w:p>
    <w:p>
      <w:pPr>
        <w:spacing w:after="80"/>
      </w:pPr>
      <w:r>
        <w:rPr>
          <w:rFonts w:ascii="Arial" w:cs="Arial" w:eastAsia="Arial" w:hAnsi="Arial"/>
          <w:b/>
          <w:bCs/>
          <w:sz w:val="22"/>
          <w:szCs w:val="22"/>
        </w:rPr>
        <w:t xml:space="preserve">Update Frequency: </w:t>
      </w:r>
      <w:r>
        <w:rPr>
          <w:rFonts w:ascii="Arial" w:cs="Arial" w:eastAsia="Arial" w:hAnsi="Arial"/>
          <w:sz w:val="22"/>
          <w:szCs w:val="22"/>
        </w:rPr>
        <w:t xml:space="preserve">Daily (morning publication)</w:t>
      </w:r>
    </w:p>
    <w:p>
      <w:pPr>
        <w:spacing w:after="80"/>
      </w:pPr>
      <w:r>
        <w:rPr>
          <w:rFonts w:ascii="Arial" w:cs="Arial" w:eastAsia="Arial" w:hAnsi="Arial"/>
          <w:b/>
          <w:bCs/>
          <w:sz w:val="22"/>
          <w:szCs w:val="22"/>
        </w:rPr>
        <w:t xml:space="preserve">Cost: </w:t>
      </w:r>
      <w:r>
        <w:rPr>
          <w:rFonts w:ascii="Arial" w:cs="Arial" w:eastAsia="Arial" w:hAnsi="Arial"/>
          <w:sz w:val="22"/>
          <w:szCs w:val="22"/>
        </w:rPr>
        <w:t xml:space="preserve">Free for public access</w:t>
      </w:r>
    </w:p>
    <w:p>
      <w:pPr>
        <w:spacing w:after="80"/>
      </w:pPr>
      <w:r>
        <w:rPr>
          <w:rFonts w:ascii="Arial" w:cs="Arial" w:eastAsia="Arial" w:hAnsi="Arial"/>
          <w:b/>
          <w:bCs/>
          <w:sz w:val="22"/>
          <w:szCs w:val="22"/>
        </w:rPr>
        <w:t xml:space="preserve">Language: </w:t>
      </w:r>
      <w:r>
        <w:rPr>
          <w:rFonts w:ascii="Arial" w:cs="Arial" w:eastAsia="Arial" w:hAnsi="Arial"/>
          <w:sz w:val="22"/>
          <w:szCs w:val="22"/>
        </w:rPr>
        <w:t xml:space="preserve">Portuguese</w:t>
      </w:r>
    </w:p>
    <w:p>
      <w:pPr>
        <w:spacing w:after="80"/>
      </w:pPr>
      <w:r>
        <w:rPr>
          <w:rFonts w:ascii="Arial" w:cs="Arial" w:eastAsia="Arial" w:hAnsi="Arial"/>
          <w:b/>
          <w:bCs/>
          <w:sz w:val="22"/>
          <w:szCs w:val="22"/>
        </w:rPr>
        <w:t xml:space="preserve">Legal Analysis: </w:t>
      </w:r>
      <w:r>
        <w:rPr>
          <w:rFonts w:ascii="Arial" w:cs="Arial" w:eastAsia="Arial" w:hAnsi="Arial"/>
          <w:sz w:val="22"/>
          <w:szCs w:val="22"/>
        </w:rPr>
        <w:t xml:space="preserve">Official publication compliance requirements. LGPD for personal data in notices. Public records legislation.</w:t>
      </w:r>
    </w:p>
    <w:p>
      <w:pPr>
        <w:spacing w:after="80"/>
      </w:pPr>
      <w:r>
        <w:rPr>
          <w:rFonts w:ascii="Arial" w:cs="Arial" w:eastAsia="Arial" w:hAnsi="Arial"/>
          <w:b/>
          <w:bCs/>
          <w:sz w:val="22"/>
          <w:szCs w:val="22"/>
        </w:rPr>
        <w:t xml:space="preserve">Technical Complexity: </w:t>
      </w:r>
      <w:r>
        <w:rPr>
          <w:rFonts w:ascii="Arial" w:cs="Arial" w:eastAsia="Arial" w:hAnsi="Arial"/>
          <w:sz w:val="22"/>
          <w:szCs w:val="22"/>
        </w:rPr>
        <w:t xml:space="preserve">Medium (XML parsing, daily sync requirements)</w:t>
      </w:r>
    </w:p>
    <w:p>
      <w:pPr>
        <w:spacing w:after="200"/>
      </w:pPr>
    </w:p>
    <w:p>
      <w:pPr>
        <w:pStyle w:val="Heading3"/>
      </w:pPr>
      <w:r>
        <w:t xml:space="preserve">STF/STJ (Supreme Courts) - Decisions</w:t>
      </w:r>
    </w:p>
    <w:p>
      <w:pPr>
        <w:spacing w:after="80"/>
      </w:pPr>
      <w:r>
        <w:rPr>
          <w:rFonts w:ascii="Arial" w:cs="Arial" w:eastAsia="Arial" w:hAnsi="Arial"/>
          <w:b/>
          <w:bCs/>
          <w:sz w:val="22"/>
          <w:szCs w:val="22"/>
        </w:rPr>
        <w:t xml:space="preserve">URL: </w:t>
      </w:r>
      <w:r>
        <w:rPr>
          <w:rFonts w:ascii="Arial" w:cs="Arial" w:eastAsia="Arial" w:hAnsi="Arial"/>
          <w:sz w:val="22"/>
          <w:szCs w:val="22"/>
        </w:rPr>
        <w:t xml:space="preserve">STF: https://portal.stf.jus.br/ | STJ: https://www.stj.jus.br/ | STJ PJI: https://www.stj.jus.br/PJI/</w:t>
      </w:r>
    </w:p>
    <w:p>
      <w:pPr>
        <w:spacing w:after="80"/>
      </w:pPr>
      <w:r>
        <w:rPr>
          <w:rFonts w:ascii="Arial" w:cs="Arial" w:eastAsia="Arial" w:hAnsi="Arial"/>
          <w:b/>
          <w:bCs/>
          <w:sz w:val="22"/>
          <w:szCs w:val="22"/>
        </w:rPr>
        <w:t xml:space="preserve">Volume: </w:t>
      </w:r>
      <w:r>
        <w:rPr>
          <w:rFonts w:ascii="Arial" w:cs="Arial" w:eastAsia="Arial" w:hAnsi="Arial"/>
          <w:sz w:val="22"/>
          <w:szCs w:val="22"/>
        </w:rPr>
        <w:t xml:space="preserve">STF: ~126,531 decisions/year; 100,000+ cases received annually. STJ: substantial volume.</w:t>
      </w:r>
    </w:p>
    <w:p>
      <w:pPr>
        <w:spacing w:after="80"/>
      </w:pPr>
      <w:r>
        <w:rPr>
          <w:rFonts w:ascii="Arial" w:cs="Arial" w:eastAsia="Arial" w:hAnsi="Arial"/>
          <w:b/>
          <w:bCs/>
          <w:sz w:val="22"/>
          <w:szCs w:val="22"/>
        </w:rPr>
        <w:t xml:space="preserve">Access Method: </w:t>
      </w:r>
      <w:r>
        <w:rPr>
          <w:rFonts w:ascii="Arial" w:cs="Arial" w:eastAsia="Arial" w:hAnsi="Arial"/>
          <w:sz w:val="22"/>
          <w:szCs w:val="22"/>
        </w:rPr>
        <w:t xml:space="preserve">Web-based search portals. No official APIs. Third-party platforms (Jusbrasil, Consudata) provide enhanced access.</w:t>
      </w:r>
    </w:p>
    <w:p>
      <w:pPr>
        <w:spacing w:after="80"/>
      </w:pPr>
      <w:r>
        <w:rPr>
          <w:rFonts w:ascii="Arial" w:cs="Arial" w:eastAsia="Arial" w:hAnsi="Arial"/>
          <w:b/>
          <w:bCs/>
          <w:sz w:val="22"/>
          <w:szCs w:val="22"/>
        </w:rPr>
        <w:t xml:space="preserve">Data Format: </w:t>
      </w:r>
      <w:r>
        <w:rPr>
          <w:rFonts w:ascii="Arial" w:cs="Arial" w:eastAsia="Arial" w:hAnsi="Arial"/>
          <w:sz w:val="22"/>
          <w:szCs w:val="22"/>
        </w:rPr>
        <w:t xml:space="preserve">HTML, PDF (downloadable decisions)</w:t>
      </w:r>
    </w:p>
    <w:p>
      <w:pPr>
        <w:spacing w:after="80"/>
      </w:pPr>
      <w:r>
        <w:rPr>
          <w:rFonts w:ascii="Arial" w:cs="Arial" w:eastAsia="Arial" w:hAnsi="Arial"/>
          <w:b/>
          <w:bCs/>
          <w:sz w:val="22"/>
          <w:szCs w:val="22"/>
        </w:rPr>
        <w:t xml:space="preserve">Update Frequency: </w:t>
      </w:r>
      <w:r>
        <w:rPr>
          <w:rFonts w:ascii="Arial" w:cs="Arial" w:eastAsia="Arial" w:hAnsi="Arial"/>
          <w:sz w:val="22"/>
          <w:szCs w:val="22"/>
        </w:rPr>
        <w:t xml:space="preserve">Daily (new decisions published continuously)</w:t>
      </w:r>
    </w:p>
    <w:p>
      <w:pPr>
        <w:spacing w:after="80"/>
      </w:pPr>
      <w:r>
        <w:rPr>
          <w:rFonts w:ascii="Arial" w:cs="Arial" w:eastAsia="Arial" w:hAnsi="Arial"/>
          <w:b/>
          <w:bCs/>
          <w:sz w:val="22"/>
          <w:szCs w:val="22"/>
        </w:rPr>
        <w:t xml:space="preserve">Cost: </w:t>
      </w:r>
      <w:r>
        <w:rPr>
          <w:rFonts w:ascii="Arial" w:cs="Arial" w:eastAsia="Arial" w:hAnsi="Arial"/>
          <w:sz w:val="22"/>
          <w:szCs w:val="22"/>
        </w:rPr>
        <w:t xml:space="preserve">Free public access</w:t>
      </w:r>
    </w:p>
    <w:p>
      <w:pPr>
        <w:spacing w:after="80"/>
      </w:pPr>
      <w:r>
        <w:rPr>
          <w:rFonts w:ascii="Arial" w:cs="Arial" w:eastAsia="Arial" w:hAnsi="Arial"/>
          <w:b/>
          <w:bCs/>
          <w:sz w:val="22"/>
          <w:szCs w:val="22"/>
        </w:rPr>
        <w:t xml:space="preserve">Language: </w:t>
      </w:r>
      <w:r>
        <w:rPr>
          <w:rFonts w:ascii="Arial" w:cs="Arial" w:eastAsia="Arial" w:hAnsi="Arial"/>
          <w:sz w:val="22"/>
          <w:szCs w:val="22"/>
        </w:rPr>
        <w:t xml:space="preserve">Portuguese (primary); selected decisions translated to English</w:t>
      </w:r>
    </w:p>
    <w:p>
      <w:pPr>
        <w:spacing w:after="80"/>
      </w:pPr>
      <w:r>
        <w:rPr>
          <w:rFonts w:ascii="Arial" w:cs="Arial" w:eastAsia="Arial" w:hAnsi="Arial"/>
          <w:b/>
          <w:bCs/>
          <w:sz w:val="22"/>
          <w:szCs w:val="22"/>
        </w:rPr>
        <w:t xml:space="preserve">Legal Analysis: </w:t>
      </w:r>
      <w:r>
        <w:rPr>
          <w:rFonts w:ascii="Arial" w:cs="Arial" w:eastAsia="Arial" w:hAnsi="Arial"/>
          <w:sz w:val="22"/>
          <w:szCs w:val="22"/>
        </w:rPr>
        <w:t xml:space="preserve">Judicial confidentiality rules. LGPD for personal information. Privacy protection for parties/witnesses.</w:t>
      </w:r>
    </w:p>
    <w:p>
      <w:pPr>
        <w:spacing w:after="80"/>
      </w:pPr>
      <w:r>
        <w:rPr>
          <w:rFonts w:ascii="Arial" w:cs="Arial" w:eastAsia="Arial" w:hAnsi="Arial"/>
          <w:b/>
          <w:bCs/>
          <w:sz w:val="22"/>
          <w:szCs w:val="22"/>
        </w:rPr>
        <w:t xml:space="preserve">Technical Complexity: </w:t>
      </w:r>
      <w:r>
        <w:rPr>
          <w:rFonts w:ascii="Arial" w:cs="Arial" w:eastAsia="Arial" w:hAnsi="Arial"/>
          <w:sz w:val="22"/>
          <w:szCs w:val="22"/>
        </w:rPr>
        <w:t xml:space="preserve">Low-Medium (web scraping required for automation)</w:t>
      </w:r>
    </w:p>
    <w:p>
      <w:pPr>
        <w:spacing w:after="200"/>
      </w:pPr>
    </w:p>
    <w:p>
      <w:pPr>
        <w:pStyle w:val="Heading2"/>
      </w:pPr>
      <w:r>
        <w:t xml:space="preserve">Mexico</w:t>
      </w:r>
    </w:p>
    <w:p>
      <w:pPr>
        <w:pStyle w:val="Heading3"/>
      </w:pPr>
      <w:r>
        <w:t xml:space="preserve">BMV (Bolsa Mexicana de Valores) - Stock Exchange</w:t>
      </w:r>
    </w:p>
    <w:p>
      <w:pPr>
        <w:spacing w:after="80"/>
      </w:pPr>
      <w:r>
        <w:rPr>
          <w:rFonts w:ascii="Arial" w:cs="Arial" w:eastAsia="Arial" w:hAnsi="Arial"/>
          <w:b/>
          <w:bCs/>
          <w:sz w:val="22"/>
          <w:szCs w:val="22"/>
        </w:rPr>
        <w:t xml:space="preserve">URL: </w:t>
      </w:r>
      <w:r>
        <w:rPr>
          <w:rFonts w:ascii="Arial" w:cs="Arial" w:eastAsia="Arial" w:hAnsi="Arial"/>
          <w:sz w:val="22"/>
          <w:szCs w:val="22"/>
        </w:rPr>
        <w:t xml:space="preserve">https://www.bmv.com.mx/ | Alternative API: https://databursatil.com/</w:t>
      </w:r>
    </w:p>
    <w:p>
      <w:pPr>
        <w:spacing w:after="80"/>
      </w:pPr>
      <w:r>
        <w:rPr>
          <w:rFonts w:ascii="Arial" w:cs="Arial" w:eastAsia="Arial" w:hAnsi="Arial"/>
          <w:b/>
          <w:bCs/>
          <w:sz w:val="22"/>
          <w:szCs w:val="22"/>
        </w:rPr>
        <w:t xml:space="preserve">Volume: </w:t>
      </w:r>
      <w:r>
        <w:rPr>
          <w:rFonts w:ascii="Arial" w:cs="Arial" w:eastAsia="Arial" w:hAnsi="Arial"/>
          <w:sz w:val="22"/>
          <w:szCs w:val="22"/>
        </w:rPr>
        <w:t xml:space="preserve">~140 listed companies; thousands of filings annually</w:t>
      </w:r>
    </w:p>
    <w:p>
      <w:pPr>
        <w:spacing w:after="80"/>
      </w:pPr>
      <w:r>
        <w:rPr>
          <w:rFonts w:ascii="Arial" w:cs="Arial" w:eastAsia="Arial" w:hAnsi="Arial"/>
          <w:b/>
          <w:bCs/>
          <w:sz w:val="22"/>
          <w:szCs w:val="22"/>
        </w:rPr>
        <w:t xml:space="preserve">Access Method: </w:t>
      </w:r>
      <w:r>
        <w:rPr>
          <w:rFonts w:ascii="Arial" w:cs="Arial" w:eastAsia="Arial" w:hAnsi="Arial"/>
          <w:sz w:val="22"/>
          <w:szCs w:val="22"/>
        </w:rPr>
        <w:t xml:space="preserve">DataBursatil REST API (free limited tier); BMV proprietary web services (contact BMV); Web portal downloads</w:t>
      </w:r>
    </w:p>
    <w:p>
      <w:pPr>
        <w:spacing w:after="80"/>
      </w:pPr>
      <w:r>
        <w:rPr>
          <w:rFonts w:ascii="Arial" w:cs="Arial" w:eastAsia="Arial" w:hAnsi="Arial"/>
          <w:b/>
          <w:bCs/>
          <w:sz w:val="22"/>
          <w:szCs w:val="22"/>
        </w:rPr>
        <w:t xml:space="preserve">Data Format: </w:t>
      </w:r>
      <w:r>
        <w:rPr>
          <w:rFonts w:ascii="Arial" w:cs="Arial" w:eastAsia="Arial" w:hAnsi="Arial"/>
          <w:sz w:val="22"/>
          <w:szCs w:val="22"/>
        </w:rPr>
        <w:t xml:space="preserve">JSON (DataBursatil), CSV, XML</w:t>
      </w:r>
    </w:p>
    <w:p>
      <w:pPr>
        <w:spacing w:after="80"/>
      </w:pPr>
      <w:r>
        <w:rPr>
          <w:rFonts w:ascii="Arial" w:cs="Arial" w:eastAsia="Arial" w:hAnsi="Arial"/>
          <w:b/>
          <w:bCs/>
          <w:sz w:val="22"/>
          <w:szCs w:val="22"/>
        </w:rPr>
        <w:t xml:space="preserve">Update Frequency: </w:t>
      </w:r>
      <w:r>
        <w:rPr>
          <w:rFonts w:ascii="Arial" w:cs="Arial" w:eastAsia="Arial" w:hAnsi="Arial"/>
          <w:sz w:val="22"/>
          <w:szCs w:val="22"/>
        </w:rPr>
        <w:t xml:space="preserve">Real-time (market data); daily (filings)</w:t>
      </w:r>
    </w:p>
    <w:p>
      <w:pPr>
        <w:spacing w:after="80"/>
      </w:pPr>
      <w:r>
        <w:rPr>
          <w:rFonts w:ascii="Arial" w:cs="Arial" w:eastAsia="Arial" w:hAnsi="Arial"/>
          <w:b/>
          <w:bCs/>
          <w:sz w:val="22"/>
          <w:szCs w:val="22"/>
        </w:rPr>
        <w:t xml:space="preserve">Cost: </w:t>
      </w:r>
      <w:r>
        <w:rPr>
          <w:rFonts w:ascii="Arial" w:cs="Arial" w:eastAsia="Arial" w:hAnsi="Arial"/>
          <w:sz w:val="22"/>
          <w:szCs w:val="22"/>
        </w:rPr>
        <w:t xml:space="preserve">DataBursatil: free with rate limits, premium available. BMV: custom pricing.</w:t>
      </w:r>
    </w:p>
    <w:p>
      <w:pPr>
        <w:spacing w:after="80"/>
      </w:pPr>
      <w:r>
        <w:rPr>
          <w:rFonts w:ascii="Arial" w:cs="Arial" w:eastAsia="Arial" w:hAnsi="Arial"/>
          <w:b/>
          <w:bCs/>
          <w:sz w:val="22"/>
          <w:szCs w:val="22"/>
        </w:rPr>
        <w:t xml:space="preserve">Language: </w:t>
      </w:r>
      <w:r>
        <w:rPr>
          <w:rFonts w:ascii="Arial" w:cs="Arial" w:eastAsia="Arial" w:hAnsi="Arial"/>
          <w:sz w:val="22"/>
          <w:szCs w:val="22"/>
        </w:rPr>
        <w:t xml:space="preserve">Spanish (primary); English available</w:t>
      </w:r>
    </w:p>
    <w:p>
      <w:pPr>
        <w:spacing w:after="80"/>
      </w:pPr>
      <w:r>
        <w:rPr>
          <w:rFonts w:ascii="Arial" w:cs="Arial" w:eastAsia="Arial" w:hAnsi="Arial"/>
          <w:b/>
          <w:bCs/>
          <w:sz w:val="22"/>
          <w:szCs w:val="22"/>
        </w:rPr>
        <w:t xml:space="preserve">Legal Analysis: </w:t>
      </w:r>
      <w:r>
        <w:rPr>
          <w:rFonts w:ascii="Arial" w:cs="Arial" w:eastAsia="Arial" w:hAnsi="Arial"/>
          <w:sz w:val="22"/>
          <w:szCs w:val="22"/>
        </w:rPr>
        <w:t xml:space="preserve">Ley del Mercado de Valores. Disclosure requirements for listed companies. LFPDPPP personal data protection.</w:t>
      </w:r>
    </w:p>
    <w:p>
      <w:pPr>
        <w:spacing w:after="80"/>
      </w:pPr>
      <w:r>
        <w:rPr>
          <w:rFonts w:ascii="Arial" w:cs="Arial" w:eastAsia="Arial" w:hAnsi="Arial"/>
          <w:b/>
          <w:bCs/>
          <w:sz w:val="22"/>
          <w:szCs w:val="22"/>
        </w:rPr>
        <w:t xml:space="preserve">Technical Complexity: </w:t>
      </w:r>
      <w:r>
        <w:rPr>
          <w:rFonts w:ascii="Arial" w:cs="Arial" w:eastAsia="Arial" w:hAnsi="Arial"/>
          <w:sz w:val="22"/>
          <w:szCs w:val="22"/>
        </w:rPr>
        <w:t xml:space="preserve">Low-Medium (REST API via DataBursatil)</w:t>
      </w:r>
    </w:p>
    <w:p>
      <w:pPr>
        <w:spacing w:after="200"/>
      </w:pPr>
    </w:p>
    <w:p>
      <w:pPr>
        <w:pStyle w:val="Heading3"/>
      </w:pPr>
      <w:r>
        <w:t xml:space="preserve">IMPI (IP Office) - Patents/Trademarks</w:t>
      </w:r>
    </w:p>
    <w:p>
      <w:pPr>
        <w:spacing w:after="80"/>
      </w:pPr>
      <w:r>
        <w:rPr>
          <w:rFonts w:ascii="Arial" w:cs="Arial" w:eastAsia="Arial" w:hAnsi="Arial"/>
          <w:b/>
          <w:bCs/>
          <w:sz w:val="22"/>
          <w:szCs w:val="22"/>
        </w:rPr>
        <w:t xml:space="preserve">URL: </w:t>
      </w:r>
      <w:r>
        <w:rPr>
          <w:rFonts w:ascii="Arial" w:cs="Arial" w:eastAsia="Arial" w:hAnsi="Arial"/>
          <w:sz w:val="22"/>
          <w:szCs w:val="22"/>
        </w:rPr>
        <w:t xml:space="preserve">https://www.gob.mx/impi | SIGA: https://siga.impi.gob.mx/</w:t>
      </w:r>
    </w:p>
    <w:p>
      <w:pPr>
        <w:spacing w:after="80"/>
      </w:pPr>
      <w:r>
        <w:rPr>
          <w:rFonts w:ascii="Arial" w:cs="Arial" w:eastAsia="Arial" w:hAnsi="Arial"/>
          <w:b/>
          <w:bCs/>
          <w:sz w:val="22"/>
          <w:szCs w:val="22"/>
        </w:rPr>
        <w:t xml:space="preserve">Volume: </w:t>
      </w:r>
      <w:r>
        <w:rPr>
          <w:rFonts w:ascii="Arial" w:cs="Arial" w:eastAsia="Arial" w:hAnsi="Arial"/>
          <w:sz w:val="22"/>
          <w:szCs w:val="22"/>
        </w:rPr>
        <w:t xml:space="preserve">Millions of trademark records; hundreds of thousands of patent applications</w:t>
      </w:r>
    </w:p>
    <w:p>
      <w:pPr>
        <w:spacing w:after="80"/>
      </w:pPr>
      <w:r>
        <w:rPr>
          <w:rFonts w:ascii="Arial" w:cs="Arial" w:eastAsia="Arial" w:hAnsi="Arial"/>
          <w:b/>
          <w:bCs/>
          <w:sz w:val="22"/>
          <w:szCs w:val="22"/>
        </w:rPr>
        <w:t xml:space="preserve">Access Method: </w:t>
      </w:r>
      <w:r>
        <w:rPr>
          <w:rFonts w:ascii="Arial" w:cs="Arial" w:eastAsia="Arial" w:hAnsi="Arial"/>
          <w:sz w:val="22"/>
          <w:szCs w:val="22"/>
        </w:rPr>
        <w:t xml:space="preserve">SIGA web search (free); VIDOC viewer. No programmatic access.</w:t>
      </w:r>
    </w:p>
    <w:p>
      <w:pPr>
        <w:spacing w:after="80"/>
      </w:pPr>
      <w:r>
        <w:rPr>
          <w:rFonts w:ascii="Arial" w:cs="Arial" w:eastAsia="Arial" w:hAnsi="Arial"/>
          <w:b/>
          <w:bCs/>
          <w:sz w:val="22"/>
          <w:szCs w:val="22"/>
        </w:rPr>
        <w:t xml:space="preserve">Data Format: </w:t>
      </w:r>
      <w:r>
        <w:rPr>
          <w:rFonts w:ascii="Arial" w:cs="Arial" w:eastAsia="Arial" w:hAnsi="Arial"/>
          <w:sz w:val="22"/>
          <w:szCs w:val="22"/>
        </w:rPr>
        <w:t xml:space="preserve">PDF, web interface</w:t>
      </w:r>
    </w:p>
    <w:p>
      <w:pPr>
        <w:spacing w:after="80"/>
      </w:pPr>
      <w:r>
        <w:rPr>
          <w:rFonts w:ascii="Arial" w:cs="Arial" w:eastAsia="Arial" w:hAnsi="Arial"/>
          <w:b/>
          <w:bCs/>
          <w:sz w:val="22"/>
          <w:szCs w:val="22"/>
        </w:rPr>
        <w:t xml:space="preserve">Update Frequency: </w:t>
      </w:r>
      <w:r>
        <w:rPr>
          <w:rFonts w:ascii="Arial" w:cs="Arial" w:eastAsia="Arial" w:hAnsi="Arial"/>
          <w:sz w:val="22"/>
          <w:szCs w:val="22"/>
        </w:rPr>
        <w:t xml:space="preserve">Daily (new filings)</w:t>
      </w:r>
    </w:p>
    <w:p>
      <w:pPr>
        <w:spacing w:after="80"/>
      </w:pPr>
      <w:r>
        <w:rPr>
          <w:rFonts w:ascii="Arial" w:cs="Arial" w:eastAsia="Arial" w:hAnsi="Arial"/>
          <w:b/>
          <w:bCs/>
          <w:sz w:val="22"/>
          <w:szCs w:val="22"/>
        </w:rPr>
        <w:t xml:space="preserve">Cost: </w:t>
      </w:r>
      <w:r>
        <w:rPr>
          <w:rFonts w:ascii="Arial" w:cs="Arial" w:eastAsia="Arial" w:hAnsi="Arial"/>
          <w:sz w:val="22"/>
          <w:szCs w:val="22"/>
        </w:rPr>
        <w:t xml:space="preserve">Free search; fees for registration</w:t>
      </w:r>
    </w:p>
    <w:p>
      <w:pPr>
        <w:spacing w:after="80"/>
      </w:pPr>
      <w:r>
        <w:rPr>
          <w:rFonts w:ascii="Arial" w:cs="Arial" w:eastAsia="Arial" w:hAnsi="Arial"/>
          <w:b/>
          <w:bCs/>
          <w:sz w:val="22"/>
          <w:szCs w:val="22"/>
        </w:rPr>
        <w:t xml:space="preserve">Language: </w:t>
      </w:r>
      <w:r>
        <w:rPr>
          <w:rFonts w:ascii="Arial" w:cs="Arial" w:eastAsia="Arial" w:hAnsi="Arial"/>
          <w:sz w:val="22"/>
          <w:szCs w:val="22"/>
        </w:rPr>
        <w:t xml:space="preserve">Spanish</w:t>
      </w:r>
    </w:p>
    <w:p>
      <w:pPr>
        <w:spacing w:after="80"/>
      </w:pPr>
      <w:r>
        <w:rPr>
          <w:rFonts w:ascii="Arial" w:cs="Arial" w:eastAsia="Arial" w:hAnsi="Arial"/>
          <w:b/>
          <w:bCs/>
          <w:sz w:val="22"/>
          <w:szCs w:val="22"/>
        </w:rPr>
        <w:t xml:space="preserve">Legal Analysis: </w:t>
      </w:r>
      <w:r>
        <w:rPr>
          <w:rFonts w:ascii="Arial" w:cs="Arial" w:eastAsia="Arial" w:hAnsi="Arial"/>
          <w:sz w:val="22"/>
          <w:szCs w:val="22"/>
        </w:rPr>
        <w:t xml:space="preserve">Industrial Property Law. International treaty compliance.</w:t>
      </w:r>
    </w:p>
    <w:p>
      <w:pPr>
        <w:spacing w:after="80"/>
      </w:pPr>
      <w:r>
        <w:rPr>
          <w:rFonts w:ascii="Arial" w:cs="Arial" w:eastAsia="Arial" w:hAnsi="Arial"/>
          <w:b/>
          <w:bCs/>
          <w:sz w:val="22"/>
          <w:szCs w:val="22"/>
        </w:rPr>
        <w:t xml:space="preserve">Technical Complexity: </w:t>
      </w:r>
      <w:r>
        <w:rPr>
          <w:rFonts w:ascii="Arial" w:cs="Arial" w:eastAsia="Arial" w:hAnsi="Arial"/>
          <w:sz w:val="22"/>
          <w:szCs w:val="22"/>
        </w:rPr>
        <w:t xml:space="preserve">Low (web interface only)</w:t>
      </w:r>
    </w:p>
    <w:p>
      <w:pPr>
        <w:spacing w:after="200"/>
      </w:pPr>
    </w:p>
    <w:p>
      <w:pPr>
        <w:pStyle w:val="Heading3"/>
      </w:pPr>
      <w:r>
        <w:t xml:space="preserve">DOF (Diario Oficial de la Federación)</w:t>
      </w:r>
    </w:p>
    <w:p>
      <w:pPr>
        <w:spacing w:after="80"/>
      </w:pPr>
      <w:r>
        <w:rPr>
          <w:rFonts w:ascii="Arial" w:cs="Arial" w:eastAsia="Arial" w:hAnsi="Arial"/>
          <w:b/>
          <w:bCs/>
          <w:sz w:val="22"/>
          <w:szCs w:val="22"/>
        </w:rPr>
        <w:t xml:space="preserve">URL: </w:t>
      </w:r>
      <w:r>
        <w:rPr>
          <w:rFonts w:ascii="Arial" w:cs="Arial" w:eastAsia="Arial" w:hAnsi="Arial"/>
          <w:sz w:val="22"/>
          <w:szCs w:val="22"/>
        </w:rPr>
        <w:t xml:space="preserve">https://dof.gob.mx/ | Community API: https://github.com/imco/dof-api</w:t>
      </w:r>
    </w:p>
    <w:p>
      <w:pPr>
        <w:spacing w:after="80"/>
      </w:pPr>
      <w:r>
        <w:rPr>
          <w:rFonts w:ascii="Arial" w:cs="Arial" w:eastAsia="Arial" w:hAnsi="Arial"/>
          <w:b/>
          <w:bCs/>
          <w:sz w:val="22"/>
          <w:szCs w:val="22"/>
        </w:rPr>
        <w:t xml:space="preserve">Volume: </w:t>
      </w:r>
      <w:r>
        <w:rPr>
          <w:rFonts w:ascii="Arial" w:cs="Arial" w:eastAsia="Arial" w:hAnsi="Arial"/>
          <w:sz w:val="22"/>
          <w:szCs w:val="22"/>
        </w:rPr>
        <w:t xml:space="preserve">Daily publications; 50,000+ entries monthly</w:t>
      </w:r>
    </w:p>
    <w:p>
      <w:pPr>
        <w:spacing w:after="80"/>
      </w:pPr>
      <w:r>
        <w:rPr>
          <w:rFonts w:ascii="Arial" w:cs="Arial" w:eastAsia="Arial" w:hAnsi="Arial"/>
          <w:b/>
          <w:bCs/>
          <w:sz w:val="22"/>
          <w:szCs w:val="22"/>
        </w:rPr>
        <w:t xml:space="preserve">Access Method: </w:t>
      </w:r>
      <w:r>
        <w:rPr>
          <w:rFonts w:ascii="Arial" w:cs="Arial" w:eastAsia="Arial" w:hAnsi="Arial"/>
          <w:sz w:val="22"/>
          <w:szCs w:val="22"/>
        </w:rPr>
        <w:t xml:space="preserve">Web portal search; GitHub community API; Bulk downloads</w:t>
      </w:r>
    </w:p>
    <w:p>
      <w:pPr>
        <w:spacing w:after="80"/>
      </w:pPr>
      <w:r>
        <w:rPr>
          <w:rFonts w:ascii="Arial" w:cs="Arial" w:eastAsia="Arial" w:hAnsi="Arial"/>
          <w:b/>
          <w:bCs/>
          <w:sz w:val="22"/>
          <w:szCs w:val="22"/>
        </w:rPr>
        <w:t xml:space="preserve">Data Format: </w:t>
      </w:r>
      <w:r>
        <w:rPr>
          <w:rFonts w:ascii="Arial" w:cs="Arial" w:eastAsia="Arial" w:hAnsi="Arial"/>
          <w:sz w:val="22"/>
          <w:szCs w:val="22"/>
        </w:rPr>
        <w:t xml:space="preserve">XML, PDF, HTML</w:t>
      </w:r>
    </w:p>
    <w:p>
      <w:pPr>
        <w:spacing w:after="80"/>
      </w:pPr>
      <w:r>
        <w:rPr>
          <w:rFonts w:ascii="Arial" w:cs="Arial" w:eastAsia="Arial" w:hAnsi="Arial"/>
          <w:b/>
          <w:bCs/>
          <w:sz w:val="22"/>
          <w:szCs w:val="22"/>
        </w:rPr>
        <w:t xml:space="preserve">Update Frequency: </w:t>
      </w:r>
      <w:r>
        <w:rPr>
          <w:rFonts w:ascii="Arial" w:cs="Arial" w:eastAsia="Arial" w:hAnsi="Arial"/>
          <w:sz w:val="22"/>
          <w:szCs w:val="22"/>
        </w:rPr>
        <w:t xml:space="preserve">Daily</w:t>
      </w:r>
    </w:p>
    <w:p>
      <w:pPr>
        <w:spacing w:after="80"/>
      </w:pPr>
      <w:r>
        <w:rPr>
          <w:rFonts w:ascii="Arial" w:cs="Arial" w:eastAsia="Arial" w:hAnsi="Arial"/>
          <w:b/>
          <w:bCs/>
          <w:sz w:val="22"/>
          <w:szCs w:val="22"/>
        </w:rPr>
        <w:t xml:space="preserve">Cost: </w:t>
      </w:r>
      <w:r>
        <w:rPr>
          <w:rFonts w:ascii="Arial" w:cs="Arial" w:eastAsia="Arial" w:hAnsi="Arial"/>
          <w:sz w:val="22"/>
          <w:szCs w:val="22"/>
        </w:rPr>
        <w:t xml:space="preserve">Free</w:t>
      </w:r>
    </w:p>
    <w:p>
      <w:pPr>
        <w:spacing w:after="80"/>
      </w:pPr>
      <w:r>
        <w:rPr>
          <w:rFonts w:ascii="Arial" w:cs="Arial" w:eastAsia="Arial" w:hAnsi="Arial"/>
          <w:b/>
          <w:bCs/>
          <w:sz w:val="22"/>
          <w:szCs w:val="22"/>
        </w:rPr>
        <w:t xml:space="preserve">Language: </w:t>
      </w:r>
      <w:r>
        <w:rPr>
          <w:rFonts w:ascii="Arial" w:cs="Arial" w:eastAsia="Arial" w:hAnsi="Arial"/>
          <w:sz w:val="22"/>
          <w:szCs w:val="22"/>
        </w:rPr>
        <w:t xml:space="preserve">Spanish</w:t>
      </w:r>
    </w:p>
    <w:p>
      <w:pPr>
        <w:spacing w:after="80"/>
      </w:pPr>
      <w:r>
        <w:rPr>
          <w:rFonts w:ascii="Arial" w:cs="Arial" w:eastAsia="Arial" w:hAnsi="Arial"/>
          <w:b/>
          <w:bCs/>
          <w:sz w:val="22"/>
          <w:szCs w:val="22"/>
        </w:rPr>
        <w:t xml:space="preserve">Legal Analysis: </w:t>
      </w:r>
      <w:r>
        <w:rPr>
          <w:rFonts w:ascii="Arial" w:cs="Arial" w:eastAsia="Arial" w:hAnsi="Arial"/>
          <w:sz w:val="22"/>
          <w:szCs w:val="22"/>
        </w:rPr>
        <w:t xml:space="preserve">Official publication compliance. Public records legislation.</w:t>
      </w:r>
    </w:p>
    <w:p>
      <w:pPr>
        <w:spacing w:after="80"/>
      </w:pPr>
      <w:r>
        <w:rPr>
          <w:rFonts w:ascii="Arial" w:cs="Arial" w:eastAsia="Arial" w:hAnsi="Arial"/>
          <w:b/>
          <w:bCs/>
          <w:sz w:val="22"/>
          <w:szCs w:val="22"/>
        </w:rPr>
        <w:t xml:space="preserve">Technical Complexity: </w:t>
      </w:r>
      <w:r>
        <w:rPr>
          <w:rFonts w:ascii="Arial" w:cs="Arial" w:eastAsia="Arial" w:hAnsi="Arial"/>
          <w:sz w:val="22"/>
          <w:szCs w:val="22"/>
        </w:rPr>
        <w:t xml:space="preserve">Medium (web parsing, community API)</w:t>
      </w:r>
    </w:p>
    <w:p>
      <w:pPr>
        <w:spacing w:after="200"/>
      </w:pPr>
    </w:p>
    <w:p>
      <w:pPr>
        <w:pStyle w:val="Heading3"/>
      </w:pPr>
      <w:r>
        <w:t xml:space="preserve">SCJN (Supreme Court)</w:t>
      </w:r>
    </w:p>
    <w:p>
      <w:pPr>
        <w:spacing w:after="80"/>
      </w:pPr>
      <w:r>
        <w:rPr>
          <w:rFonts w:ascii="Arial" w:cs="Arial" w:eastAsia="Arial" w:hAnsi="Arial"/>
          <w:b/>
          <w:bCs/>
          <w:sz w:val="22"/>
          <w:szCs w:val="22"/>
        </w:rPr>
        <w:t xml:space="preserve">URL: </w:t>
      </w:r>
      <w:r>
        <w:rPr>
          <w:rFonts w:ascii="Arial" w:cs="Arial" w:eastAsia="Arial" w:hAnsi="Arial"/>
          <w:sz w:val="22"/>
          <w:szCs w:val="22"/>
        </w:rPr>
        <w:t xml:space="preserve">https://www.scjn.gob.mx/</w:t>
      </w:r>
    </w:p>
    <w:p>
      <w:pPr>
        <w:spacing w:after="80"/>
      </w:pPr>
      <w:r>
        <w:rPr>
          <w:rFonts w:ascii="Arial" w:cs="Arial" w:eastAsia="Arial" w:hAnsi="Arial"/>
          <w:b/>
          <w:bCs/>
          <w:sz w:val="22"/>
          <w:szCs w:val="22"/>
        </w:rPr>
        <w:t xml:space="preserve">Volume: </w:t>
      </w:r>
      <w:r>
        <w:rPr>
          <w:rFonts w:ascii="Arial" w:cs="Arial" w:eastAsia="Arial" w:hAnsi="Arial"/>
          <w:sz w:val="22"/>
          <w:szCs w:val="22"/>
        </w:rPr>
        <w:t xml:space="preserve">Millions of digitized files; thousands of decisions annually</w:t>
      </w:r>
    </w:p>
    <w:p>
      <w:pPr>
        <w:spacing w:after="80"/>
      </w:pPr>
      <w:r>
        <w:rPr>
          <w:rFonts w:ascii="Arial" w:cs="Arial" w:eastAsia="Arial" w:hAnsi="Arial"/>
          <w:b/>
          <w:bCs/>
          <w:sz w:val="22"/>
          <w:szCs w:val="22"/>
        </w:rPr>
        <w:t xml:space="preserve">Access Method: </w:t>
      </w:r>
      <w:r>
        <w:rPr>
          <w:rFonts w:ascii="Arial" w:cs="Arial" w:eastAsia="Arial" w:hAnsi="Arial"/>
          <w:sz w:val="22"/>
          <w:szCs w:val="22"/>
        </w:rPr>
        <w:t xml:space="preserve">Web-based search portal. No programmatic API.</w:t>
      </w:r>
    </w:p>
    <w:p>
      <w:pPr>
        <w:spacing w:after="80"/>
      </w:pPr>
      <w:r>
        <w:rPr>
          <w:rFonts w:ascii="Arial" w:cs="Arial" w:eastAsia="Arial" w:hAnsi="Arial"/>
          <w:b/>
          <w:bCs/>
          <w:sz w:val="22"/>
          <w:szCs w:val="22"/>
        </w:rPr>
        <w:t xml:space="preserve">Data Format: </w:t>
      </w:r>
      <w:r>
        <w:rPr>
          <w:rFonts w:ascii="Arial" w:cs="Arial" w:eastAsia="Arial" w:hAnsi="Arial"/>
          <w:sz w:val="22"/>
          <w:szCs w:val="22"/>
        </w:rPr>
        <w:t xml:space="preserve">PDF, HTML</w:t>
      </w:r>
    </w:p>
    <w:p>
      <w:pPr>
        <w:spacing w:after="80"/>
      </w:pPr>
      <w:r>
        <w:rPr>
          <w:rFonts w:ascii="Arial" w:cs="Arial" w:eastAsia="Arial" w:hAnsi="Arial"/>
          <w:b/>
          <w:bCs/>
          <w:sz w:val="22"/>
          <w:szCs w:val="22"/>
        </w:rPr>
        <w:t xml:space="preserve">Update Frequency: </w:t>
      </w:r>
      <w:r>
        <w:rPr>
          <w:rFonts w:ascii="Arial" w:cs="Arial" w:eastAsia="Arial" w:hAnsi="Arial"/>
          <w:sz w:val="22"/>
          <w:szCs w:val="22"/>
        </w:rPr>
        <w:t xml:space="preserve">Continuous (new decisions)</w:t>
      </w:r>
    </w:p>
    <w:p>
      <w:pPr>
        <w:spacing w:after="80"/>
      </w:pPr>
      <w:r>
        <w:rPr>
          <w:rFonts w:ascii="Arial" w:cs="Arial" w:eastAsia="Arial" w:hAnsi="Arial"/>
          <w:b/>
          <w:bCs/>
          <w:sz w:val="22"/>
          <w:szCs w:val="22"/>
        </w:rPr>
        <w:t xml:space="preserve">Cost: </w:t>
      </w:r>
      <w:r>
        <w:rPr>
          <w:rFonts w:ascii="Arial" w:cs="Arial" w:eastAsia="Arial" w:hAnsi="Arial"/>
          <w:sz w:val="22"/>
          <w:szCs w:val="22"/>
        </w:rPr>
        <w:t xml:space="preserve">Free public access</w:t>
      </w:r>
    </w:p>
    <w:p>
      <w:pPr>
        <w:spacing w:after="80"/>
      </w:pPr>
      <w:r>
        <w:rPr>
          <w:rFonts w:ascii="Arial" w:cs="Arial" w:eastAsia="Arial" w:hAnsi="Arial"/>
          <w:b/>
          <w:bCs/>
          <w:sz w:val="22"/>
          <w:szCs w:val="22"/>
        </w:rPr>
        <w:t xml:space="preserve">Language: </w:t>
      </w:r>
      <w:r>
        <w:rPr>
          <w:rFonts w:ascii="Arial" w:cs="Arial" w:eastAsia="Arial" w:hAnsi="Arial"/>
          <w:sz w:val="22"/>
          <w:szCs w:val="22"/>
        </w:rPr>
        <w:t xml:space="preserve">Spanish</w:t>
      </w:r>
    </w:p>
    <w:p>
      <w:pPr>
        <w:spacing w:after="80"/>
      </w:pPr>
      <w:r>
        <w:rPr>
          <w:rFonts w:ascii="Arial" w:cs="Arial" w:eastAsia="Arial" w:hAnsi="Arial"/>
          <w:b/>
          <w:bCs/>
          <w:sz w:val="22"/>
          <w:szCs w:val="22"/>
        </w:rPr>
        <w:t xml:space="preserve">Legal Analysis: </w:t>
      </w:r>
      <w:r>
        <w:rPr>
          <w:rFonts w:ascii="Arial" w:cs="Arial" w:eastAsia="Arial" w:hAnsi="Arial"/>
          <w:sz w:val="22"/>
          <w:szCs w:val="22"/>
        </w:rPr>
        <w:t xml:space="preserve">Judicial confidentiality. Data privacy for case parties.</w:t>
      </w:r>
    </w:p>
    <w:p>
      <w:pPr>
        <w:spacing w:after="80"/>
      </w:pPr>
      <w:r>
        <w:rPr>
          <w:rFonts w:ascii="Arial" w:cs="Arial" w:eastAsia="Arial" w:hAnsi="Arial"/>
          <w:b/>
          <w:bCs/>
          <w:sz w:val="22"/>
          <w:szCs w:val="22"/>
        </w:rPr>
        <w:t xml:space="preserve">Technical Complexity: </w:t>
      </w:r>
      <w:r>
        <w:rPr>
          <w:rFonts w:ascii="Arial" w:cs="Arial" w:eastAsia="Arial" w:hAnsi="Arial"/>
          <w:sz w:val="22"/>
          <w:szCs w:val="22"/>
        </w:rPr>
        <w:t xml:space="preserve">Low-Medium (web scraping required)</w:t>
      </w:r>
    </w:p>
    <w:p>
      <w:pPr>
        <w:spacing w:after="200"/>
      </w:pPr>
    </w:p>
    <w:p>
      <w:pPr>
        <w:pStyle w:val="Heading2"/>
      </w:pPr>
      <w:r>
        <w:t xml:space="preserve">Colombia</w:t>
      </w:r>
    </w:p>
    <w:p>
      <w:pPr>
        <w:pStyle w:val="Heading3"/>
      </w:pPr>
      <w:r>
        <w:t xml:space="preserve">Superintendencia de Sociedades</w:t>
      </w:r>
    </w:p>
    <w:p>
      <w:pPr>
        <w:spacing w:after="80"/>
      </w:pPr>
      <w:r>
        <w:rPr>
          <w:rFonts w:ascii="Arial" w:cs="Arial" w:eastAsia="Arial" w:hAnsi="Arial"/>
          <w:b/>
          <w:bCs/>
          <w:sz w:val="22"/>
          <w:szCs w:val="22"/>
        </w:rPr>
        <w:t xml:space="preserve">URL: </w:t>
      </w:r>
      <w:r>
        <w:rPr>
          <w:rFonts w:ascii="Arial" w:cs="Arial" w:eastAsia="Arial" w:hAnsi="Arial"/>
          <w:sz w:val="22"/>
          <w:szCs w:val="22"/>
        </w:rPr>
        <w:t xml:space="preserve">https://www.supersociedades.gov.co/ | SIIS: https://siis.ia.supersociedades.gov.co/</w:t>
      </w:r>
    </w:p>
    <w:p>
      <w:pPr>
        <w:spacing w:after="80"/>
      </w:pPr>
      <w:r>
        <w:rPr>
          <w:rFonts w:ascii="Arial" w:cs="Arial" w:eastAsia="Arial" w:hAnsi="Arial"/>
          <w:b/>
          <w:bCs/>
          <w:sz w:val="22"/>
          <w:szCs w:val="22"/>
        </w:rPr>
        <w:t xml:space="preserve">Volume: </w:t>
      </w:r>
      <w:r>
        <w:rPr>
          <w:rFonts w:ascii="Arial" w:cs="Arial" w:eastAsia="Arial" w:hAnsi="Arial"/>
          <w:sz w:val="22"/>
          <w:szCs w:val="22"/>
        </w:rPr>
        <w:t xml:space="preserve">Millions of corporate records and financial statements</w:t>
      </w:r>
    </w:p>
    <w:p>
      <w:pPr>
        <w:spacing w:after="80"/>
      </w:pPr>
      <w:r>
        <w:rPr>
          <w:rFonts w:ascii="Arial" w:cs="Arial" w:eastAsia="Arial" w:hAnsi="Arial"/>
          <w:b/>
          <w:bCs/>
          <w:sz w:val="22"/>
          <w:szCs w:val="22"/>
        </w:rPr>
        <w:t xml:space="preserve">Access Method: </w:t>
      </w:r>
      <w:r>
        <w:rPr>
          <w:rFonts w:ascii="Arial" w:cs="Arial" w:eastAsia="Arial" w:hAnsi="Arial"/>
          <w:sz w:val="22"/>
          <w:szCs w:val="22"/>
        </w:rPr>
        <w:t xml:space="preserve">SIIS web portal (free); SIREM reporting system. No official API.</w:t>
      </w:r>
    </w:p>
    <w:p>
      <w:pPr>
        <w:spacing w:after="80"/>
      </w:pPr>
      <w:r>
        <w:rPr>
          <w:rFonts w:ascii="Arial" w:cs="Arial" w:eastAsia="Arial" w:hAnsi="Arial"/>
          <w:b/>
          <w:bCs/>
          <w:sz w:val="22"/>
          <w:szCs w:val="22"/>
        </w:rPr>
        <w:t xml:space="preserve">Data Format: </w:t>
      </w:r>
      <w:r>
        <w:rPr>
          <w:rFonts w:ascii="Arial" w:cs="Arial" w:eastAsia="Arial" w:hAnsi="Arial"/>
          <w:sz w:val="22"/>
          <w:szCs w:val="22"/>
        </w:rPr>
        <w:t xml:space="preserve">HTML, downloadable reports</w:t>
      </w:r>
    </w:p>
    <w:p>
      <w:pPr>
        <w:spacing w:after="80"/>
      </w:pPr>
      <w:r>
        <w:rPr>
          <w:rFonts w:ascii="Arial" w:cs="Arial" w:eastAsia="Arial" w:hAnsi="Arial"/>
          <w:b/>
          <w:bCs/>
          <w:sz w:val="22"/>
          <w:szCs w:val="22"/>
        </w:rPr>
        <w:t xml:space="preserve">Update Frequency: </w:t>
      </w:r>
      <w:r>
        <w:rPr>
          <w:rFonts w:ascii="Arial" w:cs="Arial" w:eastAsia="Arial" w:hAnsi="Arial"/>
          <w:sz w:val="22"/>
          <w:szCs w:val="22"/>
        </w:rPr>
        <w:t xml:space="preserve">Regular (based on filing requirements)</w:t>
      </w:r>
    </w:p>
    <w:p>
      <w:pPr>
        <w:spacing w:after="80"/>
      </w:pPr>
      <w:r>
        <w:rPr>
          <w:rFonts w:ascii="Arial" w:cs="Arial" w:eastAsia="Arial" w:hAnsi="Arial"/>
          <w:b/>
          <w:bCs/>
          <w:sz w:val="22"/>
          <w:szCs w:val="22"/>
        </w:rPr>
        <w:t xml:space="preserve">Cost: </w:t>
      </w:r>
      <w:r>
        <w:rPr>
          <w:rFonts w:ascii="Arial" w:cs="Arial" w:eastAsia="Arial" w:hAnsi="Arial"/>
          <w:sz w:val="22"/>
          <w:szCs w:val="22"/>
        </w:rPr>
        <w:t xml:space="preserve">Free public access</w:t>
      </w:r>
    </w:p>
    <w:p>
      <w:pPr>
        <w:spacing w:after="80"/>
      </w:pPr>
      <w:r>
        <w:rPr>
          <w:rFonts w:ascii="Arial" w:cs="Arial" w:eastAsia="Arial" w:hAnsi="Arial"/>
          <w:b/>
          <w:bCs/>
          <w:sz w:val="22"/>
          <w:szCs w:val="22"/>
        </w:rPr>
        <w:t xml:space="preserve">Language: </w:t>
      </w:r>
      <w:r>
        <w:rPr>
          <w:rFonts w:ascii="Arial" w:cs="Arial" w:eastAsia="Arial" w:hAnsi="Arial"/>
          <w:sz w:val="22"/>
          <w:szCs w:val="22"/>
        </w:rPr>
        <w:t xml:space="preserve">Spanish</w:t>
      </w:r>
    </w:p>
    <w:p>
      <w:pPr>
        <w:spacing w:after="80"/>
      </w:pPr>
      <w:r>
        <w:rPr>
          <w:rFonts w:ascii="Arial" w:cs="Arial" w:eastAsia="Arial" w:hAnsi="Arial"/>
          <w:b/>
          <w:bCs/>
          <w:sz w:val="22"/>
          <w:szCs w:val="22"/>
        </w:rPr>
        <w:t xml:space="preserve">Legal Analysis: </w:t>
      </w:r>
      <w:r>
        <w:rPr>
          <w:rFonts w:ascii="Arial" w:cs="Arial" w:eastAsia="Arial" w:hAnsi="Arial"/>
          <w:sz w:val="22"/>
          <w:szCs w:val="22"/>
        </w:rPr>
        <w:t xml:space="preserve">Corporate Law compliance. Law 1581/2012 data protection (Decreto 1377/2013).</w:t>
      </w:r>
    </w:p>
    <w:p>
      <w:pPr>
        <w:spacing w:after="80"/>
      </w:pPr>
      <w:r>
        <w:rPr>
          <w:rFonts w:ascii="Arial" w:cs="Arial" w:eastAsia="Arial" w:hAnsi="Arial"/>
          <w:b/>
          <w:bCs/>
          <w:sz w:val="22"/>
          <w:szCs w:val="22"/>
        </w:rPr>
        <w:t xml:space="preserve">Technical Complexity: </w:t>
      </w:r>
      <w:r>
        <w:rPr>
          <w:rFonts w:ascii="Arial" w:cs="Arial" w:eastAsia="Arial" w:hAnsi="Arial"/>
          <w:sz w:val="22"/>
          <w:szCs w:val="22"/>
        </w:rPr>
        <w:t xml:space="preserve">Low (web interface)</w:t>
      </w:r>
    </w:p>
    <w:p>
      <w:pPr>
        <w:spacing w:after="200"/>
      </w:pPr>
    </w:p>
    <w:p>
      <w:pPr>
        <w:pStyle w:val="Heading3"/>
      </w:pPr>
      <w:r>
        <w:t xml:space="preserve">SIC (IP Office) and Rama Judicial</w:t>
      </w:r>
    </w:p>
    <w:p>
      <w:pPr>
        <w:spacing w:after="80"/>
      </w:pPr>
      <w:r>
        <w:rPr>
          <w:rFonts w:ascii="Arial" w:cs="Arial" w:eastAsia="Arial" w:hAnsi="Arial"/>
          <w:b/>
          <w:bCs/>
          <w:sz w:val="22"/>
          <w:szCs w:val="22"/>
        </w:rPr>
        <w:t xml:space="preserve">URL: </w:t>
      </w:r>
      <w:r>
        <w:rPr>
          <w:rFonts w:ascii="Arial" w:cs="Arial" w:eastAsia="Arial" w:hAnsi="Arial"/>
          <w:sz w:val="22"/>
          <w:szCs w:val="22"/>
        </w:rPr>
        <w:t xml:space="preserve">SIC: https://www.sic.gov.co/ | SIPI: https://sipi.sic.gov.co/ | Rama Judicial: https://www.ramajudicial.gov.co/ | Open data: https://www.datos.gov.co/</w:t>
      </w:r>
    </w:p>
    <w:p>
      <w:pPr>
        <w:spacing w:after="80"/>
      </w:pPr>
      <w:r>
        <w:rPr>
          <w:rFonts w:ascii="Arial" w:cs="Arial" w:eastAsia="Arial" w:hAnsi="Arial"/>
          <w:b/>
          <w:bCs/>
          <w:sz w:val="22"/>
          <w:szCs w:val="22"/>
        </w:rPr>
        <w:t xml:space="preserve">Volume: </w:t>
      </w:r>
      <w:r>
        <w:rPr>
          <w:rFonts w:ascii="Arial" w:cs="Arial" w:eastAsia="Arial" w:hAnsi="Arial"/>
          <w:sz w:val="22"/>
          <w:szCs w:val="22"/>
        </w:rPr>
        <w:t xml:space="preserve">Millions of IP records and judicial cases</w:t>
      </w:r>
    </w:p>
    <w:p>
      <w:pPr>
        <w:spacing w:after="80"/>
      </w:pPr>
      <w:r>
        <w:rPr>
          <w:rFonts w:ascii="Arial" w:cs="Arial" w:eastAsia="Arial" w:hAnsi="Arial"/>
          <w:b/>
          <w:bCs/>
          <w:sz w:val="22"/>
          <w:szCs w:val="22"/>
        </w:rPr>
        <w:t xml:space="preserve">Access Method: </w:t>
      </w:r>
      <w:r>
        <w:rPr>
          <w:rFonts w:ascii="Arial" w:cs="Arial" w:eastAsia="Arial" w:hAnsi="Arial"/>
          <w:sz w:val="22"/>
          <w:szCs w:val="22"/>
        </w:rPr>
        <w:t xml:space="preserve">SIPI web search; CKAN API via datos.gov.co; Manual case lookup. Third-party services (Monolegal).</w:t>
      </w:r>
    </w:p>
    <w:p>
      <w:pPr>
        <w:spacing w:after="80"/>
      </w:pPr>
      <w:r>
        <w:rPr>
          <w:rFonts w:ascii="Arial" w:cs="Arial" w:eastAsia="Arial" w:hAnsi="Arial"/>
          <w:b/>
          <w:bCs/>
          <w:sz w:val="22"/>
          <w:szCs w:val="22"/>
        </w:rPr>
        <w:t xml:space="preserve">Data Format: </w:t>
      </w:r>
      <w:r>
        <w:rPr>
          <w:rFonts w:ascii="Arial" w:cs="Arial" w:eastAsia="Arial" w:hAnsi="Arial"/>
          <w:sz w:val="22"/>
          <w:szCs w:val="22"/>
        </w:rPr>
        <w:t xml:space="preserve">XML, CSV, HTML</w:t>
      </w:r>
    </w:p>
    <w:p>
      <w:pPr>
        <w:spacing w:after="80"/>
      </w:pPr>
      <w:r>
        <w:rPr>
          <w:rFonts w:ascii="Arial" w:cs="Arial" w:eastAsia="Arial" w:hAnsi="Arial"/>
          <w:b/>
          <w:bCs/>
          <w:sz w:val="22"/>
          <w:szCs w:val="22"/>
        </w:rPr>
        <w:t xml:space="preserve">Update Frequency: </w:t>
      </w:r>
      <w:r>
        <w:rPr>
          <w:rFonts w:ascii="Arial" w:cs="Arial" w:eastAsia="Arial" w:hAnsi="Arial"/>
          <w:sz w:val="22"/>
          <w:szCs w:val="22"/>
        </w:rPr>
        <w:t xml:space="preserve">Daily (new filings and decisions)</w:t>
      </w:r>
    </w:p>
    <w:p>
      <w:pPr>
        <w:spacing w:after="80"/>
      </w:pPr>
      <w:r>
        <w:rPr>
          <w:rFonts w:ascii="Arial" w:cs="Arial" w:eastAsia="Arial" w:hAnsi="Arial"/>
          <w:b/>
          <w:bCs/>
          <w:sz w:val="22"/>
          <w:szCs w:val="22"/>
        </w:rPr>
        <w:t xml:space="preserve">Cost: </w:t>
      </w:r>
      <w:r>
        <w:rPr>
          <w:rFonts w:ascii="Arial" w:cs="Arial" w:eastAsia="Arial" w:hAnsi="Arial"/>
          <w:sz w:val="22"/>
          <w:szCs w:val="22"/>
        </w:rPr>
        <w:t xml:space="preserve">Free public access</w:t>
      </w:r>
    </w:p>
    <w:p>
      <w:pPr>
        <w:spacing w:after="80"/>
      </w:pPr>
      <w:r>
        <w:rPr>
          <w:rFonts w:ascii="Arial" w:cs="Arial" w:eastAsia="Arial" w:hAnsi="Arial"/>
          <w:b/>
          <w:bCs/>
          <w:sz w:val="22"/>
          <w:szCs w:val="22"/>
        </w:rPr>
        <w:t xml:space="preserve">Language: </w:t>
      </w:r>
      <w:r>
        <w:rPr>
          <w:rFonts w:ascii="Arial" w:cs="Arial" w:eastAsia="Arial" w:hAnsi="Arial"/>
          <w:sz w:val="22"/>
          <w:szCs w:val="22"/>
        </w:rPr>
        <w:t xml:space="preserve">Spanish</w:t>
      </w:r>
    </w:p>
    <w:p>
      <w:pPr>
        <w:spacing w:after="80"/>
      </w:pPr>
      <w:r>
        <w:rPr>
          <w:rFonts w:ascii="Arial" w:cs="Arial" w:eastAsia="Arial" w:hAnsi="Arial"/>
          <w:b/>
          <w:bCs/>
          <w:sz w:val="22"/>
          <w:szCs w:val="22"/>
        </w:rPr>
        <w:t xml:space="preserve">Legal Analysis: </w:t>
      </w:r>
      <w:r>
        <w:rPr>
          <w:rFonts w:ascii="Arial" w:cs="Arial" w:eastAsia="Arial" w:hAnsi="Arial"/>
          <w:sz w:val="22"/>
          <w:szCs w:val="22"/>
        </w:rPr>
        <w:t xml:space="preserve">Law 1581/2012 (similar EU-style framework). Enforcement via SIC. Judicial confidentiality rules.</w:t>
      </w:r>
    </w:p>
    <w:p>
      <w:pPr>
        <w:spacing w:after="80"/>
      </w:pPr>
      <w:r>
        <w:rPr>
          <w:rFonts w:ascii="Arial" w:cs="Arial" w:eastAsia="Arial" w:hAnsi="Arial"/>
          <w:b/>
          <w:bCs/>
          <w:sz w:val="22"/>
          <w:szCs w:val="22"/>
        </w:rPr>
        <w:t xml:space="preserve">Technical Complexity: </w:t>
      </w:r>
      <w:r>
        <w:rPr>
          <w:rFonts w:ascii="Arial" w:cs="Arial" w:eastAsia="Arial" w:hAnsi="Arial"/>
          <w:sz w:val="22"/>
          <w:szCs w:val="22"/>
        </w:rPr>
        <w:t xml:space="preserve">Low-Medium (web scraping, open data API)</w:t>
      </w:r>
    </w:p>
    <w:p>
      <w:pPr>
        <w:spacing w:after="200"/>
      </w:pPr>
    </w:p>
    <w:p>
      <w:pPr>
        <w:pStyle w:val="Heading2"/>
      </w:pPr>
      <w:r>
        <w:t xml:space="preserve">Chile</w:t>
      </w:r>
    </w:p>
    <w:p>
      <w:pPr>
        <w:pStyle w:val="Heading3"/>
      </w:pPr>
      <w:r>
        <w:t xml:space="preserve">CMF (Financial Regulator)</w:t>
      </w:r>
    </w:p>
    <w:p>
      <w:pPr>
        <w:spacing w:after="80"/>
      </w:pPr>
      <w:r>
        <w:rPr>
          <w:rFonts w:ascii="Arial" w:cs="Arial" w:eastAsia="Arial" w:hAnsi="Arial"/>
          <w:b/>
          <w:bCs/>
          <w:sz w:val="22"/>
          <w:szCs w:val="22"/>
        </w:rPr>
        <w:t xml:space="preserve">URL: </w:t>
      </w:r>
      <w:r>
        <w:rPr>
          <w:rFonts w:ascii="Arial" w:cs="Arial" w:eastAsia="Arial" w:hAnsi="Arial"/>
          <w:sz w:val="22"/>
          <w:szCs w:val="22"/>
        </w:rPr>
        <w:t xml:space="preserve">https://www.cmfchile.cl/ | API: https://api.cmfchile.cl/ | Docs: https://api.cmfchile.cl/documentacion/index.html</w:t>
      </w:r>
    </w:p>
    <w:p>
      <w:pPr>
        <w:spacing w:after="80"/>
      </w:pPr>
      <w:r>
        <w:rPr>
          <w:rFonts w:ascii="Arial" w:cs="Arial" w:eastAsia="Arial" w:hAnsi="Arial"/>
          <w:b/>
          <w:bCs/>
          <w:sz w:val="22"/>
          <w:szCs w:val="22"/>
        </w:rPr>
        <w:t xml:space="preserve">Volume: </w:t>
      </w:r>
      <w:r>
        <w:rPr>
          <w:rFonts w:ascii="Arial" w:cs="Arial" w:eastAsia="Arial" w:hAnsi="Arial"/>
          <w:sz w:val="22"/>
          <w:szCs w:val="22"/>
        </w:rPr>
        <w:t xml:space="preserve">Extensive financial market data covering banks, insurance, securities</w:t>
      </w:r>
    </w:p>
    <w:p>
      <w:pPr>
        <w:spacing w:after="80"/>
      </w:pPr>
      <w:r>
        <w:rPr>
          <w:rFonts w:ascii="Arial" w:cs="Arial" w:eastAsia="Arial" w:hAnsi="Arial"/>
          <w:b/>
          <w:bCs/>
          <w:sz w:val="22"/>
          <w:szCs w:val="22"/>
        </w:rPr>
        <w:t xml:space="preserve">Access Method: </w:t>
      </w:r>
      <w:r>
        <w:rPr>
          <w:rFonts w:ascii="Arial" w:cs="Arial" w:eastAsia="Arial" w:hAnsi="Arial"/>
          <w:sz w:val="22"/>
          <w:szCs w:val="22"/>
        </w:rPr>
        <w:t xml:space="preserve">REST API with authentication key; Web portal. SSL/HTTPS required.</w:t>
      </w:r>
    </w:p>
    <w:p>
      <w:pPr>
        <w:spacing w:after="80"/>
      </w:pPr>
      <w:r>
        <w:rPr>
          <w:rFonts w:ascii="Arial" w:cs="Arial" w:eastAsia="Arial" w:hAnsi="Arial"/>
          <w:b/>
          <w:bCs/>
          <w:sz w:val="22"/>
          <w:szCs w:val="22"/>
        </w:rPr>
        <w:t xml:space="preserve">Data Format: </w:t>
      </w:r>
      <w:r>
        <w:rPr>
          <w:rFonts w:ascii="Arial" w:cs="Arial" w:eastAsia="Arial" w:hAnsi="Arial"/>
          <w:sz w:val="22"/>
          <w:szCs w:val="22"/>
        </w:rPr>
        <w:t xml:space="preserve">JSON, XML</w:t>
      </w:r>
    </w:p>
    <w:p>
      <w:pPr>
        <w:spacing w:after="80"/>
      </w:pPr>
      <w:r>
        <w:rPr>
          <w:rFonts w:ascii="Arial" w:cs="Arial" w:eastAsia="Arial" w:hAnsi="Arial"/>
          <w:b/>
          <w:bCs/>
          <w:sz w:val="22"/>
          <w:szCs w:val="22"/>
        </w:rPr>
        <w:t xml:space="preserve">Update Frequency: </w:t>
      </w:r>
      <w:r>
        <w:rPr>
          <w:rFonts w:ascii="Arial" w:cs="Arial" w:eastAsia="Arial" w:hAnsi="Arial"/>
          <w:sz w:val="22"/>
          <w:szCs w:val="22"/>
        </w:rPr>
        <w:t xml:space="preserve">Real-time (market data); daily aggregations</w:t>
      </w:r>
    </w:p>
    <w:p>
      <w:pPr>
        <w:spacing w:after="80"/>
      </w:pPr>
      <w:r>
        <w:rPr>
          <w:rFonts w:ascii="Arial" w:cs="Arial" w:eastAsia="Arial" w:hAnsi="Arial"/>
          <w:b/>
          <w:bCs/>
          <w:sz w:val="22"/>
          <w:szCs w:val="22"/>
        </w:rPr>
        <w:t xml:space="preserve">Cost: </w:t>
      </w:r>
      <w:r>
        <w:rPr>
          <w:rFonts w:ascii="Arial" w:cs="Arial" w:eastAsia="Arial" w:hAnsi="Arial"/>
          <w:sz w:val="22"/>
          <w:szCs w:val="22"/>
        </w:rPr>
        <w:t xml:space="preserve">Free API access (requires registration for API key); rate limits per account</w:t>
      </w:r>
    </w:p>
    <w:p>
      <w:pPr>
        <w:spacing w:after="80"/>
      </w:pPr>
      <w:r>
        <w:rPr>
          <w:rFonts w:ascii="Arial" w:cs="Arial" w:eastAsia="Arial" w:hAnsi="Arial"/>
          <w:b/>
          <w:bCs/>
          <w:sz w:val="22"/>
          <w:szCs w:val="22"/>
        </w:rPr>
        <w:t xml:space="preserve">Language: </w:t>
      </w:r>
      <w:r>
        <w:rPr>
          <w:rFonts w:ascii="Arial" w:cs="Arial" w:eastAsia="Arial" w:hAnsi="Arial"/>
          <w:sz w:val="22"/>
          <w:szCs w:val="22"/>
        </w:rPr>
        <w:t xml:space="preserve">Spanish (primary); some English documentation</w:t>
      </w:r>
    </w:p>
    <w:p>
      <w:pPr>
        <w:spacing w:after="80"/>
      </w:pPr>
      <w:r>
        <w:rPr>
          <w:rFonts w:ascii="Arial" w:cs="Arial" w:eastAsia="Arial" w:hAnsi="Arial"/>
          <w:b/>
          <w:bCs/>
          <w:sz w:val="22"/>
          <w:szCs w:val="22"/>
        </w:rPr>
        <w:t xml:space="preserve">Legal Analysis: </w:t>
      </w:r>
      <w:r>
        <w:rPr>
          <w:rFonts w:ascii="Arial" w:cs="Arial" w:eastAsia="Arial" w:hAnsi="Arial"/>
          <w:sz w:val="22"/>
          <w:szCs w:val="22"/>
        </w:rPr>
        <w:t xml:space="preserve">Financial regulation compliance. Data protection under new Law 21.719 (effective December 2026).</w:t>
      </w:r>
    </w:p>
    <w:p>
      <w:pPr>
        <w:spacing w:after="80"/>
      </w:pPr>
      <w:r>
        <w:rPr>
          <w:rFonts w:ascii="Arial" w:cs="Arial" w:eastAsia="Arial" w:hAnsi="Arial"/>
          <w:b/>
          <w:bCs/>
          <w:sz w:val="22"/>
          <w:szCs w:val="22"/>
        </w:rPr>
        <w:t xml:space="preserve">Technical Complexity: </w:t>
      </w:r>
      <w:r>
        <w:rPr>
          <w:rFonts w:ascii="Arial" w:cs="Arial" w:eastAsia="Arial" w:hAnsi="Arial"/>
          <w:sz w:val="22"/>
          <w:szCs w:val="22"/>
        </w:rPr>
        <w:t xml:space="preserve">Medium (REST API, API key authentication)</w:t>
      </w:r>
    </w:p>
    <w:p>
      <w:pPr>
        <w:spacing w:after="200"/>
      </w:pPr>
    </w:p>
    <w:p>
      <w:pPr>
        <w:pStyle w:val="Heading3"/>
      </w:pPr>
      <w:r>
        <w:t xml:space="preserve">INAPI (IP Office)</w:t>
      </w:r>
    </w:p>
    <w:p>
      <w:pPr>
        <w:spacing w:after="80"/>
      </w:pPr>
      <w:r>
        <w:rPr>
          <w:rFonts w:ascii="Arial" w:cs="Arial" w:eastAsia="Arial" w:hAnsi="Arial"/>
          <w:b/>
          <w:bCs/>
          <w:sz w:val="22"/>
          <w:szCs w:val="22"/>
        </w:rPr>
        <w:t xml:space="preserve">URL: </w:t>
      </w:r>
      <w:r>
        <w:rPr>
          <w:rFonts w:ascii="Arial" w:cs="Arial" w:eastAsia="Arial" w:hAnsi="Arial"/>
          <w:sz w:val="22"/>
          <w:szCs w:val="22"/>
        </w:rPr>
        <w:t xml:space="preserve">https://www.inapi.cl | English: https://www.inapi.cl/en/home</w:t>
      </w:r>
    </w:p>
    <w:p>
      <w:pPr>
        <w:spacing w:after="80"/>
      </w:pPr>
      <w:r>
        <w:rPr>
          <w:rFonts w:ascii="Arial" w:cs="Arial" w:eastAsia="Arial" w:hAnsi="Arial"/>
          <w:b/>
          <w:bCs/>
          <w:sz w:val="22"/>
          <w:szCs w:val="22"/>
        </w:rPr>
        <w:t xml:space="preserve">Volume: </w:t>
      </w:r>
      <w:r>
        <w:rPr>
          <w:rFonts w:ascii="Arial" w:cs="Arial" w:eastAsia="Arial" w:hAnsi="Arial"/>
          <w:sz w:val="22"/>
          <w:szCs w:val="22"/>
        </w:rPr>
        <w:t xml:space="preserve">Millions of patent and trademark records</w:t>
      </w:r>
    </w:p>
    <w:p>
      <w:pPr>
        <w:spacing w:after="80"/>
      </w:pPr>
      <w:r>
        <w:rPr>
          <w:rFonts w:ascii="Arial" w:cs="Arial" w:eastAsia="Arial" w:hAnsi="Arial"/>
          <w:b/>
          <w:bCs/>
          <w:sz w:val="22"/>
          <w:szCs w:val="22"/>
        </w:rPr>
        <w:t xml:space="preserve">Access Method: </w:t>
      </w:r>
      <w:r>
        <w:rPr>
          <w:rFonts w:ascii="Arial" w:cs="Arial" w:eastAsia="Arial" w:hAnsi="Arial"/>
          <w:sz w:val="22"/>
          <w:szCs w:val="22"/>
        </w:rPr>
        <w:t xml:space="preserve">Web-based search and download. No programmatic access.</w:t>
      </w:r>
    </w:p>
    <w:p>
      <w:pPr>
        <w:spacing w:after="80"/>
      </w:pPr>
      <w:r>
        <w:rPr>
          <w:rFonts w:ascii="Arial" w:cs="Arial" w:eastAsia="Arial" w:hAnsi="Arial"/>
          <w:b/>
          <w:bCs/>
          <w:sz w:val="22"/>
          <w:szCs w:val="22"/>
        </w:rPr>
        <w:t xml:space="preserve">Data Format: </w:t>
      </w:r>
      <w:r>
        <w:rPr>
          <w:rFonts w:ascii="Arial" w:cs="Arial" w:eastAsia="Arial" w:hAnsi="Arial"/>
          <w:sz w:val="22"/>
          <w:szCs w:val="22"/>
        </w:rPr>
        <w:t xml:space="preserve">Web interface, PDF documents</w:t>
      </w:r>
    </w:p>
    <w:p>
      <w:pPr>
        <w:spacing w:after="80"/>
      </w:pPr>
      <w:r>
        <w:rPr>
          <w:rFonts w:ascii="Arial" w:cs="Arial" w:eastAsia="Arial" w:hAnsi="Arial"/>
          <w:b/>
          <w:bCs/>
          <w:sz w:val="22"/>
          <w:szCs w:val="22"/>
        </w:rPr>
        <w:t xml:space="preserve">Update Frequency: </w:t>
      </w:r>
      <w:r>
        <w:rPr>
          <w:rFonts w:ascii="Arial" w:cs="Arial" w:eastAsia="Arial" w:hAnsi="Arial"/>
          <w:sz w:val="22"/>
          <w:szCs w:val="22"/>
        </w:rPr>
        <w:t xml:space="preserve">Daily (new filings)</w:t>
      </w:r>
    </w:p>
    <w:p>
      <w:pPr>
        <w:spacing w:after="80"/>
      </w:pPr>
      <w:r>
        <w:rPr>
          <w:rFonts w:ascii="Arial" w:cs="Arial" w:eastAsia="Arial" w:hAnsi="Arial"/>
          <w:b/>
          <w:bCs/>
          <w:sz w:val="22"/>
          <w:szCs w:val="22"/>
        </w:rPr>
        <w:t xml:space="preserve">Cost: </w:t>
      </w:r>
      <w:r>
        <w:rPr>
          <w:rFonts w:ascii="Arial" w:cs="Arial" w:eastAsia="Arial" w:hAnsi="Arial"/>
          <w:sz w:val="22"/>
          <w:szCs w:val="22"/>
        </w:rPr>
        <w:t xml:space="preserve">Free search; fees for registration</w:t>
      </w:r>
    </w:p>
    <w:p>
      <w:pPr>
        <w:spacing w:after="80"/>
      </w:pPr>
      <w:r>
        <w:rPr>
          <w:rFonts w:ascii="Arial" w:cs="Arial" w:eastAsia="Arial" w:hAnsi="Arial"/>
          <w:b/>
          <w:bCs/>
          <w:sz w:val="22"/>
          <w:szCs w:val="22"/>
        </w:rPr>
        <w:t xml:space="preserve">Language: </w:t>
      </w:r>
      <w:r>
        <w:rPr>
          <w:rFonts w:ascii="Arial" w:cs="Arial" w:eastAsia="Arial" w:hAnsi="Arial"/>
          <w:sz w:val="22"/>
          <w:szCs w:val="22"/>
        </w:rPr>
        <w:t xml:space="preserve">Spanish (primary); English available</w:t>
      </w:r>
    </w:p>
    <w:p>
      <w:pPr>
        <w:spacing w:after="80"/>
      </w:pPr>
      <w:r>
        <w:rPr>
          <w:rFonts w:ascii="Arial" w:cs="Arial" w:eastAsia="Arial" w:hAnsi="Arial"/>
          <w:b/>
          <w:bCs/>
          <w:sz w:val="22"/>
          <w:szCs w:val="22"/>
        </w:rPr>
        <w:t xml:space="preserve">Legal Analysis: </w:t>
      </w:r>
      <w:r>
        <w:rPr>
          <w:rFonts w:ascii="Arial" w:cs="Arial" w:eastAsia="Arial" w:hAnsi="Arial"/>
          <w:sz w:val="22"/>
          <w:szCs w:val="22"/>
        </w:rPr>
        <w:t xml:space="preserve">Industrial Property Law. Data privacy under new Law 21.719.</w:t>
      </w:r>
    </w:p>
    <w:p>
      <w:pPr>
        <w:spacing w:after="80"/>
      </w:pPr>
      <w:r>
        <w:rPr>
          <w:rFonts w:ascii="Arial" w:cs="Arial" w:eastAsia="Arial" w:hAnsi="Arial"/>
          <w:b/>
          <w:bCs/>
          <w:sz w:val="22"/>
          <w:szCs w:val="22"/>
        </w:rPr>
        <w:t xml:space="preserve">Technical Complexity: </w:t>
      </w:r>
      <w:r>
        <w:rPr>
          <w:rFonts w:ascii="Arial" w:cs="Arial" w:eastAsia="Arial" w:hAnsi="Arial"/>
          <w:sz w:val="22"/>
          <w:szCs w:val="22"/>
        </w:rPr>
        <w:t xml:space="preserve">Low (web interface)</w:t>
      </w:r>
    </w:p>
    <w:p>
      <w:pPr>
        <w:spacing w:after="200"/>
      </w:pPr>
    </w:p>
    <w:p>
      <w:pPr>
        <w:pStyle w:val="Heading2"/>
      </w:pPr>
      <w:r>
        <w:t xml:space="preserve">Argentina</w:t>
      </w:r>
    </w:p>
    <w:p>
      <w:pPr>
        <w:pStyle w:val="Heading3"/>
      </w:pPr>
      <w:r>
        <w:t xml:space="preserve">CNV (Securities) and INPI (IP)</w:t>
      </w:r>
    </w:p>
    <w:p>
      <w:pPr>
        <w:spacing w:after="80"/>
      </w:pPr>
      <w:r>
        <w:rPr>
          <w:rFonts w:ascii="Arial" w:cs="Arial" w:eastAsia="Arial" w:hAnsi="Arial"/>
          <w:b/>
          <w:bCs/>
          <w:sz w:val="22"/>
          <w:szCs w:val="22"/>
        </w:rPr>
        <w:t xml:space="preserve">URL: </w:t>
      </w:r>
      <w:r>
        <w:rPr>
          <w:rFonts w:ascii="Arial" w:cs="Arial" w:eastAsia="Arial" w:hAnsi="Arial"/>
          <w:sz w:val="22"/>
          <w:szCs w:val="22"/>
        </w:rPr>
        <w:t xml:space="preserve">CNV: https://www.cnv.gov.ar/ | INPI: https://www.argentina.gob.ar/inpi | Trademark search: https://portaltramites.inpi.gob.ar/marcasconsultas/busqueda</w:t>
      </w:r>
    </w:p>
    <w:p>
      <w:pPr>
        <w:spacing w:after="80"/>
      </w:pPr>
      <w:r>
        <w:rPr>
          <w:rFonts w:ascii="Arial" w:cs="Arial" w:eastAsia="Arial" w:hAnsi="Arial"/>
          <w:b/>
          <w:bCs/>
          <w:sz w:val="22"/>
          <w:szCs w:val="22"/>
        </w:rPr>
        <w:t xml:space="preserve">Volume: </w:t>
      </w:r>
      <w:r>
        <w:rPr>
          <w:rFonts w:ascii="Arial" w:cs="Arial" w:eastAsia="Arial" w:hAnsi="Arial"/>
          <w:sz w:val="22"/>
          <w:szCs w:val="22"/>
        </w:rPr>
        <w:t xml:space="preserve">Hundreds of securities issuers; millions of trademark and patent records</w:t>
      </w:r>
    </w:p>
    <w:p>
      <w:pPr>
        <w:spacing w:after="80"/>
      </w:pPr>
      <w:r>
        <w:rPr>
          <w:rFonts w:ascii="Arial" w:cs="Arial" w:eastAsia="Arial" w:hAnsi="Arial"/>
          <w:b/>
          <w:bCs/>
          <w:sz w:val="22"/>
          <w:szCs w:val="22"/>
        </w:rPr>
        <w:t xml:space="preserve">Access Method: </w:t>
      </w:r>
      <w:r>
        <w:rPr>
          <w:rFonts w:ascii="Arial" w:cs="Arial" w:eastAsia="Arial" w:hAnsi="Arial"/>
          <w:sz w:val="22"/>
          <w:szCs w:val="22"/>
        </w:rPr>
        <w:t xml:space="preserve">Web portal search (CNV, INPI). No official APIs. Third-party API via TMSearch.ai for trademarks.</w:t>
      </w:r>
    </w:p>
    <w:p>
      <w:pPr>
        <w:spacing w:after="80"/>
      </w:pPr>
      <w:r>
        <w:rPr>
          <w:rFonts w:ascii="Arial" w:cs="Arial" w:eastAsia="Arial" w:hAnsi="Arial"/>
          <w:b/>
          <w:bCs/>
          <w:sz w:val="22"/>
          <w:szCs w:val="22"/>
        </w:rPr>
        <w:t xml:space="preserve">Data Format: </w:t>
      </w:r>
      <w:r>
        <w:rPr>
          <w:rFonts w:ascii="Arial" w:cs="Arial" w:eastAsia="Arial" w:hAnsi="Arial"/>
          <w:sz w:val="22"/>
          <w:szCs w:val="22"/>
        </w:rPr>
        <w:t xml:space="preserve">PDF, web interface</w:t>
      </w:r>
    </w:p>
    <w:p>
      <w:pPr>
        <w:spacing w:after="80"/>
      </w:pPr>
      <w:r>
        <w:rPr>
          <w:rFonts w:ascii="Arial" w:cs="Arial" w:eastAsia="Arial" w:hAnsi="Arial"/>
          <w:b/>
          <w:bCs/>
          <w:sz w:val="22"/>
          <w:szCs w:val="22"/>
        </w:rPr>
        <w:t xml:space="preserve">Update Frequency: </w:t>
      </w:r>
      <w:r>
        <w:rPr>
          <w:rFonts w:ascii="Arial" w:cs="Arial" w:eastAsia="Arial" w:hAnsi="Arial"/>
          <w:sz w:val="22"/>
          <w:szCs w:val="22"/>
        </w:rPr>
        <w:t xml:space="preserve">Daily (filing submissions)</w:t>
      </w:r>
    </w:p>
    <w:p>
      <w:pPr>
        <w:spacing w:after="80"/>
      </w:pPr>
      <w:r>
        <w:rPr>
          <w:rFonts w:ascii="Arial" w:cs="Arial" w:eastAsia="Arial" w:hAnsi="Arial"/>
          <w:b/>
          <w:bCs/>
          <w:sz w:val="22"/>
          <w:szCs w:val="22"/>
        </w:rPr>
        <w:t xml:space="preserve">Cost: </w:t>
      </w:r>
      <w:r>
        <w:rPr>
          <w:rFonts w:ascii="Arial" w:cs="Arial" w:eastAsia="Arial" w:hAnsi="Arial"/>
          <w:sz w:val="22"/>
          <w:szCs w:val="22"/>
        </w:rPr>
        <w:t xml:space="preserve">Free public access; TMSearch.ai has commercial tier</w:t>
      </w:r>
    </w:p>
    <w:p>
      <w:pPr>
        <w:spacing w:after="80"/>
      </w:pPr>
      <w:r>
        <w:rPr>
          <w:rFonts w:ascii="Arial" w:cs="Arial" w:eastAsia="Arial" w:hAnsi="Arial"/>
          <w:b/>
          <w:bCs/>
          <w:sz w:val="22"/>
          <w:szCs w:val="22"/>
        </w:rPr>
        <w:t xml:space="preserve">Language: </w:t>
      </w:r>
      <w:r>
        <w:rPr>
          <w:rFonts w:ascii="Arial" w:cs="Arial" w:eastAsia="Arial" w:hAnsi="Arial"/>
          <w:sz w:val="22"/>
          <w:szCs w:val="22"/>
        </w:rPr>
        <w:t xml:space="preserve">Spanish</w:t>
      </w:r>
    </w:p>
    <w:p>
      <w:pPr>
        <w:spacing w:after="80"/>
      </w:pPr>
      <w:r>
        <w:rPr>
          <w:rFonts w:ascii="Arial" w:cs="Arial" w:eastAsia="Arial" w:hAnsi="Arial"/>
          <w:b/>
          <w:bCs/>
          <w:sz w:val="22"/>
          <w:szCs w:val="22"/>
        </w:rPr>
        <w:t xml:space="preserve">Legal Analysis: </w:t>
      </w:r>
      <w:r>
        <w:rPr>
          <w:rFonts w:ascii="Arial" w:cs="Arial" w:eastAsia="Arial" w:hAnsi="Arial"/>
          <w:sz w:val="22"/>
          <w:szCs w:val="22"/>
        </w:rPr>
        <w:t xml:space="preserve">Securities Law 26,831. Law 25,326 (Personal Data Protection). Industrial Property Law.</w:t>
      </w:r>
    </w:p>
    <w:p>
      <w:pPr>
        <w:spacing w:after="80"/>
      </w:pPr>
      <w:r>
        <w:rPr>
          <w:rFonts w:ascii="Arial" w:cs="Arial" w:eastAsia="Arial" w:hAnsi="Arial"/>
          <w:b/>
          <w:bCs/>
          <w:sz w:val="22"/>
          <w:szCs w:val="22"/>
        </w:rPr>
        <w:t xml:space="preserve">Technical Complexity: </w:t>
      </w:r>
      <w:r>
        <w:rPr>
          <w:rFonts w:ascii="Arial" w:cs="Arial" w:eastAsia="Arial" w:hAnsi="Arial"/>
          <w:sz w:val="22"/>
          <w:szCs w:val="22"/>
        </w:rPr>
        <w:t xml:space="preserve">Low (web interface); Medium (third-party API)</w:t>
      </w:r>
    </w:p>
    <w:p>
      <w:pPr>
        <w:spacing w:after="200"/>
      </w:pPr>
    </w:p>
    <w:p>
      <w:pPr>
        <w:pStyle w:val="Heading2"/>
      </w:pPr>
      <w:r>
        <w:t xml:space="preserve">Peru</w:t>
      </w:r>
    </w:p>
    <w:p>
      <w:pPr>
        <w:pStyle w:val="Heading3"/>
      </w:pPr>
      <w:r>
        <w:t xml:space="preserve">SMV (Securities) and Indecopi (IP)</w:t>
      </w:r>
    </w:p>
    <w:p>
      <w:pPr>
        <w:spacing w:after="80"/>
      </w:pPr>
      <w:r>
        <w:rPr>
          <w:rFonts w:ascii="Arial" w:cs="Arial" w:eastAsia="Arial" w:hAnsi="Arial"/>
          <w:b/>
          <w:bCs/>
          <w:sz w:val="22"/>
          <w:szCs w:val="22"/>
        </w:rPr>
        <w:t xml:space="preserve">URL: </w:t>
      </w:r>
      <w:r>
        <w:rPr>
          <w:rFonts w:ascii="Arial" w:cs="Arial" w:eastAsia="Arial" w:hAnsi="Arial"/>
          <w:sz w:val="22"/>
          <w:szCs w:val="22"/>
        </w:rPr>
        <w:t xml:space="preserve">SMV: https://www.smv.gob.pe/ | SIMV: https://www.smv.gob.pe/SIMV/ | Indecopi: https://indecopi.gob.pe/</w:t>
      </w:r>
    </w:p>
    <w:p>
      <w:pPr>
        <w:spacing w:after="80"/>
      </w:pPr>
      <w:r>
        <w:rPr>
          <w:rFonts w:ascii="Arial" w:cs="Arial" w:eastAsia="Arial" w:hAnsi="Arial"/>
          <w:b/>
          <w:bCs/>
          <w:sz w:val="22"/>
          <w:szCs w:val="22"/>
        </w:rPr>
        <w:t xml:space="preserve">Volume: </w:t>
      </w:r>
      <w:r>
        <w:rPr>
          <w:rFonts w:ascii="Arial" w:cs="Arial" w:eastAsia="Arial" w:hAnsi="Arial"/>
          <w:sz w:val="22"/>
          <w:szCs w:val="22"/>
        </w:rPr>
        <w:t xml:space="preserve">Financial institutions, securities issuers, millions of IP registrations</w:t>
      </w:r>
    </w:p>
    <w:p>
      <w:pPr>
        <w:spacing w:after="80"/>
      </w:pPr>
      <w:r>
        <w:rPr>
          <w:rFonts w:ascii="Arial" w:cs="Arial" w:eastAsia="Arial" w:hAnsi="Arial"/>
          <w:b/>
          <w:bCs/>
          <w:sz w:val="22"/>
          <w:szCs w:val="22"/>
        </w:rPr>
        <w:t xml:space="preserve">Access Method: </w:t>
      </w:r>
      <w:r>
        <w:rPr>
          <w:rFonts w:ascii="Arial" w:cs="Arial" w:eastAsia="Arial" w:hAnsi="Arial"/>
          <w:sz w:val="22"/>
          <w:szCs w:val="22"/>
        </w:rPr>
        <w:t xml:space="preserve">Web portals (SIMV, Indecopi). Third-party API services (Aptitude.co). No official APIs.</w:t>
      </w:r>
    </w:p>
    <w:p>
      <w:pPr>
        <w:spacing w:after="80"/>
      </w:pPr>
      <w:r>
        <w:rPr>
          <w:rFonts w:ascii="Arial" w:cs="Arial" w:eastAsia="Arial" w:hAnsi="Arial"/>
          <w:b/>
          <w:bCs/>
          <w:sz w:val="22"/>
          <w:szCs w:val="22"/>
        </w:rPr>
        <w:t xml:space="preserve">Data Format: </w:t>
      </w:r>
      <w:r>
        <w:rPr>
          <w:rFonts w:ascii="Arial" w:cs="Arial" w:eastAsia="Arial" w:hAnsi="Arial"/>
          <w:sz w:val="22"/>
          <w:szCs w:val="22"/>
        </w:rPr>
        <w:t xml:space="preserve">Web interface, downloadable reports, PDF documents</w:t>
      </w:r>
    </w:p>
    <w:p>
      <w:pPr>
        <w:spacing w:after="80"/>
      </w:pPr>
      <w:r>
        <w:rPr>
          <w:rFonts w:ascii="Arial" w:cs="Arial" w:eastAsia="Arial" w:hAnsi="Arial"/>
          <w:b/>
          <w:bCs/>
          <w:sz w:val="22"/>
          <w:szCs w:val="22"/>
        </w:rPr>
        <w:t xml:space="preserve">Update Frequency: </w:t>
      </w:r>
      <w:r>
        <w:rPr>
          <w:rFonts w:ascii="Arial" w:cs="Arial" w:eastAsia="Arial" w:hAnsi="Arial"/>
          <w:sz w:val="22"/>
          <w:szCs w:val="22"/>
        </w:rPr>
        <w:t xml:space="preserve">Daily (market data); regular (filings and IP registrations)</w:t>
      </w:r>
    </w:p>
    <w:p>
      <w:pPr>
        <w:spacing w:after="80"/>
      </w:pPr>
      <w:r>
        <w:rPr>
          <w:rFonts w:ascii="Arial" w:cs="Arial" w:eastAsia="Arial" w:hAnsi="Arial"/>
          <w:b/>
          <w:bCs/>
          <w:sz w:val="22"/>
          <w:szCs w:val="22"/>
        </w:rPr>
        <w:t xml:space="preserve">Cost: </w:t>
      </w:r>
      <w:r>
        <w:rPr>
          <w:rFonts w:ascii="Arial" w:cs="Arial" w:eastAsia="Arial" w:hAnsi="Arial"/>
          <w:sz w:val="22"/>
          <w:szCs w:val="22"/>
        </w:rPr>
        <w:t xml:space="preserve">Free web access; third-party APIs commercial pricing</w:t>
      </w:r>
    </w:p>
    <w:p>
      <w:pPr>
        <w:spacing w:after="80"/>
      </w:pPr>
      <w:r>
        <w:rPr>
          <w:rFonts w:ascii="Arial" w:cs="Arial" w:eastAsia="Arial" w:hAnsi="Arial"/>
          <w:b/>
          <w:bCs/>
          <w:sz w:val="22"/>
          <w:szCs w:val="22"/>
        </w:rPr>
        <w:t xml:space="preserve">Language: </w:t>
      </w:r>
      <w:r>
        <w:rPr>
          <w:rFonts w:ascii="Arial" w:cs="Arial" w:eastAsia="Arial" w:hAnsi="Arial"/>
          <w:sz w:val="22"/>
          <w:szCs w:val="22"/>
        </w:rPr>
        <w:t xml:space="preserve">Spanish</w:t>
      </w:r>
    </w:p>
    <w:p>
      <w:pPr>
        <w:spacing w:after="80"/>
      </w:pPr>
      <w:r>
        <w:rPr>
          <w:rFonts w:ascii="Arial" w:cs="Arial" w:eastAsia="Arial" w:hAnsi="Arial"/>
          <w:b/>
          <w:bCs/>
          <w:sz w:val="22"/>
          <w:szCs w:val="22"/>
        </w:rPr>
        <w:t xml:space="preserve">Legal Analysis: </w:t>
      </w:r>
      <w:r>
        <w:rPr>
          <w:rFonts w:ascii="Arial" w:cs="Arial" w:eastAsia="Arial" w:hAnsi="Arial"/>
          <w:sz w:val="22"/>
          <w:szCs w:val="22"/>
        </w:rPr>
        <w:t xml:space="preserve">Securities Market Law. Law 29,733 (Personal Data Law). APDP enforcement.</w:t>
      </w:r>
    </w:p>
    <w:p>
      <w:pPr>
        <w:spacing w:after="80"/>
      </w:pPr>
      <w:r>
        <w:rPr>
          <w:rFonts w:ascii="Arial" w:cs="Arial" w:eastAsia="Arial" w:hAnsi="Arial"/>
          <w:b/>
          <w:bCs/>
          <w:sz w:val="22"/>
          <w:szCs w:val="22"/>
        </w:rPr>
        <w:t xml:space="preserve">Technical Complexity: </w:t>
      </w:r>
      <w:r>
        <w:rPr>
          <w:rFonts w:ascii="Arial" w:cs="Arial" w:eastAsia="Arial" w:hAnsi="Arial"/>
          <w:sz w:val="22"/>
          <w:szCs w:val="22"/>
        </w:rPr>
        <w:t xml:space="preserve">Low (web interface); Medium (third-party API)</w:t>
      </w:r>
    </w:p>
    <w:p>
      <w:pPr>
        <w:spacing w:after="200"/>
      </w:pPr>
    </w:p>
    <w:p>
      <w:r>
        <w:br w:type="page"/>
      </w:r>
    </w:p>
    <w:p>
      <w:pPr>
        <w:pStyle w:val="Heading1"/>
      </w:pPr>
      <w:r>
        <w:t xml:space="preserve">Chapter 4: Asia</w:t>
      </w:r>
    </w:p>
    <w:p>
      <w:pPr>
        <w:spacing w:after="120"/>
      </w:pPr>
      <w:r>
        <w:rPr>
          <w:rFonts w:ascii="Arial" w:cs="Arial" w:eastAsia="Arial" w:hAnsi="Arial"/>
          <w:sz w:val="22"/>
          <w:szCs w:val="22"/>
        </w:rPr>
        <w:t xml:space="preserve">Asia offers the most diverse data environment, ranging from world-class free APIs (Japan EDINET, Korea DART) to heavily restricted systems (China). English-language jurisdictions (Singapore, Hong Kong, India, Philippines) are easiest to integrate. CJK (Chinese, Japanese, Korean) character encoding is a major technical consideration for Northeast Asian sources.</w:t>
      </w:r>
    </w:p>
    <w:p>
      <w:pPr>
        <w:pStyle w:val="Heading2"/>
      </w:pPr>
      <w:r>
        <w:t xml:space="preserve">Singapore</w:t>
      </w:r>
    </w:p>
    <w:p>
      <w:pPr>
        <w:pStyle w:val="Heading3"/>
      </w:pPr>
      <w:r>
        <w:t xml:space="preserve">ACRA (Corporate Registry)</w:t>
      </w:r>
    </w:p>
    <w:p>
      <w:pPr>
        <w:spacing w:after="80"/>
      </w:pPr>
      <w:r>
        <w:rPr>
          <w:rFonts w:ascii="Arial" w:cs="Arial" w:eastAsia="Arial" w:hAnsi="Arial"/>
          <w:b/>
          <w:bCs/>
          <w:sz w:val="22"/>
          <w:szCs w:val="22"/>
        </w:rPr>
        <w:t xml:space="preserve">URL: </w:t>
      </w:r>
      <w:r>
        <w:rPr>
          <w:rFonts w:ascii="Arial" w:cs="Arial" w:eastAsia="Arial" w:hAnsi="Arial"/>
          <w:sz w:val="22"/>
          <w:szCs w:val="22"/>
        </w:rPr>
        <w:t xml:space="preserve">https://www.bizfile.gov.sg/ | API: https://www.acra.gov.sg/about-bizfile/api-marketplace | Data: https://data.gov.sg</w:t>
      </w:r>
    </w:p>
    <w:p>
      <w:pPr>
        <w:spacing w:after="80"/>
      </w:pPr>
      <w:r>
        <w:rPr>
          <w:rFonts w:ascii="Arial" w:cs="Arial" w:eastAsia="Arial" w:hAnsi="Arial"/>
          <w:b/>
          <w:bCs/>
          <w:sz w:val="22"/>
          <w:szCs w:val="22"/>
        </w:rPr>
        <w:t xml:space="preserve">Volume: </w:t>
      </w:r>
      <w:r>
        <w:rPr>
          <w:rFonts w:ascii="Arial" w:cs="Arial" w:eastAsia="Arial" w:hAnsi="Arial"/>
          <w:sz w:val="22"/>
          <w:szCs w:val="22"/>
        </w:rPr>
        <w:t xml:space="preserve">285,000+ registered entities; datasets organized in 27 CSV files</w:t>
      </w:r>
    </w:p>
    <w:p>
      <w:pPr>
        <w:spacing w:after="80"/>
      </w:pPr>
      <w:r>
        <w:rPr>
          <w:rFonts w:ascii="Arial" w:cs="Arial" w:eastAsia="Arial" w:hAnsi="Arial"/>
          <w:b/>
          <w:bCs/>
          <w:sz w:val="22"/>
          <w:szCs w:val="22"/>
        </w:rPr>
        <w:t xml:space="preserve">Access Method: </w:t>
      </w:r>
      <w:r>
        <w:rPr>
          <w:rFonts w:ascii="Arial" w:cs="Arial" w:eastAsia="Arial" w:hAnsi="Arial"/>
          <w:sz w:val="22"/>
          <w:szCs w:val="22"/>
        </w:rPr>
        <w:t xml:space="preserve">Web portal (BizFile); API Marketplace with subscription; data.gov.sg public datasets</w:t>
      </w:r>
    </w:p>
    <w:p>
      <w:pPr>
        <w:spacing w:after="80"/>
      </w:pPr>
      <w:r>
        <w:rPr>
          <w:rFonts w:ascii="Arial" w:cs="Arial" w:eastAsia="Arial" w:hAnsi="Arial"/>
          <w:b/>
          <w:bCs/>
          <w:sz w:val="22"/>
          <w:szCs w:val="22"/>
        </w:rPr>
        <w:t xml:space="preserve">Data Format: </w:t>
      </w:r>
      <w:r>
        <w:rPr>
          <w:rFonts w:ascii="Arial" w:cs="Arial" w:eastAsia="Arial" w:hAnsi="Arial"/>
          <w:sz w:val="22"/>
          <w:szCs w:val="22"/>
        </w:rPr>
        <w:t xml:space="preserve">CSV (UTF-8), JSON via API, monthly updates by entity letter</w:t>
      </w:r>
    </w:p>
    <w:p>
      <w:pPr>
        <w:spacing w:after="80"/>
      </w:pPr>
      <w:r>
        <w:rPr>
          <w:rFonts w:ascii="Arial" w:cs="Arial" w:eastAsia="Arial" w:hAnsi="Arial"/>
          <w:b/>
          <w:bCs/>
          <w:sz w:val="22"/>
          <w:szCs w:val="22"/>
        </w:rPr>
        <w:t xml:space="preserve">Update Frequency: </w:t>
      </w:r>
      <w:r>
        <w:rPr>
          <w:rFonts w:ascii="Arial" w:cs="Arial" w:eastAsia="Arial" w:hAnsi="Arial"/>
          <w:sz w:val="22"/>
          <w:szCs w:val="22"/>
        </w:rPr>
        <w:t xml:space="preserve">Monthly incremental; real-time for some transactions</w:t>
      </w:r>
    </w:p>
    <w:p>
      <w:pPr>
        <w:spacing w:after="80"/>
      </w:pPr>
      <w:r>
        <w:rPr>
          <w:rFonts w:ascii="Arial" w:cs="Arial" w:eastAsia="Arial" w:hAnsi="Arial"/>
          <w:b/>
          <w:bCs/>
          <w:sz w:val="22"/>
          <w:szCs w:val="22"/>
        </w:rPr>
        <w:t xml:space="preserve">Cost: </w:t>
      </w:r>
      <w:r>
        <w:rPr>
          <w:rFonts w:ascii="Arial" w:cs="Arial" w:eastAsia="Arial" w:hAnsi="Arial"/>
          <w:sz w:val="22"/>
          <w:szCs w:val="22"/>
        </w:rPr>
        <w:t xml:space="preserve">ACRA API Marketplace requires subscription (auto top-up at 150 calls); pricing requires inquiry</w:t>
      </w:r>
    </w:p>
    <w:p>
      <w:pPr>
        <w:spacing w:after="80"/>
      </w:pPr>
      <w:r>
        <w:rPr>
          <w:rFonts w:ascii="Arial" w:cs="Arial" w:eastAsia="Arial" w:hAnsi="Arial"/>
          <w:b/>
          <w:bCs/>
          <w:sz w:val="22"/>
          <w:szCs w:val="22"/>
        </w:rPr>
        <w:t xml:space="preserve">Language: </w:t>
      </w:r>
      <w:r>
        <w:rPr>
          <w:rFonts w:ascii="Arial" w:cs="Arial" w:eastAsia="Arial" w:hAnsi="Arial"/>
          <w:sz w:val="22"/>
          <w:szCs w:val="22"/>
        </w:rPr>
        <w:t xml:space="preserve">English (primary); Chinese available</w:t>
      </w:r>
    </w:p>
    <w:p>
      <w:pPr>
        <w:spacing w:after="80"/>
      </w:pPr>
      <w:r>
        <w:rPr>
          <w:rFonts w:ascii="Arial" w:cs="Arial" w:eastAsia="Arial" w:hAnsi="Arial"/>
          <w:b/>
          <w:bCs/>
          <w:sz w:val="22"/>
          <w:szCs w:val="22"/>
        </w:rPr>
        <w:t xml:space="preserve">Legal Analysis: </w:t>
      </w:r>
      <w:r>
        <w:rPr>
          <w:rFonts w:ascii="Arial" w:cs="Arial" w:eastAsia="Arial" w:hAnsi="Arial"/>
          <w:sz w:val="22"/>
          <w:szCs w:val="22"/>
        </w:rPr>
        <w:t xml:space="preserve">PDPA 2012 applies. Breach notification within 3 calendar days. Penalties up to 10% annual turnover (if exceeding SGD 10M).</w:t>
      </w:r>
    </w:p>
    <w:p>
      <w:pPr>
        <w:spacing w:after="80"/>
      </w:pPr>
      <w:r>
        <w:rPr>
          <w:rFonts w:ascii="Arial" w:cs="Arial" w:eastAsia="Arial" w:hAnsi="Arial"/>
          <w:b/>
          <w:bCs/>
          <w:sz w:val="22"/>
          <w:szCs w:val="22"/>
        </w:rPr>
        <w:t xml:space="preserve">Technical Complexity: </w:t>
      </w:r>
      <w:r>
        <w:rPr>
          <w:rFonts w:ascii="Arial" w:cs="Arial" w:eastAsia="Arial" w:hAnsi="Arial"/>
          <w:sz w:val="22"/>
          <w:szCs w:val="22"/>
        </w:rPr>
        <w:t xml:space="preserve">Medium (API authentication, rate limiting)</w:t>
      </w:r>
    </w:p>
    <w:p>
      <w:pPr>
        <w:spacing w:after="200"/>
      </w:pPr>
    </w:p>
    <w:p>
      <w:pPr>
        <w:pStyle w:val="Heading3"/>
      </w:pPr>
      <w:r>
        <w:t xml:space="preserve">SGX (Securities Exchange)</w:t>
      </w:r>
    </w:p>
    <w:p>
      <w:pPr>
        <w:spacing w:after="80"/>
      </w:pPr>
      <w:r>
        <w:rPr>
          <w:rFonts w:ascii="Arial" w:cs="Arial" w:eastAsia="Arial" w:hAnsi="Arial"/>
          <w:b/>
          <w:bCs/>
          <w:sz w:val="22"/>
          <w:szCs w:val="22"/>
        </w:rPr>
        <w:t xml:space="preserve">URL: </w:t>
      </w:r>
      <w:r>
        <w:rPr>
          <w:rFonts w:ascii="Arial" w:cs="Arial" w:eastAsia="Arial" w:hAnsi="Arial"/>
          <w:sz w:val="22"/>
          <w:szCs w:val="22"/>
        </w:rPr>
        <w:t xml:space="preserve">https://www.sgx.com/securities/company-announcements</w:t>
      </w:r>
    </w:p>
    <w:p>
      <w:pPr>
        <w:spacing w:after="80"/>
      </w:pPr>
      <w:r>
        <w:rPr>
          <w:rFonts w:ascii="Arial" w:cs="Arial" w:eastAsia="Arial" w:hAnsi="Arial"/>
          <w:b/>
          <w:bCs/>
          <w:sz w:val="22"/>
          <w:szCs w:val="22"/>
        </w:rPr>
        <w:t xml:space="preserve">Volume: </w:t>
      </w:r>
      <w:r>
        <w:rPr>
          <w:rFonts w:ascii="Arial" w:cs="Arial" w:eastAsia="Arial" w:hAnsi="Arial"/>
          <w:sz w:val="22"/>
          <w:szCs w:val="22"/>
        </w:rPr>
        <w:t xml:space="preserve">730+ listed companies; 50,000+ annual filings/announcements</w:t>
      </w:r>
    </w:p>
    <w:p>
      <w:pPr>
        <w:spacing w:after="80"/>
      </w:pPr>
      <w:r>
        <w:rPr>
          <w:rFonts w:ascii="Arial" w:cs="Arial" w:eastAsia="Arial" w:hAnsi="Arial"/>
          <w:b/>
          <w:bCs/>
          <w:sz w:val="22"/>
          <w:szCs w:val="22"/>
        </w:rPr>
        <w:t xml:space="preserve">Access Method: </w:t>
      </w:r>
      <w:r>
        <w:rPr>
          <w:rFonts w:ascii="Arial" w:cs="Arial" w:eastAsia="Arial" w:hAnsi="Arial"/>
          <w:sz w:val="22"/>
          <w:szCs w:val="22"/>
        </w:rPr>
        <w:t xml:space="preserve">Web portal (free). No official API. Premium data via SGX Data Connectivity.</w:t>
      </w:r>
    </w:p>
    <w:p>
      <w:pPr>
        <w:spacing w:after="80"/>
      </w:pPr>
      <w:r>
        <w:rPr>
          <w:rFonts w:ascii="Arial" w:cs="Arial" w:eastAsia="Arial" w:hAnsi="Arial"/>
          <w:b/>
          <w:bCs/>
          <w:sz w:val="22"/>
          <w:szCs w:val="22"/>
        </w:rPr>
        <w:t xml:space="preserve">Data Format: </w:t>
      </w:r>
      <w:r>
        <w:rPr>
          <w:rFonts w:ascii="Arial" w:cs="Arial" w:eastAsia="Arial" w:hAnsi="Arial"/>
          <w:sz w:val="22"/>
          <w:szCs w:val="22"/>
        </w:rPr>
        <w:t xml:space="preserve">HTML, PDF announcements, XBRL for financial data</w:t>
      </w:r>
    </w:p>
    <w:p>
      <w:pPr>
        <w:spacing w:after="80"/>
      </w:pPr>
      <w:r>
        <w:rPr>
          <w:rFonts w:ascii="Arial" w:cs="Arial" w:eastAsia="Arial" w:hAnsi="Arial"/>
          <w:b/>
          <w:bCs/>
          <w:sz w:val="22"/>
          <w:szCs w:val="22"/>
        </w:rPr>
        <w:t xml:space="preserve">Update Frequency: </w:t>
      </w:r>
      <w:r>
        <w:rPr>
          <w:rFonts w:ascii="Arial" w:cs="Arial" w:eastAsia="Arial" w:hAnsi="Arial"/>
          <w:sz w:val="22"/>
          <w:szCs w:val="22"/>
        </w:rPr>
        <w:t xml:space="preserve">Real-time for announcements; daily for trading data</w:t>
      </w:r>
    </w:p>
    <w:p>
      <w:pPr>
        <w:spacing w:after="80"/>
      </w:pPr>
      <w:r>
        <w:rPr>
          <w:rFonts w:ascii="Arial" w:cs="Arial" w:eastAsia="Arial" w:hAnsi="Arial"/>
          <w:b/>
          <w:bCs/>
          <w:sz w:val="22"/>
          <w:szCs w:val="22"/>
        </w:rPr>
        <w:t xml:space="preserve">Cost: </w:t>
      </w:r>
      <w:r>
        <w:rPr>
          <w:rFonts w:ascii="Arial" w:cs="Arial" w:eastAsia="Arial" w:hAnsi="Arial"/>
          <w:sz w:val="22"/>
          <w:szCs w:val="22"/>
        </w:rPr>
        <w:t xml:space="preserve">Free public web access; premium data services available</w:t>
      </w:r>
    </w:p>
    <w:p>
      <w:pPr>
        <w:spacing w:after="80"/>
      </w:pPr>
      <w:r>
        <w:rPr>
          <w:rFonts w:ascii="Arial" w:cs="Arial" w:eastAsia="Arial" w:hAnsi="Arial"/>
          <w:b/>
          <w:bCs/>
          <w:sz w:val="22"/>
          <w:szCs w:val="22"/>
        </w:rPr>
        <w:t xml:space="preserve">Language: </w:t>
      </w:r>
      <w:r>
        <w:rPr>
          <w:rFonts w:ascii="Arial" w:cs="Arial" w:eastAsia="Arial" w:hAnsi="Arial"/>
          <w:sz w:val="22"/>
          <w:szCs w:val="22"/>
        </w:rPr>
        <w:t xml:space="preserve">English, Chinese</w:t>
      </w:r>
    </w:p>
    <w:p>
      <w:pPr>
        <w:spacing w:after="80"/>
      </w:pPr>
      <w:r>
        <w:rPr>
          <w:rFonts w:ascii="Arial" w:cs="Arial" w:eastAsia="Arial" w:hAnsi="Arial"/>
          <w:b/>
          <w:bCs/>
          <w:sz w:val="22"/>
          <w:szCs w:val="22"/>
        </w:rPr>
        <w:t xml:space="preserve">Legal Analysis: </w:t>
      </w:r>
      <w:r>
        <w:rPr>
          <w:rFonts w:ascii="Arial" w:cs="Arial" w:eastAsia="Arial" w:hAnsi="Arial"/>
          <w:sz w:val="22"/>
          <w:szCs w:val="22"/>
        </w:rPr>
        <w:t xml:space="preserve">PDPA applies. SGX listing rules compliance.</w:t>
      </w:r>
    </w:p>
    <w:p>
      <w:pPr>
        <w:spacing w:after="80"/>
      </w:pPr>
      <w:r>
        <w:rPr>
          <w:rFonts w:ascii="Arial" w:cs="Arial" w:eastAsia="Arial" w:hAnsi="Arial"/>
          <w:b/>
          <w:bCs/>
          <w:sz w:val="22"/>
          <w:szCs w:val="22"/>
        </w:rPr>
        <w:t xml:space="preserve">Technical Complexity: </w:t>
      </w:r>
      <w:r>
        <w:rPr>
          <w:rFonts w:ascii="Arial" w:cs="Arial" w:eastAsia="Arial" w:hAnsi="Arial"/>
          <w:sz w:val="22"/>
          <w:szCs w:val="22"/>
        </w:rPr>
        <w:t xml:space="preserve">Low (web access only; no API)</w:t>
      </w:r>
    </w:p>
    <w:p>
      <w:pPr>
        <w:spacing w:after="200"/>
      </w:pPr>
    </w:p>
    <w:p>
      <w:pPr>
        <w:pStyle w:val="Heading3"/>
      </w:pPr>
      <w:r>
        <w:t xml:space="preserve">IPOS (IP Office)</w:t>
      </w:r>
    </w:p>
    <w:p>
      <w:pPr>
        <w:spacing w:after="80"/>
      </w:pPr>
      <w:r>
        <w:rPr>
          <w:rFonts w:ascii="Arial" w:cs="Arial" w:eastAsia="Arial" w:hAnsi="Arial"/>
          <w:b/>
          <w:bCs/>
          <w:sz w:val="22"/>
          <w:szCs w:val="22"/>
        </w:rPr>
        <w:t xml:space="preserve">URL: </w:t>
      </w:r>
      <w:r>
        <w:rPr>
          <w:rFonts w:ascii="Arial" w:cs="Arial" w:eastAsia="Arial" w:hAnsi="Arial"/>
          <w:sz w:val="22"/>
          <w:szCs w:val="22"/>
        </w:rPr>
        <w:t xml:space="preserve">https://www.ipos.gov.sg/ | API: https://data.gov.sg/collections/281/view | Digital Hub: https://digitalhub.ipos.gov.sg/</w:t>
      </w:r>
    </w:p>
    <w:p>
      <w:pPr>
        <w:spacing w:after="80"/>
      </w:pPr>
      <w:r>
        <w:rPr>
          <w:rFonts w:ascii="Arial" w:cs="Arial" w:eastAsia="Arial" w:hAnsi="Arial"/>
          <w:b/>
          <w:bCs/>
          <w:sz w:val="22"/>
          <w:szCs w:val="22"/>
        </w:rPr>
        <w:t xml:space="preserve">Volume: </w:t>
      </w:r>
      <w:r>
        <w:rPr>
          <w:rFonts w:ascii="Arial" w:cs="Arial" w:eastAsia="Arial" w:hAnsi="Arial"/>
          <w:sz w:val="22"/>
          <w:szCs w:val="22"/>
        </w:rPr>
        <w:t xml:space="preserve">350,000+ patent applications; 200,000+ trademarks; 50,000+ designs (cumulative)</w:t>
      </w:r>
    </w:p>
    <w:p>
      <w:pPr>
        <w:spacing w:after="80"/>
      </w:pPr>
      <w:r>
        <w:rPr>
          <w:rFonts w:ascii="Arial" w:cs="Arial" w:eastAsia="Arial" w:hAnsi="Arial"/>
          <w:b/>
          <w:bCs/>
          <w:sz w:val="22"/>
          <w:szCs w:val="22"/>
        </w:rPr>
        <w:t xml:space="preserve">Access Method: </w:t>
      </w:r>
      <w:r>
        <w:rPr>
          <w:rFonts w:ascii="Arial" w:cs="Arial" w:eastAsia="Arial" w:hAnsi="Arial"/>
          <w:sz w:val="22"/>
          <w:szCs w:val="22"/>
        </w:rPr>
        <w:t xml:space="preserve">Web search at Digital Hub; APIs via data.gov.sg for Patents, Designs, Trademarks</w:t>
      </w:r>
    </w:p>
    <w:p>
      <w:pPr>
        <w:spacing w:after="80"/>
      </w:pPr>
      <w:r>
        <w:rPr>
          <w:rFonts w:ascii="Arial" w:cs="Arial" w:eastAsia="Arial" w:hAnsi="Arial"/>
          <w:b/>
          <w:bCs/>
          <w:sz w:val="22"/>
          <w:szCs w:val="22"/>
        </w:rPr>
        <w:t xml:space="preserve">Data Format: </w:t>
      </w:r>
      <w:r>
        <w:rPr>
          <w:rFonts w:ascii="Arial" w:cs="Arial" w:eastAsia="Arial" w:hAnsi="Arial"/>
          <w:sz w:val="22"/>
          <w:szCs w:val="22"/>
        </w:rPr>
        <w:t xml:space="preserve">JSON (API); CSV from data.gov.sg</w:t>
      </w:r>
    </w:p>
    <w:p>
      <w:pPr>
        <w:spacing w:after="80"/>
      </w:pPr>
      <w:r>
        <w:rPr>
          <w:rFonts w:ascii="Arial" w:cs="Arial" w:eastAsia="Arial" w:hAnsi="Arial"/>
          <w:b/>
          <w:bCs/>
          <w:sz w:val="22"/>
          <w:szCs w:val="22"/>
        </w:rPr>
        <w:t xml:space="preserve">Update Frequency: </w:t>
      </w:r>
      <w:r>
        <w:rPr>
          <w:rFonts w:ascii="Arial" w:cs="Arial" w:eastAsia="Arial" w:hAnsi="Arial"/>
          <w:sz w:val="22"/>
          <w:szCs w:val="22"/>
        </w:rPr>
        <w:t xml:space="preserve">Updates within 1-2 business days of lodgement</w:t>
      </w:r>
    </w:p>
    <w:p>
      <w:pPr>
        <w:spacing w:after="80"/>
      </w:pPr>
      <w:r>
        <w:rPr>
          <w:rFonts w:ascii="Arial" w:cs="Arial" w:eastAsia="Arial" w:hAnsi="Arial"/>
          <w:b/>
          <w:bCs/>
          <w:sz w:val="22"/>
          <w:szCs w:val="22"/>
        </w:rPr>
        <w:t xml:space="preserve">Cost: </w:t>
      </w:r>
      <w:r>
        <w:rPr>
          <w:rFonts w:ascii="Arial" w:cs="Arial" w:eastAsia="Arial" w:hAnsi="Arial"/>
          <w:sz w:val="22"/>
          <w:szCs w:val="22"/>
        </w:rPr>
        <w:t xml:space="preserve">Free via data.gov.sg; higher rate limits available</w:t>
      </w:r>
    </w:p>
    <w:p>
      <w:pPr>
        <w:spacing w:after="80"/>
      </w:pPr>
      <w:r>
        <w:rPr>
          <w:rFonts w:ascii="Arial" w:cs="Arial" w:eastAsia="Arial" w:hAnsi="Arial"/>
          <w:b/>
          <w:bCs/>
          <w:sz w:val="22"/>
          <w:szCs w:val="22"/>
        </w:rPr>
        <w:t xml:space="preserve">Language: </w:t>
      </w:r>
      <w:r>
        <w:rPr>
          <w:rFonts w:ascii="Arial" w:cs="Arial" w:eastAsia="Arial" w:hAnsi="Arial"/>
          <w:sz w:val="22"/>
          <w:szCs w:val="22"/>
        </w:rPr>
        <w:t xml:space="preserve">English</w:t>
      </w:r>
    </w:p>
    <w:p>
      <w:pPr>
        <w:spacing w:after="80"/>
      </w:pPr>
      <w:r>
        <w:rPr>
          <w:rFonts w:ascii="Arial" w:cs="Arial" w:eastAsia="Arial" w:hAnsi="Arial"/>
          <w:b/>
          <w:bCs/>
          <w:sz w:val="22"/>
          <w:szCs w:val="22"/>
        </w:rPr>
        <w:t xml:space="preserve">Legal Analysis: </w:t>
      </w:r>
      <w:r>
        <w:rPr>
          <w:rFonts w:ascii="Arial" w:cs="Arial" w:eastAsia="Arial" w:hAnsi="Arial"/>
          <w:sz w:val="22"/>
          <w:szCs w:val="22"/>
        </w:rPr>
        <w:t xml:space="preserve">PDPA applies to personal data in applicant records.</w:t>
      </w:r>
    </w:p>
    <w:p>
      <w:pPr>
        <w:spacing w:after="80"/>
      </w:pPr>
      <w:r>
        <w:rPr>
          <w:rFonts w:ascii="Arial" w:cs="Arial" w:eastAsia="Arial" w:hAnsi="Arial"/>
          <w:b/>
          <w:bCs/>
          <w:sz w:val="22"/>
          <w:szCs w:val="22"/>
        </w:rPr>
        <w:t xml:space="preserve">Technical Complexity: </w:t>
      </w:r>
      <w:r>
        <w:rPr>
          <w:rFonts w:ascii="Arial" w:cs="Arial" w:eastAsia="Arial" w:hAnsi="Arial"/>
          <w:sz w:val="22"/>
          <w:szCs w:val="22"/>
        </w:rPr>
        <w:t xml:space="preserve">Low-Medium (REST API with JSON responses)</w:t>
      </w:r>
    </w:p>
    <w:p>
      <w:pPr>
        <w:spacing w:after="200"/>
      </w:pPr>
    </w:p>
    <w:p>
      <w:pPr>
        <w:pStyle w:val="Heading2"/>
      </w:pPr>
      <w:r>
        <w:t xml:space="preserve">India</w:t>
      </w:r>
    </w:p>
    <w:p>
      <w:pPr>
        <w:pStyle w:val="Heading3"/>
      </w:pPr>
      <w:r>
        <w:t xml:space="preserve">MCA21 (Ministry of Corporate Affairs)</w:t>
      </w:r>
    </w:p>
    <w:p>
      <w:pPr>
        <w:spacing w:after="80"/>
      </w:pPr>
      <w:r>
        <w:rPr>
          <w:rFonts w:ascii="Arial" w:cs="Arial" w:eastAsia="Arial" w:hAnsi="Arial"/>
          <w:b/>
          <w:bCs/>
          <w:sz w:val="22"/>
          <w:szCs w:val="22"/>
        </w:rPr>
        <w:t xml:space="preserve">URL: </w:t>
      </w:r>
      <w:r>
        <w:rPr>
          <w:rFonts w:ascii="Arial" w:cs="Arial" w:eastAsia="Arial" w:hAnsi="Arial"/>
          <w:sz w:val="22"/>
          <w:szCs w:val="22"/>
        </w:rPr>
        <w:t xml:space="preserve">https://www.mca.gov.in/ | Bulk data: https://www.data.gov.in/catalog/company-master-data</w:t>
      </w:r>
    </w:p>
    <w:p>
      <w:pPr>
        <w:spacing w:after="80"/>
      </w:pPr>
      <w:r>
        <w:rPr>
          <w:rFonts w:ascii="Arial" w:cs="Arial" w:eastAsia="Arial" w:hAnsi="Arial"/>
          <w:b/>
          <w:bCs/>
          <w:sz w:val="22"/>
          <w:szCs w:val="22"/>
        </w:rPr>
        <w:t xml:space="preserve">Volume: </w:t>
      </w:r>
      <w:r>
        <w:rPr>
          <w:rFonts w:ascii="Arial" w:cs="Arial" w:eastAsia="Arial" w:hAnsi="Arial"/>
          <w:sz w:val="22"/>
          <w:szCs w:val="22"/>
        </w:rPr>
        <w:t xml:space="preserve">1.3 million+ registered companies; 1 million+ LLP registrations</w:t>
      </w:r>
    </w:p>
    <w:p>
      <w:pPr>
        <w:spacing w:after="80"/>
      </w:pPr>
      <w:r>
        <w:rPr>
          <w:rFonts w:ascii="Arial" w:cs="Arial" w:eastAsia="Arial" w:hAnsi="Arial"/>
          <w:b/>
          <w:bCs/>
          <w:sz w:val="22"/>
          <w:szCs w:val="22"/>
        </w:rPr>
        <w:t xml:space="preserve">Access Method: </w:t>
      </w:r>
      <w:r>
        <w:rPr>
          <w:rFonts w:ascii="Arial" w:cs="Arial" w:eastAsia="Arial" w:hAnsi="Arial"/>
          <w:sz w:val="22"/>
          <w:szCs w:val="22"/>
        </w:rPr>
        <w:t xml:space="preserve">Web portal; Bulk data via data.gov.in; Third-party APIs (AuthBridge, Surepass) for CIN/DIN verification; MCA21 V3.0 CORS API planned</w:t>
      </w:r>
    </w:p>
    <w:p>
      <w:pPr>
        <w:spacing w:after="80"/>
      </w:pPr>
      <w:r>
        <w:rPr>
          <w:rFonts w:ascii="Arial" w:cs="Arial" w:eastAsia="Arial" w:hAnsi="Arial"/>
          <w:b/>
          <w:bCs/>
          <w:sz w:val="22"/>
          <w:szCs w:val="22"/>
        </w:rPr>
        <w:t xml:space="preserve">Data Format: </w:t>
      </w:r>
      <w:r>
        <w:rPr>
          <w:rFonts w:ascii="Arial" w:cs="Arial" w:eastAsia="Arial" w:hAnsi="Arial"/>
          <w:sz w:val="22"/>
          <w:szCs w:val="22"/>
        </w:rPr>
        <w:t xml:space="preserve">JSON (API), CSV (bulk), XML planned</w:t>
      </w:r>
    </w:p>
    <w:p>
      <w:pPr>
        <w:spacing w:after="80"/>
      </w:pPr>
      <w:r>
        <w:rPr>
          <w:rFonts w:ascii="Arial" w:cs="Arial" w:eastAsia="Arial" w:hAnsi="Arial"/>
          <w:b/>
          <w:bCs/>
          <w:sz w:val="22"/>
          <w:szCs w:val="22"/>
        </w:rPr>
        <w:t xml:space="preserve">Update Frequency: </w:t>
      </w:r>
      <w:r>
        <w:rPr>
          <w:rFonts w:ascii="Arial" w:cs="Arial" w:eastAsia="Arial" w:hAnsi="Arial"/>
          <w:sz w:val="22"/>
          <w:szCs w:val="22"/>
        </w:rPr>
        <w:t xml:space="preserve">Monthly bulk exports; real-time for specific lookups</w:t>
      </w:r>
    </w:p>
    <w:p>
      <w:pPr>
        <w:spacing w:after="80"/>
      </w:pPr>
      <w:r>
        <w:rPr>
          <w:rFonts w:ascii="Arial" w:cs="Arial" w:eastAsia="Arial" w:hAnsi="Arial"/>
          <w:b/>
          <w:bCs/>
          <w:sz w:val="22"/>
          <w:szCs w:val="22"/>
        </w:rPr>
        <w:t xml:space="preserve">Cost: </w:t>
      </w:r>
      <w:r>
        <w:rPr>
          <w:rFonts w:ascii="Arial" w:cs="Arial" w:eastAsia="Arial" w:hAnsi="Arial"/>
          <w:sz w:val="22"/>
          <w:szCs w:val="22"/>
        </w:rPr>
        <w:t xml:space="preserve">Free web access; third-party APIs INR 5-100/query; bulk free from data.gov.in</w:t>
      </w:r>
    </w:p>
    <w:p>
      <w:pPr>
        <w:spacing w:after="80"/>
      </w:pPr>
      <w:r>
        <w:rPr>
          <w:rFonts w:ascii="Arial" w:cs="Arial" w:eastAsia="Arial" w:hAnsi="Arial"/>
          <w:b/>
          <w:bCs/>
          <w:sz w:val="22"/>
          <w:szCs w:val="22"/>
        </w:rPr>
        <w:t xml:space="preserve">Language: </w:t>
      </w:r>
      <w:r>
        <w:rPr>
          <w:rFonts w:ascii="Arial" w:cs="Arial" w:eastAsia="Arial" w:hAnsi="Arial"/>
          <w:sz w:val="22"/>
          <w:szCs w:val="22"/>
        </w:rPr>
        <w:t xml:space="preserve">English, Hindi</w:t>
      </w:r>
    </w:p>
    <w:p>
      <w:pPr>
        <w:spacing w:after="80"/>
      </w:pPr>
      <w:r>
        <w:rPr>
          <w:rFonts w:ascii="Arial" w:cs="Arial" w:eastAsia="Arial" w:hAnsi="Arial"/>
          <w:b/>
          <w:bCs/>
          <w:sz w:val="22"/>
          <w:szCs w:val="22"/>
        </w:rPr>
        <w:t xml:space="preserve">Legal Analysis: </w:t>
      </w:r>
      <w:r>
        <w:rPr>
          <w:rFonts w:ascii="Arial" w:cs="Arial" w:eastAsia="Arial" w:hAnsi="Arial"/>
          <w:sz w:val="22"/>
          <w:szCs w:val="22"/>
        </w:rPr>
        <w:t xml:space="preserve">IT Act 2000 Section 43A (body corporate liability). SPDI Rules. Audit requirements (ISO 27001 or annual independent audit). Consent and privacy policy disclosure mandatory.</w:t>
      </w:r>
    </w:p>
    <w:p>
      <w:pPr>
        <w:spacing w:after="80"/>
      </w:pPr>
      <w:r>
        <w:rPr>
          <w:rFonts w:ascii="Arial" w:cs="Arial" w:eastAsia="Arial" w:hAnsi="Arial"/>
          <w:b/>
          <w:bCs/>
          <w:sz w:val="22"/>
          <w:szCs w:val="22"/>
        </w:rPr>
        <w:t xml:space="preserve">Technical Complexity: </w:t>
      </w:r>
      <w:r>
        <w:rPr>
          <w:rFonts w:ascii="Arial" w:cs="Arial" w:eastAsia="Arial" w:hAnsi="Arial"/>
          <w:sz w:val="22"/>
          <w:szCs w:val="22"/>
        </w:rPr>
        <w:t xml:space="preserve">Medium (CIN/DIN APIs available; bulk data structured)</w:t>
      </w:r>
    </w:p>
    <w:p>
      <w:pPr>
        <w:spacing w:after="200"/>
      </w:pPr>
    </w:p>
    <w:p>
      <w:pPr>
        <w:pStyle w:val="Heading3"/>
      </w:pPr>
      <w:r>
        <w:t xml:space="preserve">SEBI (Securities Filings)</w:t>
      </w:r>
    </w:p>
    <w:p>
      <w:pPr>
        <w:spacing w:after="80"/>
      </w:pPr>
      <w:r>
        <w:rPr>
          <w:rFonts w:ascii="Arial" w:cs="Arial" w:eastAsia="Arial" w:hAnsi="Arial"/>
          <w:b/>
          <w:bCs/>
          <w:sz w:val="22"/>
          <w:szCs w:val="22"/>
        </w:rPr>
        <w:t xml:space="preserve">URL: </w:t>
      </w:r>
      <w:r>
        <w:rPr>
          <w:rFonts w:ascii="Arial" w:cs="Arial" w:eastAsia="Arial" w:hAnsi="Arial"/>
          <w:sz w:val="22"/>
          <w:szCs w:val="22"/>
        </w:rPr>
        <w:t xml:space="preserve">https://www.sebi.gov.in/filings.html</w:t>
      </w:r>
    </w:p>
    <w:p>
      <w:pPr>
        <w:spacing w:after="80"/>
      </w:pPr>
      <w:r>
        <w:rPr>
          <w:rFonts w:ascii="Arial" w:cs="Arial" w:eastAsia="Arial" w:hAnsi="Arial"/>
          <w:b/>
          <w:bCs/>
          <w:sz w:val="22"/>
          <w:szCs w:val="22"/>
        </w:rPr>
        <w:t xml:space="preserve">Volume: </w:t>
      </w:r>
      <w:r>
        <w:rPr>
          <w:rFonts w:ascii="Arial" w:cs="Arial" w:eastAsia="Arial" w:hAnsi="Arial"/>
          <w:sz w:val="22"/>
          <w:szCs w:val="22"/>
        </w:rPr>
        <w:t xml:space="preserve">6,000+ listed companies; 500,000+ annual filings</w:t>
      </w:r>
    </w:p>
    <w:p>
      <w:pPr>
        <w:spacing w:after="80"/>
      </w:pPr>
      <w:r>
        <w:rPr>
          <w:rFonts w:ascii="Arial" w:cs="Arial" w:eastAsia="Arial" w:hAnsi="Arial"/>
          <w:b/>
          <w:bCs/>
          <w:sz w:val="22"/>
          <w:szCs w:val="22"/>
        </w:rPr>
        <w:t xml:space="preserve">Access Method: </w:t>
      </w:r>
      <w:r>
        <w:rPr>
          <w:rFonts w:ascii="Arial" w:cs="Arial" w:eastAsia="Arial" w:hAnsi="Arial"/>
          <w:sz w:val="22"/>
          <w:szCs w:val="22"/>
        </w:rPr>
        <w:t xml:space="preserve">Web portal search. No public API.</w:t>
      </w:r>
    </w:p>
    <w:p>
      <w:pPr>
        <w:spacing w:after="80"/>
      </w:pPr>
      <w:r>
        <w:rPr>
          <w:rFonts w:ascii="Arial" w:cs="Arial" w:eastAsia="Arial" w:hAnsi="Arial"/>
          <w:b/>
          <w:bCs/>
          <w:sz w:val="22"/>
          <w:szCs w:val="22"/>
        </w:rPr>
        <w:t xml:space="preserve">Data Format: </w:t>
      </w:r>
      <w:r>
        <w:rPr>
          <w:rFonts w:ascii="Arial" w:cs="Arial" w:eastAsia="Arial" w:hAnsi="Arial"/>
          <w:sz w:val="22"/>
          <w:szCs w:val="22"/>
        </w:rPr>
        <w:t xml:space="preserve">HTML, PDF filings</w:t>
      </w:r>
    </w:p>
    <w:p>
      <w:pPr>
        <w:spacing w:after="80"/>
      </w:pPr>
      <w:r>
        <w:rPr>
          <w:rFonts w:ascii="Arial" w:cs="Arial" w:eastAsia="Arial" w:hAnsi="Arial"/>
          <w:b/>
          <w:bCs/>
          <w:sz w:val="22"/>
          <w:szCs w:val="22"/>
        </w:rPr>
        <w:t xml:space="preserve">Update Frequency: </w:t>
      </w:r>
      <w:r>
        <w:rPr>
          <w:rFonts w:ascii="Arial" w:cs="Arial" w:eastAsia="Arial" w:hAnsi="Arial"/>
          <w:sz w:val="22"/>
          <w:szCs w:val="22"/>
        </w:rPr>
        <w:t xml:space="preserve">Real-time filing; indexed within 24 hours</w:t>
      </w:r>
    </w:p>
    <w:p>
      <w:pPr>
        <w:spacing w:after="80"/>
      </w:pPr>
      <w:r>
        <w:rPr>
          <w:rFonts w:ascii="Arial" w:cs="Arial" w:eastAsia="Arial" w:hAnsi="Arial"/>
          <w:b/>
          <w:bCs/>
          <w:sz w:val="22"/>
          <w:szCs w:val="22"/>
        </w:rPr>
        <w:t xml:space="preserve">Cost: </w:t>
      </w:r>
      <w:r>
        <w:rPr>
          <w:rFonts w:ascii="Arial" w:cs="Arial" w:eastAsia="Arial" w:hAnsi="Arial"/>
          <w:sz w:val="22"/>
          <w:szCs w:val="22"/>
        </w:rPr>
        <w:t xml:space="preserve">Free public access</w:t>
      </w:r>
    </w:p>
    <w:p>
      <w:pPr>
        <w:spacing w:after="80"/>
      </w:pPr>
      <w:r>
        <w:rPr>
          <w:rFonts w:ascii="Arial" w:cs="Arial" w:eastAsia="Arial" w:hAnsi="Arial"/>
          <w:b/>
          <w:bCs/>
          <w:sz w:val="22"/>
          <w:szCs w:val="22"/>
        </w:rPr>
        <w:t xml:space="preserve">Language: </w:t>
      </w:r>
      <w:r>
        <w:rPr>
          <w:rFonts w:ascii="Arial" w:cs="Arial" w:eastAsia="Arial" w:hAnsi="Arial"/>
          <w:sz w:val="22"/>
          <w:szCs w:val="22"/>
        </w:rPr>
        <w:t xml:space="preserve">English, regional language summaries</w:t>
      </w:r>
    </w:p>
    <w:p>
      <w:pPr>
        <w:spacing w:after="80"/>
      </w:pPr>
      <w:r>
        <w:rPr>
          <w:rFonts w:ascii="Arial" w:cs="Arial" w:eastAsia="Arial" w:hAnsi="Arial"/>
          <w:b/>
          <w:bCs/>
          <w:sz w:val="22"/>
          <w:szCs w:val="22"/>
        </w:rPr>
        <w:t xml:space="preserve">Legal Analysis: </w:t>
      </w:r>
      <w:r>
        <w:rPr>
          <w:rFonts w:ascii="Arial" w:cs="Arial" w:eastAsia="Arial" w:hAnsi="Arial"/>
          <w:sz w:val="22"/>
          <w:szCs w:val="22"/>
        </w:rPr>
        <w:t xml:space="preserve">IT Act 2000. Insider trading regulations. SPDI Rules.</w:t>
      </w:r>
    </w:p>
    <w:p>
      <w:pPr>
        <w:spacing w:after="80"/>
      </w:pPr>
      <w:r>
        <w:rPr>
          <w:rFonts w:ascii="Arial" w:cs="Arial" w:eastAsia="Arial" w:hAnsi="Arial"/>
          <w:b/>
          <w:bCs/>
          <w:sz w:val="22"/>
          <w:szCs w:val="22"/>
        </w:rPr>
        <w:t xml:space="preserve">Technical Complexity: </w:t>
      </w:r>
      <w:r>
        <w:rPr>
          <w:rFonts w:ascii="Arial" w:cs="Arial" w:eastAsia="Arial" w:hAnsi="Arial"/>
          <w:sz w:val="22"/>
          <w:szCs w:val="22"/>
        </w:rPr>
        <w:t xml:space="preserve">Low (web portal only)</w:t>
      </w:r>
    </w:p>
    <w:p>
      <w:pPr>
        <w:spacing w:after="200"/>
      </w:pPr>
    </w:p>
    <w:p>
      <w:pPr>
        <w:pStyle w:val="Heading3"/>
      </w:pPr>
      <w:r>
        <w:t xml:space="preserve">Indian Patent Office (CGPDTM)</w:t>
      </w:r>
    </w:p>
    <w:p>
      <w:pPr>
        <w:spacing w:after="80"/>
      </w:pPr>
      <w:r>
        <w:rPr>
          <w:rFonts w:ascii="Arial" w:cs="Arial" w:eastAsia="Arial" w:hAnsi="Arial"/>
          <w:b/>
          <w:bCs/>
          <w:sz w:val="22"/>
          <w:szCs w:val="22"/>
        </w:rPr>
        <w:t xml:space="preserve">URL: </w:t>
      </w:r>
      <w:r>
        <w:rPr>
          <w:rFonts w:ascii="Arial" w:cs="Arial" w:eastAsia="Arial" w:hAnsi="Arial"/>
          <w:sz w:val="22"/>
          <w:szCs w:val="22"/>
        </w:rPr>
        <w:t xml:space="preserve">https://ipindia.gov.in/ | INPASS search portal</w:t>
      </w:r>
    </w:p>
    <w:p>
      <w:pPr>
        <w:spacing w:after="80"/>
      </w:pPr>
      <w:r>
        <w:rPr>
          <w:rFonts w:ascii="Arial" w:cs="Arial" w:eastAsia="Arial" w:hAnsi="Arial"/>
          <w:b/>
          <w:bCs/>
          <w:sz w:val="22"/>
          <w:szCs w:val="22"/>
        </w:rPr>
        <w:t xml:space="preserve">Volume: </w:t>
      </w:r>
      <w:r>
        <w:rPr>
          <w:rFonts w:ascii="Arial" w:cs="Arial" w:eastAsia="Arial" w:hAnsi="Arial"/>
          <w:sz w:val="22"/>
          <w:szCs w:val="22"/>
        </w:rPr>
        <w:t xml:space="preserve">500,000+ patent applications; 1,000,000+ cumulative registrations</w:t>
      </w:r>
    </w:p>
    <w:p>
      <w:pPr>
        <w:spacing w:after="80"/>
      </w:pPr>
      <w:r>
        <w:rPr>
          <w:rFonts w:ascii="Arial" w:cs="Arial" w:eastAsia="Arial" w:hAnsi="Arial"/>
          <w:b/>
          <w:bCs/>
          <w:sz w:val="22"/>
          <w:szCs w:val="22"/>
        </w:rPr>
        <w:t xml:space="preserve">Access Method: </w:t>
      </w:r>
      <w:r>
        <w:rPr>
          <w:rFonts w:ascii="Arial" w:cs="Arial" w:eastAsia="Arial" w:hAnsi="Arial"/>
          <w:sz w:val="22"/>
          <w:szCs w:val="22"/>
        </w:rPr>
        <w:t xml:space="preserve">INPASS full-text search with Boolean operators. No public API.</w:t>
      </w:r>
    </w:p>
    <w:p>
      <w:pPr>
        <w:spacing w:after="80"/>
      </w:pPr>
      <w:r>
        <w:rPr>
          <w:rFonts w:ascii="Arial" w:cs="Arial" w:eastAsia="Arial" w:hAnsi="Arial"/>
          <w:b/>
          <w:bCs/>
          <w:sz w:val="22"/>
          <w:szCs w:val="22"/>
        </w:rPr>
        <w:t xml:space="preserve">Data Format: </w:t>
      </w:r>
      <w:r>
        <w:rPr>
          <w:rFonts w:ascii="Arial" w:cs="Arial" w:eastAsia="Arial" w:hAnsi="Arial"/>
          <w:sz w:val="22"/>
          <w:szCs w:val="22"/>
        </w:rPr>
        <w:t xml:space="preserve">HTML search results, PDF documents</w:t>
      </w:r>
    </w:p>
    <w:p>
      <w:pPr>
        <w:spacing w:after="80"/>
      </w:pPr>
      <w:r>
        <w:rPr>
          <w:rFonts w:ascii="Arial" w:cs="Arial" w:eastAsia="Arial" w:hAnsi="Arial"/>
          <w:b/>
          <w:bCs/>
          <w:sz w:val="22"/>
          <w:szCs w:val="22"/>
        </w:rPr>
        <w:t xml:space="preserve">Update Frequency: </w:t>
      </w:r>
      <w:r>
        <w:rPr>
          <w:rFonts w:ascii="Arial" w:cs="Arial" w:eastAsia="Arial" w:hAnsi="Arial"/>
          <w:sz w:val="22"/>
          <w:szCs w:val="22"/>
        </w:rPr>
        <w:t xml:space="preserve">Indexed within 5-7 business days</w:t>
      </w:r>
    </w:p>
    <w:p>
      <w:pPr>
        <w:spacing w:after="80"/>
      </w:pPr>
      <w:r>
        <w:rPr>
          <w:rFonts w:ascii="Arial" w:cs="Arial" w:eastAsia="Arial" w:hAnsi="Arial"/>
          <w:b/>
          <w:bCs/>
          <w:sz w:val="22"/>
          <w:szCs w:val="22"/>
        </w:rPr>
        <w:t xml:space="preserve">Cost: </w:t>
      </w:r>
      <w:r>
        <w:rPr>
          <w:rFonts w:ascii="Arial" w:cs="Arial" w:eastAsia="Arial" w:hAnsi="Arial"/>
          <w:sz w:val="22"/>
          <w:szCs w:val="22"/>
        </w:rPr>
        <w:t xml:space="preserve">Free public access</w:t>
      </w:r>
    </w:p>
    <w:p>
      <w:pPr>
        <w:spacing w:after="80"/>
      </w:pPr>
      <w:r>
        <w:rPr>
          <w:rFonts w:ascii="Arial" w:cs="Arial" w:eastAsia="Arial" w:hAnsi="Arial"/>
          <w:b/>
          <w:bCs/>
          <w:sz w:val="22"/>
          <w:szCs w:val="22"/>
        </w:rPr>
        <w:t xml:space="preserve">Language: </w:t>
      </w:r>
      <w:r>
        <w:rPr>
          <w:rFonts w:ascii="Arial" w:cs="Arial" w:eastAsia="Arial" w:hAnsi="Arial"/>
          <w:sz w:val="22"/>
          <w:szCs w:val="22"/>
        </w:rPr>
        <w:t xml:space="preserve">English (primary); Hindi available</w:t>
      </w:r>
    </w:p>
    <w:p>
      <w:pPr>
        <w:spacing w:after="80"/>
      </w:pPr>
      <w:r>
        <w:rPr>
          <w:rFonts w:ascii="Arial" w:cs="Arial" w:eastAsia="Arial" w:hAnsi="Arial"/>
          <w:b/>
          <w:bCs/>
          <w:sz w:val="22"/>
          <w:szCs w:val="22"/>
        </w:rPr>
        <w:t xml:space="preserve">Legal Analysis: </w:t>
      </w:r>
      <w:r>
        <w:rPr>
          <w:rFonts w:ascii="Arial" w:cs="Arial" w:eastAsia="Arial" w:hAnsi="Arial"/>
          <w:sz w:val="22"/>
          <w:szCs w:val="22"/>
        </w:rPr>
        <w:t xml:space="preserve">Patents Act 1970. Trade Marks Act 1999. IT Act 2000.</w:t>
      </w:r>
    </w:p>
    <w:p>
      <w:pPr>
        <w:spacing w:after="80"/>
      </w:pPr>
      <w:r>
        <w:rPr>
          <w:rFonts w:ascii="Arial" w:cs="Arial" w:eastAsia="Arial" w:hAnsi="Arial"/>
          <w:b/>
          <w:bCs/>
          <w:sz w:val="22"/>
          <w:szCs w:val="22"/>
        </w:rPr>
        <w:t xml:space="preserve">Technical Complexity: </w:t>
      </w:r>
      <w:r>
        <w:rPr>
          <w:rFonts w:ascii="Arial" w:cs="Arial" w:eastAsia="Arial" w:hAnsi="Arial"/>
          <w:sz w:val="22"/>
          <w:szCs w:val="22"/>
        </w:rPr>
        <w:t xml:space="preserve">Low (web search interface)</w:t>
      </w:r>
    </w:p>
    <w:p>
      <w:pPr>
        <w:spacing w:after="200"/>
      </w:pPr>
    </w:p>
    <w:p>
      <w:pPr>
        <w:pStyle w:val="Heading3"/>
      </w:pPr>
      <w:r>
        <w:t xml:space="preserve">Indian Kanoon (Legal Database)</w:t>
      </w:r>
    </w:p>
    <w:p>
      <w:pPr>
        <w:spacing w:after="80"/>
      </w:pPr>
      <w:r>
        <w:rPr>
          <w:rFonts w:ascii="Arial" w:cs="Arial" w:eastAsia="Arial" w:hAnsi="Arial"/>
          <w:b/>
          <w:bCs/>
          <w:sz w:val="22"/>
          <w:szCs w:val="22"/>
        </w:rPr>
        <w:t xml:space="preserve">URL: </w:t>
      </w:r>
      <w:r>
        <w:rPr>
          <w:rFonts w:ascii="Arial" w:cs="Arial" w:eastAsia="Arial" w:hAnsi="Arial"/>
          <w:sz w:val="22"/>
          <w:szCs w:val="22"/>
        </w:rPr>
        <w:t xml:space="preserve">https://indiankanoon.org/ | API: https://api.indiankanoon.org/</w:t>
      </w:r>
    </w:p>
    <w:p>
      <w:pPr>
        <w:spacing w:after="80"/>
      </w:pPr>
      <w:r>
        <w:rPr>
          <w:rFonts w:ascii="Arial" w:cs="Arial" w:eastAsia="Arial" w:hAnsi="Arial"/>
          <w:b/>
          <w:bCs/>
          <w:sz w:val="22"/>
          <w:szCs w:val="22"/>
        </w:rPr>
        <w:t xml:space="preserve">Volume: </w:t>
      </w:r>
      <w:r>
        <w:rPr>
          <w:rFonts w:ascii="Arial" w:cs="Arial" w:eastAsia="Arial" w:hAnsi="Arial"/>
          <w:sz w:val="22"/>
          <w:szCs w:val="22"/>
        </w:rPr>
        <w:t xml:space="preserve">100,000+ legal documents</w:t>
      </w:r>
    </w:p>
    <w:p>
      <w:pPr>
        <w:spacing w:after="80"/>
      </w:pPr>
      <w:r>
        <w:rPr>
          <w:rFonts w:ascii="Arial" w:cs="Arial" w:eastAsia="Arial" w:hAnsi="Arial"/>
          <w:b/>
          <w:bCs/>
          <w:sz w:val="22"/>
          <w:szCs w:val="22"/>
        </w:rPr>
        <w:t xml:space="preserve">Access Method: </w:t>
      </w:r>
      <w:r>
        <w:rPr>
          <w:rFonts w:ascii="Arial" w:cs="Arial" w:eastAsia="Arial" w:hAnsi="Arial"/>
          <w:sz w:val="22"/>
          <w:szCs w:val="22"/>
        </w:rPr>
        <w:t xml:space="preserve">Public REST API; web search portal</w:t>
      </w:r>
    </w:p>
    <w:p>
      <w:pPr>
        <w:spacing w:after="80"/>
      </w:pPr>
      <w:r>
        <w:rPr>
          <w:rFonts w:ascii="Arial" w:cs="Arial" w:eastAsia="Arial" w:hAnsi="Arial"/>
          <w:b/>
          <w:bCs/>
          <w:sz w:val="22"/>
          <w:szCs w:val="22"/>
        </w:rPr>
        <w:t xml:space="preserve">Data Format: </w:t>
      </w:r>
      <w:r>
        <w:rPr>
          <w:rFonts w:ascii="Arial" w:cs="Arial" w:eastAsia="Arial" w:hAnsi="Arial"/>
          <w:sz w:val="22"/>
          <w:szCs w:val="22"/>
        </w:rPr>
        <w:t xml:space="preserve">JSON, XML (via Accept header)</w:t>
      </w:r>
    </w:p>
    <w:p>
      <w:pPr>
        <w:spacing w:after="80"/>
      </w:pPr>
      <w:r>
        <w:rPr>
          <w:rFonts w:ascii="Arial" w:cs="Arial" w:eastAsia="Arial" w:hAnsi="Arial"/>
          <w:b/>
          <w:bCs/>
          <w:sz w:val="22"/>
          <w:szCs w:val="22"/>
        </w:rPr>
        <w:t xml:space="preserve">Update Frequency: </w:t>
      </w:r>
      <w:r>
        <w:rPr>
          <w:rFonts w:ascii="Arial" w:cs="Arial" w:eastAsia="Arial" w:hAnsi="Arial"/>
          <w:sz w:val="22"/>
          <w:szCs w:val="22"/>
        </w:rPr>
        <w:t xml:space="preserve">Ongoing; typically 2-3 weeks after judgment</w:t>
      </w:r>
    </w:p>
    <w:p>
      <w:pPr>
        <w:spacing w:after="80"/>
      </w:pPr>
      <w:r>
        <w:rPr>
          <w:rFonts w:ascii="Arial" w:cs="Arial" w:eastAsia="Arial" w:hAnsi="Arial"/>
          <w:b/>
          <w:bCs/>
          <w:sz w:val="22"/>
          <w:szCs w:val="22"/>
        </w:rPr>
        <w:t xml:space="preserve">Cost: </w:t>
      </w:r>
      <w:r>
        <w:rPr>
          <w:rFonts w:ascii="Arial" w:cs="Arial" w:eastAsia="Arial" w:hAnsi="Arial"/>
          <w:sz w:val="22"/>
          <w:szCs w:val="22"/>
        </w:rPr>
        <w:t xml:space="preserve">Free API access with token-based authentication</w:t>
      </w:r>
    </w:p>
    <w:p>
      <w:pPr>
        <w:spacing w:after="80"/>
      </w:pPr>
      <w:r>
        <w:rPr>
          <w:rFonts w:ascii="Arial" w:cs="Arial" w:eastAsia="Arial" w:hAnsi="Arial"/>
          <w:b/>
          <w:bCs/>
          <w:sz w:val="22"/>
          <w:szCs w:val="22"/>
        </w:rPr>
        <w:t xml:space="preserve">Language: </w:t>
      </w:r>
      <w:r>
        <w:rPr>
          <w:rFonts w:ascii="Arial" w:cs="Arial" w:eastAsia="Arial" w:hAnsi="Arial"/>
          <w:sz w:val="22"/>
          <w:szCs w:val="22"/>
        </w:rPr>
        <w:t xml:space="preserve">English</w:t>
      </w:r>
    </w:p>
    <w:p>
      <w:pPr>
        <w:spacing w:after="80"/>
      </w:pPr>
      <w:r>
        <w:rPr>
          <w:rFonts w:ascii="Arial" w:cs="Arial" w:eastAsia="Arial" w:hAnsi="Arial"/>
          <w:b/>
          <w:bCs/>
          <w:sz w:val="22"/>
          <w:szCs w:val="22"/>
        </w:rPr>
        <w:t xml:space="preserve">Legal Analysis: </w:t>
      </w:r>
      <w:r>
        <w:rPr>
          <w:rFonts w:ascii="Arial" w:cs="Arial" w:eastAsia="Arial" w:hAnsi="Arial"/>
          <w:sz w:val="22"/>
          <w:szCs w:val="22"/>
        </w:rPr>
        <w:t xml:space="preserve">IT Act 2000. Copyright in judicial documents.</w:t>
      </w:r>
    </w:p>
    <w:p>
      <w:pPr>
        <w:spacing w:after="80"/>
      </w:pPr>
      <w:r>
        <w:rPr>
          <w:rFonts w:ascii="Arial" w:cs="Arial" w:eastAsia="Arial" w:hAnsi="Arial"/>
          <w:b/>
          <w:bCs/>
          <w:sz w:val="22"/>
          <w:szCs w:val="22"/>
        </w:rPr>
        <w:t xml:space="preserve">Technical Complexity: </w:t>
      </w:r>
      <w:r>
        <w:rPr>
          <w:rFonts w:ascii="Arial" w:cs="Arial" w:eastAsia="Arial" w:hAnsi="Arial"/>
          <w:sz w:val="22"/>
          <w:szCs w:val="22"/>
        </w:rPr>
        <w:t xml:space="preserve">Low (REST API with simple authentication)</w:t>
      </w:r>
    </w:p>
    <w:p>
      <w:pPr>
        <w:spacing w:after="200"/>
      </w:pPr>
    </w:p>
    <w:p>
      <w:pPr>
        <w:pStyle w:val="Heading2"/>
      </w:pPr>
      <w:r>
        <w:t xml:space="preserve">Japan</w:t>
      </w:r>
    </w:p>
    <w:p>
      <w:pPr>
        <w:pStyle w:val="Heading3"/>
      </w:pPr>
      <w:r>
        <w:t xml:space="preserve">EDINET (Securities Filings)</w:t>
      </w:r>
    </w:p>
    <w:p>
      <w:pPr>
        <w:spacing w:after="80"/>
      </w:pPr>
      <w:r>
        <w:rPr>
          <w:rFonts w:ascii="Arial" w:cs="Arial" w:eastAsia="Arial" w:hAnsi="Arial"/>
          <w:b/>
          <w:bCs/>
          <w:sz w:val="22"/>
          <w:szCs w:val="22"/>
        </w:rPr>
        <w:t xml:space="preserve">URL: </w:t>
      </w:r>
      <w:r>
        <w:rPr>
          <w:rFonts w:ascii="Arial" w:cs="Arial" w:eastAsia="Arial" w:hAnsi="Arial"/>
          <w:sz w:val="22"/>
          <w:szCs w:val="22"/>
        </w:rPr>
        <w:t xml:space="preserve">API: https://api.edinet-fsa.go.jp/api/v2/documents.json (v2, updated Jan 29, 2026)</w:t>
      </w:r>
    </w:p>
    <w:p>
      <w:pPr>
        <w:spacing w:after="80"/>
      </w:pPr>
      <w:r>
        <w:rPr>
          <w:rFonts w:ascii="Arial" w:cs="Arial" w:eastAsia="Arial" w:hAnsi="Arial"/>
          <w:b/>
          <w:bCs/>
          <w:sz w:val="22"/>
          <w:szCs w:val="22"/>
        </w:rPr>
        <w:t xml:space="preserve">Volume: </w:t>
      </w:r>
      <w:r>
        <w:rPr>
          <w:rFonts w:ascii="Arial" w:cs="Arial" w:eastAsia="Arial" w:hAnsi="Arial"/>
          <w:sz w:val="22"/>
          <w:szCs w:val="22"/>
        </w:rPr>
        <w:t xml:space="preserve">4,125+ listed companies; 11,000+ total entities required to file; 10 years historical data</w:t>
      </w:r>
    </w:p>
    <w:p>
      <w:pPr>
        <w:spacing w:after="80"/>
      </w:pPr>
      <w:r>
        <w:rPr>
          <w:rFonts w:ascii="Arial" w:cs="Arial" w:eastAsia="Arial" w:hAnsi="Arial"/>
          <w:b/>
          <w:bCs/>
          <w:sz w:val="22"/>
          <w:szCs w:val="22"/>
        </w:rPr>
        <w:t xml:space="preserve">Access Method: </w:t>
      </w:r>
      <w:r>
        <w:rPr>
          <w:rFonts w:ascii="Arial" w:cs="Arial" w:eastAsia="Arial" w:hAnsi="Arial"/>
          <w:sz w:val="22"/>
          <w:szCs w:val="22"/>
        </w:rPr>
        <w:t xml:space="preserve">Free API with Subscription-Key authentication. No credit card required.</w:t>
      </w:r>
    </w:p>
    <w:p>
      <w:pPr>
        <w:spacing w:after="80"/>
      </w:pPr>
      <w:r>
        <w:rPr>
          <w:rFonts w:ascii="Arial" w:cs="Arial" w:eastAsia="Arial" w:hAnsi="Arial"/>
          <w:b/>
          <w:bCs/>
          <w:sz w:val="22"/>
          <w:szCs w:val="22"/>
        </w:rPr>
        <w:t xml:space="preserve">Data Format: </w:t>
      </w:r>
      <w:r>
        <w:rPr>
          <w:rFonts w:ascii="Arial" w:cs="Arial" w:eastAsia="Arial" w:hAnsi="Arial"/>
          <w:sz w:val="22"/>
          <w:szCs w:val="22"/>
        </w:rPr>
        <w:t xml:space="preserve">ZIP files containing XBRL_TO_CSV (UTF-16 encoding, tab-delimited)</w:t>
      </w:r>
    </w:p>
    <w:p>
      <w:pPr>
        <w:spacing w:after="80"/>
      </w:pPr>
      <w:r>
        <w:rPr>
          <w:rFonts w:ascii="Arial" w:cs="Arial" w:eastAsia="Arial" w:hAnsi="Arial"/>
          <w:b/>
          <w:bCs/>
          <w:sz w:val="22"/>
          <w:szCs w:val="22"/>
        </w:rPr>
        <w:t xml:space="preserve">Update Frequency: </w:t>
      </w:r>
      <w:r>
        <w:rPr>
          <w:rFonts w:ascii="Arial" w:cs="Arial" w:eastAsia="Arial" w:hAnsi="Arial"/>
          <w:sz w:val="22"/>
          <w:szCs w:val="22"/>
        </w:rPr>
        <w:t xml:space="preserve">Real-time; filings indexed same day; XBRL within 24 hours</w:t>
      </w:r>
    </w:p>
    <w:p>
      <w:pPr>
        <w:spacing w:after="80"/>
      </w:pPr>
      <w:r>
        <w:rPr>
          <w:rFonts w:ascii="Arial" w:cs="Arial" w:eastAsia="Arial" w:hAnsi="Arial"/>
          <w:b/>
          <w:bCs/>
          <w:sz w:val="22"/>
          <w:szCs w:val="22"/>
        </w:rPr>
        <w:t xml:space="preserve">Cost: </w:t>
      </w:r>
      <w:r>
        <w:rPr>
          <w:rFonts w:ascii="Arial" w:cs="Arial" w:eastAsia="Arial" w:hAnsi="Arial"/>
          <w:sz w:val="22"/>
          <w:szCs w:val="22"/>
        </w:rPr>
        <w:t xml:space="preserve">Completely free with API key registration</w:t>
      </w:r>
    </w:p>
    <w:p>
      <w:pPr>
        <w:spacing w:after="80"/>
      </w:pPr>
      <w:r>
        <w:rPr>
          <w:rFonts w:ascii="Arial" w:cs="Arial" w:eastAsia="Arial" w:hAnsi="Arial"/>
          <w:b/>
          <w:bCs/>
          <w:sz w:val="22"/>
          <w:szCs w:val="22"/>
        </w:rPr>
        <w:t xml:space="preserve">Language: </w:t>
      </w:r>
      <w:r>
        <w:rPr>
          <w:rFonts w:ascii="Arial" w:cs="Arial" w:eastAsia="Arial" w:hAnsi="Arial"/>
          <w:sz w:val="22"/>
          <w:szCs w:val="22"/>
        </w:rPr>
        <w:t xml:space="preserve">Japanese (primary); some English documentation</w:t>
      </w:r>
    </w:p>
    <w:p>
      <w:pPr>
        <w:spacing w:after="80"/>
      </w:pPr>
      <w:r>
        <w:rPr>
          <w:rFonts w:ascii="Arial" w:cs="Arial" w:eastAsia="Arial" w:hAnsi="Arial"/>
          <w:b/>
          <w:bCs/>
          <w:sz w:val="22"/>
          <w:szCs w:val="22"/>
        </w:rPr>
        <w:t xml:space="preserve">Legal Analysis: </w:t>
      </w:r>
      <w:r>
        <w:rPr>
          <w:rFonts w:ascii="Arial" w:cs="Arial" w:eastAsia="Arial" w:hAnsi="Arial"/>
          <w:sz w:val="22"/>
          <w:szCs w:val="22"/>
        </w:rPr>
        <w:t xml:space="preserve">APPI (Act on Protection of Personal Information). Japan has GDPR adequacy status (since Jan 2019). Breach notification to PPC required.</w:t>
      </w:r>
    </w:p>
    <w:p>
      <w:pPr>
        <w:spacing w:after="80"/>
      </w:pPr>
      <w:r>
        <w:rPr>
          <w:rFonts w:ascii="Arial" w:cs="Arial" w:eastAsia="Arial" w:hAnsi="Arial"/>
          <w:b/>
          <w:bCs/>
          <w:sz w:val="22"/>
          <w:szCs w:val="22"/>
        </w:rPr>
        <w:t xml:space="preserve">Technical Complexity: </w:t>
      </w:r>
      <w:r>
        <w:rPr>
          <w:rFonts w:ascii="Arial" w:cs="Arial" w:eastAsia="Arial" w:hAnsi="Arial"/>
          <w:sz w:val="22"/>
          <w:szCs w:val="22"/>
        </w:rPr>
        <w:t xml:space="preserve">Low (free API, well-documented, mandatory 3-5 second intervals between requests)</w:t>
      </w:r>
    </w:p>
    <w:p>
      <w:pPr>
        <w:spacing w:after="120"/>
      </w:pPr>
      <w:r>
        <w:rPr>
          <w:rFonts w:ascii="Arial" w:cs="Arial" w:eastAsia="Arial" w:hAnsi="Arial"/>
          <w:i/>
          <w:iCs/>
          <w:color w:val="555555"/>
          <w:sz w:val="22"/>
          <w:szCs w:val="22"/>
        </w:rPr>
        <w:t xml:space="preserve">Rate limit: 3-5 second intervals mandatory between consecutive requests; connections dropped for rapid requests.</w:t>
      </w:r>
    </w:p>
    <w:p>
      <w:pPr>
        <w:spacing w:after="200"/>
      </w:pPr>
    </w:p>
    <w:p>
      <w:pPr>
        <w:pStyle w:val="Heading3"/>
      </w:pPr>
      <w:r>
        <w:t xml:space="preserve">J-PlatPat (Patent/Trademark Database)</w:t>
      </w:r>
    </w:p>
    <w:p>
      <w:pPr>
        <w:spacing w:after="80"/>
      </w:pPr>
      <w:r>
        <w:rPr>
          <w:rFonts w:ascii="Arial" w:cs="Arial" w:eastAsia="Arial" w:hAnsi="Arial"/>
          <w:b/>
          <w:bCs/>
          <w:sz w:val="22"/>
          <w:szCs w:val="22"/>
        </w:rPr>
        <w:t xml:space="preserve">URL: </w:t>
      </w:r>
      <w:r>
        <w:rPr>
          <w:rFonts w:ascii="Arial" w:cs="Arial" w:eastAsia="Arial" w:hAnsi="Arial"/>
          <w:sz w:val="22"/>
          <w:szCs w:val="22"/>
        </w:rPr>
        <w:t xml:space="preserve">https://www.j-platpat.inpit.go.jp/?uri=/s0000/en</w:t>
      </w:r>
    </w:p>
    <w:p>
      <w:pPr>
        <w:spacing w:after="80"/>
      </w:pPr>
      <w:r>
        <w:rPr>
          <w:rFonts w:ascii="Arial" w:cs="Arial" w:eastAsia="Arial" w:hAnsi="Arial"/>
          <w:b/>
          <w:bCs/>
          <w:sz w:val="22"/>
          <w:szCs w:val="22"/>
        </w:rPr>
        <w:t xml:space="preserve">Volume: </w:t>
      </w:r>
      <w:r>
        <w:rPr>
          <w:rFonts w:ascii="Arial" w:cs="Arial" w:eastAsia="Arial" w:hAnsi="Arial"/>
          <w:sz w:val="22"/>
          <w:szCs w:val="22"/>
        </w:rPr>
        <w:t xml:space="preserve">500,000+ patents; 2,000,000+ trademarks; 500,000+ designs</w:t>
      </w:r>
    </w:p>
    <w:p>
      <w:pPr>
        <w:spacing w:after="80"/>
      </w:pPr>
      <w:r>
        <w:rPr>
          <w:rFonts w:ascii="Arial" w:cs="Arial" w:eastAsia="Arial" w:hAnsi="Arial"/>
          <w:b/>
          <w:bCs/>
          <w:sz w:val="22"/>
          <w:szCs w:val="22"/>
        </w:rPr>
        <w:t xml:space="preserve">Access Method: </w:t>
      </w:r>
      <w:r>
        <w:rPr>
          <w:rFonts w:ascii="Arial" w:cs="Arial" w:eastAsia="Arial" w:hAnsi="Arial"/>
          <w:sz w:val="22"/>
          <w:szCs w:val="22"/>
        </w:rPr>
        <w:t xml:space="preserve">Web search portal (free). Patent API in trial phase (OPD-API terminated Aug 2024).</w:t>
      </w:r>
    </w:p>
    <w:p>
      <w:pPr>
        <w:spacing w:after="80"/>
      </w:pPr>
      <w:r>
        <w:rPr>
          <w:rFonts w:ascii="Arial" w:cs="Arial" w:eastAsia="Arial" w:hAnsi="Arial"/>
          <w:b/>
          <w:bCs/>
          <w:sz w:val="22"/>
          <w:szCs w:val="22"/>
        </w:rPr>
        <w:t xml:space="preserve">Data Format: </w:t>
      </w:r>
      <w:r>
        <w:rPr>
          <w:rFonts w:ascii="Arial" w:cs="Arial" w:eastAsia="Arial" w:hAnsi="Arial"/>
          <w:sz w:val="22"/>
          <w:szCs w:val="22"/>
        </w:rPr>
        <w:t xml:space="preserve">HTML search results; XML for API (trial only)</w:t>
      </w:r>
    </w:p>
    <w:p>
      <w:pPr>
        <w:spacing w:after="80"/>
      </w:pPr>
      <w:r>
        <w:rPr>
          <w:rFonts w:ascii="Arial" w:cs="Arial" w:eastAsia="Arial" w:hAnsi="Arial"/>
          <w:b/>
          <w:bCs/>
          <w:sz w:val="22"/>
          <w:szCs w:val="22"/>
        </w:rPr>
        <w:t xml:space="preserve">Update Frequency: </w:t>
      </w:r>
      <w:r>
        <w:rPr>
          <w:rFonts w:ascii="Arial" w:cs="Arial" w:eastAsia="Arial" w:hAnsi="Arial"/>
          <w:sz w:val="22"/>
          <w:szCs w:val="22"/>
        </w:rPr>
        <w:t xml:space="preserve">Published data within 1-2 weeks; weekly bulk updates</w:t>
      </w:r>
    </w:p>
    <w:p>
      <w:pPr>
        <w:spacing w:after="80"/>
      </w:pPr>
      <w:r>
        <w:rPr>
          <w:rFonts w:ascii="Arial" w:cs="Arial" w:eastAsia="Arial" w:hAnsi="Arial"/>
          <w:b/>
          <w:bCs/>
          <w:sz w:val="22"/>
          <w:szCs w:val="22"/>
        </w:rPr>
        <w:t xml:space="preserve">Cost: </w:t>
      </w:r>
      <w:r>
        <w:rPr>
          <w:rFonts w:ascii="Arial" w:cs="Arial" w:eastAsia="Arial" w:hAnsi="Arial"/>
          <w:sz w:val="22"/>
          <w:szCs w:val="22"/>
        </w:rPr>
        <w:t xml:space="preserve">Free web portal; API trial status</w:t>
      </w:r>
    </w:p>
    <w:p>
      <w:pPr>
        <w:spacing w:after="80"/>
      </w:pPr>
      <w:r>
        <w:rPr>
          <w:rFonts w:ascii="Arial" w:cs="Arial" w:eastAsia="Arial" w:hAnsi="Arial"/>
          <w:b/>
          <w:bCs/>
          <w:sz w:val="22"/>
          <w:szCs w:val="22"/>
        </w:rPr>
        <w:t xml:space="preserve">Language: </w:t>
      </w:r>
      <w:r>
        <w:rPr>
          <w:rFonts w:ascii="Arial" w:cs="Arial" w:eastAsia="Arial" w:hAnsi="Arial"/>
          <w:sz w:val="22"/>
          <w:szCs w:val="22"/>
        </w:rPr>
        <w:t xml:space="preserve">Japanese (primary); English abstracts for patents</w:t>
      </w:r>
    </w:p>
    <w:p>
      <w:pPr>
        <w:spacing w:after="80"/>
      </w:pPr>
      <w:r>
        <w:rPr>
          <w:rFonts w:ascii="Arial" w:cs="Arial" w:eastAsia="Arial" w:hAnsi="Arial"/>
          <w:b/>
          <w:bCs/>
          <w:sz w:val="22"/>
          <w:szCs w:val="22"/>
        </w:rPr>
        <w:t xml:space="preserve">Legal Analysis: </w:t>
      </w:r>
      <w:r>
        <w:rPr>
          <w:rFonts w:ascii="Arial" w:cs="Arial" w:eastAsia="Arial" w:hAnsi="Arial"/>
          <w:sz w:val="22"/>
          <w:szCs w:val="22"/>
        </w:rPr>
        <w:t xml:space="preserve">APPI applies. Patents Act 2000. Trademark Act 1959.</w:t>
      </w:r>
    </w:p>
    <w:p>
      <w:pPr>
        <w:spacing w:after="80"/>
      </w:pPr>
      <w:r>
        <w:rPr>
          <w:rFonts w:ascii="Arial" w:cs="Arial" w:eastAsia="Arial" w:hAnsi="Arial"/>
          <w:b/>
          <w:bCs/>
          <w:sz w:val="22"/>
          <w:szCs w:val="22"/>
        </w:rPr>
        <w:t xml:space="preserve">Technical Complexity: </w:t>
      </w:r>
      <w:r>
        <w:rPr>
          <w:rFonts w:ascii="Arial" w:cs="Arial" w:eastAsia="Arial" w:hAnsi="Arial"/>
          <w:sz w:val="22"/>
          <w:szCs w:val="22"/>
        </w:rPr>
        <w:t xml:space="preserve">Low (web portal); Medium (API trial phase)</w:t>
      </w:r>
    </w:p>
    <w:p>
      <w:pPr>
        <w:spacing w:after="200"/>
      </w:pPr>
    </w:p>
    <w:p>
      <w:pPr>
        <w:pStyle w:val="Heading3"/>
      </w:pPr>
      <w:r>
        <w:t xml:space="preserve">Courts.go.jp (Court Decisions)</w:t>
      </w:r>
    </w:p>
    <w:p>
      <w:pPr>
        <w:spacing w:after="80"/>
      </w:pPr>
      <w:r>
        <w:rPr>
          <w:rFonts w:ascii="Arial" w:cs="Arial" w:eastAsia="Arial" w:hAnsi="Arial"/>
          <w:b/>
          <w:bCs/>
          <w:sz w:val="22"/>
          <w:szCs w:val="22"/>
        </w:rPr>
        <w:t xml:space="preserve">URL: </w:t>
      </w:r>
      <w:r>
        <w:rPr>
          <w:rFonts w:ascii="Arial" w:cs="Arial" w:eastAsia="Arial" w:hAnsi="Arial"/>
          <w:sz w:val="22"/>
          <w:szCs w:val="22"/>
        </w:rPr>
        <w:t xml:space="preserve">https://www.courts.go.jp/english/</w:t>
      </w:r>
    </w:p>
    <w:p>
      <w:pPr>
        <w:spacing w:after="80"/>
      </w:pPr>
      <w:r>
        <w:rPr>
          <w:rFonts w:ascii="Arial" w:cs="Arial" w:eastAsia="Arial" w:hAnsi="Arial"/>
          <w:b/>
          <w:bCs/>
          <w:sz w:val="22"/>
          <w:szCs w:val="22"/>
        </w:rPr>
        <w:t xml:space="preserve">Volume: </w:t>
      </w:r>
      <w:r>
        <w:rPr>
          <w:rFonts w:ascii="Arial" w:cs="Arial" w:eastAsia="Arial" w:hAnsi="Arial"/>
          <w:sz w:val="22"/>
          <w:szCs w:val="22"/>
        </w:rPr>
        <w:t xml:space="preserve">1,000,000+ judicial decisions across all court levels</w:t>
      </w:r>
    </w:p>
    <w:p>
      <w:pPr>
        <w:spacing w:after="80"/>
      </w:pPr>
      <w:r>
        <w:rPr>
          <w:rFonts w:ascii="Arial" w:cs="Arial" w:eastAsia="Arial" w:hAnsi="Arial"/>
          <w:b/>
          <w:bCs/>
          <w:sz w:val="22"/>
          <w:szCs w:val="22"/>
        </w:rPr>
        <w:t xml:space="preserve">Access Method: </w:t>
      </w:r>
      <w:r>
        <w:rPr>
          <w:rFonts w:ascii="Arial" w:cs="Arial" w:eastAsia="Arial" w:hAnsi="Arial"/>
          <w:sz w:val="22"/>
          <w:szCs w:val="22"/>
        </w:rPr>
        <w:t xml:space="preserve">Web portal search; limited API access</w:t>
      </w:r>
    </w:p>
    <w:p>
      <w:pPr>
        <w:spacing w:after="80"/>
      </w:pPr>
      <w:r>
        <w:rPr>
          <w:rFonts w:ascii="Arial" w:cs="Arial" w:eastAsia="Arial" w:hAnsi="Arial"/>
          <w:b/>
          <w:bCs/>
          <w:sz w:val="22"/>
          <w:szCs w:val="22"/>
        </w:rPr>
        <w:t xml:space="preserve">Data Format: </w:t>
      </w:r>
      <w:r>
        <w:rPr>
          <w:rFonts w:ascii="Arial" w:cs="Arial" w:eastAsia="Arial" w:hAnsi="Arial"/>
          <w:sz w:val="22"/>
          <w:szCs w:val="22"/>
        </w:rPr>
        <w:t xml:space="preserve">HTML, PDF documents</w:t>
      </w:r>
    </w:p>
    <w:p>
      <w:pPr>
        <w:spacing w:after="80"/>
      </w:pPr>
      <w:r>
        <w:rPr>
          <w:rFonts w:ascii="Arial" w:cs="Arial" w:eastAsia="Arial" w:hAnsi="Arial"/>
          <w:b/>
          <w:bCs/>
          <w:sz w:val="22"/>
          <w:szCs w:val="22"/>
        </w:rPr>
        <w:t xml:space="preserve">Update Frequency: </w:t>
      </w:r>
      <w:r>
        <w:rPr>
          <w:rFonts w:ascii="Arial" w:cs="Arial" w:eastAsia="Arial" w:hAnsi="Arial"/>
          <w:sz w:val="22"/>
          <w:szCs w:val="22"/>
        </w:rPr>
        <w:t xml:space="preserve">Within 2-4 weeks of judgment</w:t>
      </w:r>
    </w:p>
    <w:p>
      <w:pPr>
        <w:spacing w:after="80"/>
      </w:pPr>
      <w:r>
        <w:rPr>
          <w:rFonts w:ascii="Arial" w:cs="Arial" w:eastAsia="Arial" w:hAnsi="Arial"/>
          <w:b/>
          <w:bCs/>
          <w:sz w:val="22"/>
          <w:szCs w:val="22"/>
        </w:rPr>
        <w:t xml:space="preserve">Cost: </w:t>
      </w:r>
      <w:r>
        <w:rPr>
          <w:rFonts w:ascii="Arial" w:cs="Arial" w:eastAsia="Arial" w:hAnsi="Arial"/>
          <w:sz w:val="22"/>
          <w:szCs w:val="22"/>
        </w:rPr>
        <w:t xml:space="preserve">Free public access</w:t>
      </w:r>
    </w:p>
    <w:p>
      <w:pPr>
        <w:spacing w:after="80"/>
      </w:pPr>
      <w:r>
        <w:rPr>
          <w:rFonts w:ascii="Arial" w:cs="Arial" w:eastAsia="Arial" w:hAnsi="Arial"/>
          <w:b/>
          <w:bCs/>
          <w:sz w:val="22"/>
          <w:szCs w:val="22"/>
        </w:rPr>
        <w:t xml:space="preserve">Language: </w:t>
      </w:r>
      <w:r>
        <w:rPr>
          <w:rFonts w:ascii="Arial" w:cs="Arial" w:eastAsia="Arial" w:hAnsi="Arial"/>
          <w:sz w:val="22"/>
          <w:szCs w:val="22"/>
        </w:rPr>
        <w:t xml:space="preserve">Japanese (primary); English for procedural information</w:t>
      </w:r>
    </w:p>
    <w:p>
      <w:pPr>
        <w:spacing w:after="80"/>
      </w:pPr>
      <w:r>
        <w:rPr>
          <w:rFonts w:ascii="Arial" w:cs="Arial" w:eastAsia="Arial" w:hAnsi="Arial"/>
          <w:b/>
          <w:bCs/>
          <w:sz w:val="22"/>
          <w:szCs w:val="22"/>
        </w:rPr>
        <w:t xml:space="preserve">Legal Analysis: </w:t>
      </w:r>
      <w:r>
        <w:rPr>
          <w:rFonts w:ascii="Arial" w:cs="Arial" w:eastAsia="Arial" w:hAnsi="Arial"/>
          <w:sz w:val="22"/>
          <w:szCs w:val="22"/>
        </w:rPr>
        <w:t xml:space="preserve">APPI. Judicial document copyright. Sensitive info may be redacted.</w:t>
      </w:r>
    </w:p>
    <w:p>
      <w:pPr>
        <w:spacing w:after="80"/>
      </w:pPr>
      <w:r>
        <w:rPr>
          <w:rFonts w:ascii="Arial" w:cs="Arial" w:eastAsia="Arial" w:hAnsi="Arial"/>
          <w:b/>
          <w:bCs/>
          <w:sz w:val="22"/>
          <w:szCs w:val="22"/>
        </w:rPr>
        <w:t xml:space="preserve">Technical Complexity: </w:t>
      </w:r>
      <w:r>
        <w:rPr>
          <w:rFonts w:ascii="Arial" w:cs="Arial" w:eastAsia="Arial" w:hAnsi="Arial"/>
          <w:sz w:val="22"/>
          <w:szCs w:val="22"/>
        </w:rPr>
        <w:t xml:space="preserve">Low (web portal only)</w:t>
      </w:r>
    </w:p>
    <w:p>
      <w:pPr>
        <w:spacing w:after="200"/>
      </w:pPr>
    </w:p>
    <w:p>
      <w:pPr>
        <w:pStyle w:val="Heading2"/>
      </w:pPr>
      <w:r>
        <w:t xml:space="preserve">South Korea</w:t>
      </w:r>
    </w:p>
    <w:p>
      <w:pPr>
        <w:pStyle w:val="Heading3"/>
      </w:pPr>
      <w:r>
        <w:t xml:space="preserve">DART (Securities Filing System)</w:t>
      </w:r>
    </w:p>
    <w:p>
      <w:pPr>
        <w:spacing w:after="80"/>
      </w:pPr>
      <w:r>
        <w:rPr>
          <w:rFonts w:ascii="Arial" w:cs="Arial" w:eastAsia="Arial" w:hAnsi="Arial"/>
          <w:b/>
          <w:bCs/>
          <w:sz w:val="22"/>
          <w:szCs w:val="22"/>
        </w:rPr>
        <w:t xml:space="preserve">URL: </w:t>
      </w:r>
      <w:r>
        <w:rPr>
          <w:rFonts w:ascii="Arial" w:cs="Arial" w:eastAsia="Arial" w:hAnsi="Arial"/>
          <w:sz w:val="22"/>
          <w:szCs w:val="22"/>
        </w:rPr>
        <w:t xml:space="preserve">https://englishdart.fss.or.kr/ | Open API: https://engopendart.fss.or.kr/</w:t>
      </w:r>
    </w:p>
    <w:p>
      <w:pPr>
        <w:spacing w:after="80"/>
      </w:pPr>
      <w:r>
        <w:rPr>
          <w:rFonts w:ascii="Arial" w:cs="Arial" w:eastAsia="Arial" w:hAnsi="Arial"/>
          <w:b/>
          <w:bCs/>
          <w:sz w:val="22"/>
          <w:szCs w:val="22"/>
        </w:rPr>
        <w:t xml:space="preserve">Volume: </w:t>
      </w:r>
      <w:r>
        <w:rPr>
          <w:rFonts w:ascii="Arial" w:cs="Arial" w:eastAsia="Arial" w:hAnsi="Arial"/>
          <w:sz w:val="22"/>
          <w:szCs w:val="22"/>
        </w:rPr>
        <w:t xml:space="preserve">3,000+ listed companies; 500,000+ annual filings</w:t>
      </w:r>
    </w:p>
    <w:p>
      <w:pPr>
        <w:spacing w:after="80"/>
      </w:pPr>
      <w:r>
        <w:rPr>
          <w:rFonts w:ascii="Arial" w:cs="Arial" w:eastAsia="Arial" w:hAnsi="Arial"/>
          <w:b/>
          <w:bCs/>
          <w:sz w:val="22"/>
          <w:szCs w:val="22"/>
        </w:rPr>
        <w:t xml:space="preserve">Access Method: </w:t>
      </w:r>
      <w:r>
        <w:rPr>
          <w:rFonts w:ascii="Arial" w:cs="Arial" w:eastAsia="Arial" w:hAnsi="Arial"/>
          <w:sz w:val="22"/>
          <w:szCs w:val="22"/>
        </w:rPr>
        <w:t xml:space="preserve">Open API with authentication key (anyone can register); web portal search</w:t>
      </w:r>
    </w:p>
    <w:p>
      <w:pPr>
        <w:spacing w:after="80"/>
      </w:pPr>
      <w:r>
        <w:rPr>
          <w:rFonts w:ascii="Arial" w:cs="Arial" w:eastAsia="Arial" w:hAnsi="Arial"/>
          <w:b/>
          <w:bCs/>
          <w:sz w:val="22"/>
          <w:szCs w:val="22"/>
        </w:rPr>
        <w:t xml:space="preserve">Data Format: </w:t>
      </w:r>
      <w:r>
        <w:rPr>
          <w:rFonts w:ascii="Arial" w:cs="Arial" w:eastAsia="Arial" w:hAnsi="Arial"/>
          <w:sz w:val="22"/>
          <w:szCs w:val="22"/>
        </w:rPr>
        <w:t xml:space="preserve">JSON (API), XBRL, EXCEL, TXT, CSV</w:t>
      </w:r>
    </w:p>
    <w:p>
      <w:pPr>
        <w:spacing w:after="80"/>
      </w:pPr>
      <w:r>
        <w:rPr>
          <w:rFonts w:ascii="Arial" w:cs="Arial" w:eastAsia="Arial" w:hAnsi="Arial"/>
          <w:b/>
          <w:bCs/>
          <w:sz w:val="22"/>
          <w:szCs w:val="22"/>
        </w:rPr>
        <w:t xml:space="preserve">Update Frequency: </w:t>
      </w:r>
      <w:r>
        <w:rPr>
          <w:rFonts w:ascii="Arial" w:cs="Arial" w:eastAsia="Arial" w:hAnsi="Arial"/>
          <w:sz w:val="22"/>
          <w:szCs w:val="22"/>
        </w:rPr>
        <w:t xml:space="preserve">Real-time filing; indexed within 1-2 business days</w:t>
      </w:r>
    </w:p>
    <w:p>
      <w:pPr>
        <w:spacing w:after="80"/>
      </w:pPr>
      <w:r>
        <w:rPr>
          <w:rFonts w:ascii="Arial" w:cs="Arial" w:eastAsia="Arial" w:hAnsi="Arial"/>
          <w:b/>
          <w:bCs/>
          <w:sz w:val="22"/>
          <w:szCs w:val="22"/>
        </w:rPr>
        <w:t xml:space="preserve">Cost: </w:t>
      </w:r>
      <w:r>
        <w:rPr>
          <w:rFonts w:ascii="Arial" w:cs="Arial" w:eastAsia="Arial" w:hAnsi="Arial"/>
          <w:sz w:val="22"/>
          <w:szCs w:val="22"/>
        </w:rPr>
        <w:t xml:space="preserve">Free API access with authentication key</w:t>
      </w:r>
    </w:p>
    <w:p>
      <w:pPr>
        <w:spacing w:after="80"/>
      </w:pPr>
      <w:r>
        <w:rPr>
          <w:rFonts w:ascii="Arial" w:cs="Arial" w:eastAsia="Arial" w:hAnsi="Arial"/>
          <w:b/>
          <w:bCs/>
          <w:sz w:val="22"/>
          <w:szCs w:val="22"/>
        </w:rPr>
        <w:t xml:space="preserve">Language: </w:t>
      </w:r>
      <w:r>
        <w:rPr>
          <w:rFonts w:ascii="Arial" w:cs="Arial" w:eastAsia="Arial" w:hAnsi="Arial"/>
          <w:sz w:val="22"/>
          <w:szCs w:val="22"/>
        </w:rPr>
        <w:t xml:space="preserve">Korean (primary); English portal available</w:t>
      </w:r>
    </w:p>
    <w:p>
      <w:pPr>
        <w:spacing w:after="80"/>
      </w:pPr>
      <w:r>
        <w:rPr>
          <w:rFonts w:ascii="Arial" w:cs="Arial" w:eastAsia="Arial" w:hAnsi="Arial"/>
          <w:b/>
          <w:bCs/>
          <w:sz w:val="22"/>
          <w:szCs w:val="22"/>
        </w:rPr>
        <w:t xml:space="preserve">Legal Analysis: </w:t>
      </w:r>
      <w:r>
        <w:rPr>
          <w:rFonts w:ascii="Arial" w:cs="Arial" w:eastAsia="Arial" w:hAnsi="Arial"/>
          <w:sz w:val="22"/>
          <w:szCs w:val="22"/>
        </w:rPr>
        <w:t xml:space="preserve">Personal Information Protection Act (PIPA). FSS cybersecurity requirements.</w:t>
      </w:r>
    </w:p>
    <w:p>
      <w:pPr>
        <w:spacing w:after="80"/>
      </w:pPr>
      <w:r>
        <w:rPr>
          <w:rFonts w:ascii="Arial" w:cs="Arial" w:eastAsia="Arial" w:hAnsi="Arial"/>
          <w:b/>
          <w:bCs/>
          <w:sz w:val="22"/>
          <w:szCs w:val="22"/>
        </w:rPr>
        <w:t xml:space="preserve">Technical Complexity: </w:t>
      </w:r>
      <w:r>
        <w:rPr>
          <w:rFonts w:ascii="Arial" w:cs="Arial" w:eastAsia="Arial" w:hAnsi="Arial"/>
          <w:sz w:val="22"/>
          <w:szCs w:val="22"/>
        </w:rPr>
        <w:t xml:space="preserve">Medium (API authentication key; multiple output formats)</w:t>
      </w:r>
    </w:p>
    <w:p>
      <w:pPr>
        <w:spacing w:after="200"/>
      </w:pPr>
    </w:p>
    <w:p>
      <w:pPr>
        <w:pStyle w:val="Heading3"/>
      </w:pPr>
      <w:r>
        <w:t xml:space="preserve">KIPRIS (IP Information Service)</w:t>
      </w:r>
    </w:p>
    <w:p>
      <w:pPr>
        <w:spacing w:after="80"/>
      </w:pPr>
      <w:r>
        <w:rPr>
          <w:rFonts w:ascii="Arial" w:cs="Arial" w:eastAsia="Arial" w:hAnsi="Arial"/>
          <w:b/>
          <w:bCs/>
          <w:sz w:val="22"/>
          <w:szCs w:val="22"/>
        </w:rPr>
        <w:t xml:space="preserve">URL: </w:t>
      </w:r>
      <w:r>
        <w:rPr>
          <w:rFonts w:ascii="Arial" w:cs="Arial" w:eastAsia="Arial" w:hAnsi="Arial"/>
          <w:sz w:val="22"/>
          <w:szCs w:val="22"/>
        </w:rPr>
        <w:t xml:space="preserve">https://www.kipris.or.kr/ | KIPRIS Plus REST API</w:t>
      </w:r>
    </w:p>
    <w:p>
      <w:pPr>
        <w:spacing w:after="80"/>
      </w:pPr>
      <w:r>
        <w:rPr>
          <w:rFonts w:ascii="Arial" w:cs="Arial" w:eastAsia="Arial" w:hAnsi="Arial"/>
          <w:b/>
          <w:bCs/>
          <w:sz w:val="22"/>
          <w:szCs w:val="22"/>
        </w:rPr>
        <w:t xml:space="preserve">Volume: </w:t>
      </w:r>
      <w:r>
        <w:rPr>
          <w:rFonts w:ascii="Arial" w:cs="Arial" w:eastAsia="Arial" w:hAnsi="Arial"/>
          <w:sz w:val="22"/>
          <w:szCs w:val="22"/>
        </w:rPr>
        <w:t xml:space="preserve">1,500,000+ patents; 2,500,000+ trademarks; 500,000+ designs</w:t>
      </w:r>
    </w:p>
    <w:p>
      <w:pPr>
        <w:spacing w:after="80"/>
      </w:pPr>
      <w:r>
        <w:rPr>
          <w:rFonts w:ascii="Arial" w:cs="Arial" w:eastAsia="Arial" w:hAnsi="Arial"/>
          <w:b/>
          <w:bCs/>
          <w:sz w:val="22"/>
          <w:szCs w:val="22"/>
        </w:rPr>
        <w:t xml:space="preserve">Access Method: </w:t>
      </w:r>
      <w:r>
        <w:rPr>
          <w:rFonts w:ascii="Arial" w:cs="Arial" w:eastAsia="Arial" w:hAnsi="Arial"/>
          <w:sz w:val="22"/>
          <w:szCs w:val="22"/>
        </w:rPr>
        <w:t xml:space="preserve">Web portal (free); KIPRIS Plus REST API with registration</w:t>
      </w:r>
    </w:p>
    <w:p>
      <w:pPr>
        <w:spacing w:after="80"/>
      </w:pPr>
      <w:r>
        <w:rPr>
          <w:rFonts w:ascii="Arial" w:cs="Arial" w:eastAsia="Arial" w:hAnsi="Arial"/>
          <w:b/>
          <w:bCs/>
          <w:sz w:val="22"/>
          <w:szCs w:val="22"/>
        </w:rPr>
        <w:t xml:space="preserve">Data Format: </w:t>
      </w:r>
      <w:r>
        <w:rPr>
          <w:rFonts w:ascii="Arial" w:cs="Arial" w:eastAsia="Arial" w:hAnsi="Arial"/>
          <w:sz w:val="22"/>
          <w:szCs w:val="22"/>
        </w:rPr>
        <w:t xml:space="preserve">XML (API); HTML (web portal)</w:t>
      </w:r>
    </w:p>
    <w:p>
      <w:pPr>
        <w:spacing w:after="80"/>
      </w:pPr>
      <w:r>
        <w:rPr>
          <w:rFonts w:ascii="Arial" w:cs="Arial" w:eastAsia="Arial" w:hAnsi="Arial"/>
          <w:b/>
          <w:bCs/>
          <w:sz w:val="22"/>
          <w:szCs w:val="22"/>
        </w:rPr>
        <w:t xml:space="preserve">Update Frequency: </w:t>
      </w:r>
      <w:r>
        <w:rPr>
          <w:rFonts w:ascii="Arial" w:cs="Arial" w:eastAsia="Arial" w:hAnsi="Arial"/>
          <w:sz w:val="22"/>
          <w:szCs w:val="22"/>
        </w:rPr>
        <w:t xml:space="preserve">Weekly updates; API typically 3-5 days behind publication</w:t>
      </w:r>
    </w:p>
    <w:p>
      <w:pPr>
        <w:spacing w:after="80"/>
      </w:pPr>
      <w:r>
        <w:rPr>
          <w:rFonts w:ascii="Arial" w:cs="Arial" w:eastAsia="Arial" w:hAnsi="Arial"/>
          <w:b/>
          <w:bCs/>
          <w:sz w:val="22"/>
          <w:szCs w:val="22"/>
        </w:rPr>
        <w:t xml:space="preserve">Cost: </w:t>
      </w:r>
      <w:r>
        <w:rPr>
          <w:rFonts w:ascii="Arial" w:cs="Arial" w:eastAsia="Arial" w:hAnsi="Arial"/>
          <w:sz w:val="22"/>
          <w:szCs w:val="22"/>
        </w:rPr>
        <w:t xml:space="preserve">Free up to 1,000 cases/month; paid tiers for higher volume</w:t>
      </w:r>
    </w:p>
    <w:p>
      <w:pPr>
        <w:spacing w:after="80"/>
      </w:pPr>
      <w:r>
        <w:rPr>
          <w:rFonts w:ascii="Arial" w:cs="Arial" w:eastAsia="Arial" w:hAnsi="Arial"/>
          <w:b/>
          <w:bCs/>
          <w:sz w:val="22"/>
          <w:szCs w:val="22"/>
        </w:rPr>
        <w:t xml:space="preserve">Language: </w:t>
      </w:r>
      <w:r>
        <w:rPr>
          <w:rFonts w:ascii="Arial" w:cs="Arial" w:eastAsia="Arial" w:hAnsi="Arial"/>
          <w:sz w:val="22"/>
          <w:szCs w:val="22"/>
        </w:rPr>
        <w:t xml:space="preserve">Korean (primary); English abstracts available</w:t>
      </w:r>
    </w:p>
    <w:p>
      <w:pPr>
        <w:spacing w:after="80"/>
      </w:pPr>
      <w:r>
        <w:rPr>
          <w:rFonts w:ascii="Arial" w:cs="Arial" w:eastAsia="Arial" w:hAnsi="Arial"/>
          <w:b/>
          <w:bCs/>
          <w:sz w:val="22"/>
          <w:szCs w:val="22"/>
        </w:rPr>
        <w:t xml:space="preserve">Legal Analysis: </w:t>
      </w:r>
      <w:r>
        <w:rPr>
          <w:rFonts w:ascii="Arial" w:cs="Arial" w:eastAsia="Arial" w:hAnsi="Arial"/>
          <w:sz w:val="22"/>
          <w:szCs w:val="22"/>
        </w:rPr>
        <w:t xml:space="preserve">Patent Act 2006. Trademark Act 2015. PIPA.</w:t>
      </w:r>
    </w:p>
    <w:p>
      <w:pPr>
        <w:spacing w:after="80"/>
      </w:pPr>
      <w:r>
        <w:rPr>
          <w:rFonts w:ascii="Arial" w:cs="Arial" w:eastAsia="Arial" w:hAnsi="Arial"/>
          <w:b/>
          <w:bCs/>
          <w:sz w:val="22"/>
          <w:szCs w:val="22"/>
        </w:rPr>
        <w:t xml:space="preserve">Technical Complexity: </w:t>
      </w:r>
      <w:r>
        <w:rPr>
          <w:rFonts w:ascii="Arial" w:cs="Arial" w:eastAsia="Arial" w:hAnsi="Arial"/>
          <w:sz w:val="22"/>
          <w:szCs w:val="22"/>
        </w:rPr>
        <w:t xml:space="preserve">Medium (REST API with XML output; registration required)</w:t>
      </w:r>
    </w:p>
    <w:p>
      <w:pPr>
        <w:spacing w:after="200"/>
      </w:pPr>
    </w:p>
    <w:p>
      <w:pPr>
        <w:pStyle w:val="Heading2"/>
      </w:pPr>
      <w:r>
        <w:t xml:space="preserve">China</w:t>
      </w:r>
    </w:p>
    <w:p>
      <w:pPr>
        <w:pStyle w:val="Heading3"/>
      </w:pPr>
      <w:r>
        <w:t xml:space="preserve">CNINFO (Securities/Corporate Filings)</w:t>
      </w:r>
    </w:p>
    <w:p>
      <w:pPr>
        <w:spacing w:after="80"/>
      </w:pPr>
      <w:r>
        <w:rPr>
          <w:rFonts w:ascii="Arial" w:cs="Arial" w:eastAsia="Arial" w:hAnsi="Arial"/>
          <w:b/>
          <w:bCs/>
          <w:sz w:val="22"/>
          <w:szCs w:val="22"/>
        </w:rPr>
        <w:t xml:space="preserve">URL: </w:t>
      </w:r>
      <w:r>
        <w:rPr>
          <w:rFonts w:ascii="Arial" w:cs="Arial" w:eastAsia="Arial" w:hAnsi="Arial"/>
          <w:sz w:val="22"/>
          <w:szCs w:val="22"/>
        </w:rPr>
        <w:t xml:space="preserve">https://www.cninfo.com.cn/ | Data API: https://webapi.cninfo.com.cn/</w:t>
      </w:r>
    </w:p>
    <w:p>
      <w:pPr>
        <w:spacing w:after="80"/>
      </w:pPr>
      <w:r>
        <w:rPr>
          <w:rFonts w:ascii="Arial" w:cs="Arial" w:eastAsia="Arial" w:hAnsi="Arial"/>
          <w:b/>
          <w:bCs/>
          <w:sz w:val="22"/>
          <w:szCs w:val="22"/>
        </w:rPr>
        <w:t xml:space="preserve">Volume: </w:t>
      </w:r>
      <w:r>
        <w:rPr>
          <w:rFonts w:ascii="Arial" w:cs="Arial" w:eastAsia="Arial" w:hAnsi="Arial"/>
          <w:sz w:val="22"/>
          <w:szCs w:val="22"/>
        </w:rPr>
        <w:t xml:space="preserve">5,300+ A-share listed companies; 600+ HK-listed Chinese cos; 10M+ annual announcements</w:t>
      </w:r>
    </w:p>
    <w:p>
      <w:pPr>
        <w:spacing w:after="80"/>
      </w:pPr>
      <w:r>
        <w:rPr>
          <w:rFonts w:ascii="Arial" w:cs="Arial" w:eastAsia="Arial" w:hAnsi="Arial"/>
          <w:b/>
          <w:bCs/>
          <w:sz w:val="22"/>
          <w:szCs w:val="22"/>
        </w:rPr>
        <w:t xml:space="preserve">Access Method: </w:t>
      </w:r>
      <w:r>
        <w:rPr>
          <w:rFonts w:ascii="Arial" w:cs="Arial" w:eastAsia="Arial" w:hAnsi="Arial"/>
          <w:sz w:val="22"/>
          <w:szCs w:val="22"/>
        </w:rPr>
        <w:t xml:space="preserve">Web portal; Data Service Platform (webapi.cninfo.com.cn); Announcement query APIs</w:t>
      </w:r>
    </w:p>
    <w:p>
      <w:pPr>
        <w:spacing w:after="80"/>
      </w:pPr>
      <w:r>
        <w:rPr>
          <w:rFonts w:ascii="Arial" w:cs="Arial" w:eastAsia="Arial" w:hAnsi="Arial"/>
          <w:b/>
          <w:bCs/>
          <w:sz w:val="22"/>
          <w:szCs w:val="22"/>
        </w:rPr>
        <w:t xml:space="preserve">Data Format: </w:t>
      </w:r>
      <w:r>
        <w:rPr>
          <w:rFonts w:ascii="Arial" w:cs="Arial" w:eastAsia="Arial" w:hAnsi="Arial"/>
          <w:sz w:val="22"/>
          <w:szCs w:val="22"/>
        </w:rPr>
        <w:t xml:space="preserve">JSON (API), HTML, PDF, XBRL for financial data</w:t>
      </w:r>
    </w:p>
    <w:p>
      <w:pPr>
        <w:spacing w:after="80"/>
      </w:pPr>
      <w:r>
        <w:rPr>
          <w:rFonts w:ascii="Arial" w:cs="Arial" w:eastAsia="Arial" w:hAnsi="Arial"/>
          <w:b/>
          <w:bCs/>
          <w:sz w:val="22"/>
          <w:szCs w:val="22"/>
        </w:rPr>
        <w:t xml:space="preserve">Update Frequency: </w:t>
      </w:r>
      <w:r>
        <w:rPr>
          <w:rFonts w:ascii="Arial" w:cs="Arial" w:eastAsia="Arial" w:hAnsi="Arial"/>
          <w:sz w:val="22"/>
          <w:szCs w:val="22"/>
        </w:rPr>
        <w:t xml:space="preserve">Real-time filing; indexed within 2-4 hours</w:t>
      </w:r>
    </w:p>
    <w:p>
      <w:pPr>
        <w:spacing w:after="80"/>
      </w:pPr>
      <w:r>
        <w:rPr>
          <w:rFonts w:ascii="Arial" w:cs="Arial" w:eastAsia="Arial" w:hAnsi="Arial"/>
          <w:b/>
          <w:bCs/>
          <w:sz w:val="22"/>
          <w:szCs w:val="22"/>
        </w:rPr>
        <w:t xml:space="preserve">Cost: </w:t>
      </w:r>
      <w:r>
        <w:rPr>
          <w:rFonts w:ascii="Arial" w:cs="Arial" w:eastAsia="Arial" w:hAnsi="Arial"/>
          <w:sz w:val="22"/>
          <w:szCs w:val="22"/>
        </w:rPr>
        <w:t xml:space="preserve">Free public web; licensed data access through Shenzhen Securities Information (variable pricing)</w:t>
      </w:r>
    </w:p>
    <w:p>
      <w:pPr>
        <w:spacing w:after="80"/>
      </w:pPr>
      <w:r>
        <w:rPr>
          <w:rFonts w:ascii="Arial" w:cs="Arial" w:eastAsia="Arial" w:hAnsi="Arial"/>
          <w:b/>
          <w:bCs/>
          <w:sz w:val="22"/>
          <w:szCs w:val="22"/>
        </w:rPr>
        <w:t xml:space="preserve">Language: </w:t>
      </w:r>
      <w:r>
        <w:rPr>
          <w:rFonts w:ascii="Arial" w:cs="Arial" w:eastAsia="Arial" w:hAnsi="Arial"/>
          <w:sz w:val="22"/>
          <w:szCs w:val="22"/>
        </w:rPr>
        <w:t xml:space="preserve">Simplified Chinese (primary); limited English</w:t>
      </w:r>
    </w:p>
    <w:p>
      <w:pPr>
        <w:spacing w:after="80"/>
      </w:pPr>
      <w:r>
        <w:rPr>
          <w:rFonts w:ascii="Arial" w:cs="Arial" w:eastAsia="Arial" w:hAnsi="Arial"/>
          <w:b/>
          <w:bCs/>
          <w:sz w:val="22"/>
          <w:szCs w:val="22"/>
        </w:rPr>
        <w:t xml:space="preserve">Legal Analysis: </w:t>
      </w:r>
      <w:r>
        <w:rPr>
          <w:rFonts w:ascii="Arial" w:cs="Arial" w:eastAsia="Arial" w:hAnsi="Arial"/>
          <w:sz w:val="22"/>
          <w:szCs w:val="22"/>
        </w:rPr>
        <w:t xml:space="preserve">PIPL (Personal Information Protection Law). Cybersecurity Law (data localization for financial institutions). CSRC Administrative Measures (May 2023). Data classification and cross-border transfer restrictions. Overseas listing filings reported to CSRC within 3 working days.</w:t>
      </w:r>
    </w:p>
    <w:p>
      <w:pPr>
        <w:spacing w:after="80"/>
      </w:pPr>
      <w:r>
        <w:rPr>
          <w:rFonts w:ascii="Arial" w:cs="Arial" w:eastAsia="Arial" w:hAnsi="Arial"/>
          <w:b/>
          <w:bCs/>
          <w:sz w:val="22"/>
          <w:szCs w:val="22"/>
        </w:rPr>
        <w:t xml:space="preserve">Technical Complexity: </w:t>
      </w:r>
      <w:r>
        <w:rPr>
          <w:rFonts w:ascii="Arial" w:cs="Arial" w:eastAsia="Arial" w:hAnsi="Arial"/>
          <w:sz w:val="22"/>
          <w:szCs w:val="22"/>
        </w:rPr>
        <w:t xml:space="preserve">Medium (APIs available but limited English documentation; web scraping common alternative)</w:t>
      </w:r>
    </w:p>
    <w:p>
      <w:pPr>
        <w:spacing w:after="200"/>
      </w:pPr>
    </w:p>
    <w:p>
      <w:pPr>
        <w:pStyle w:val="Heading3"/>
      </w:pPr>
      <w:r>
        <w:t xml:space="preserve">CNIPA (Patents)</w:t>
      </w:r>
    </w:p>
    <w:p>
      <w:pPr>
        <w:spacing w:after="80"/>
      </w:pPr>
      <w:r>
        <w:rPr>
          <w:rFonts w:ascii="Arial" w:cs="Arial" w:eastAsia="Arial" w:hAnsi="Arial"/>
          <w:b/>
          <w:bCs/>
          <w:sz w:val="22"/>
          <w:szCs w:val="22"/>
        </w:rPr>
        <w:t xml:space="preserve">URL: </w:t>
      </w:r>
      <w:r>
        <w:rPr>
          <w:rFonts w:ascii="Arial" w:cs="Arial" w:eastAsia="Arial" w:hAnsi="Arial"/>
          <w:sz w:val="22"/>
          <w:szCs w:val="22"/>
        </w:rPr>
        <w:t xml:space="preserve">https://english.cnipa.gov.cn/ | Patent Publication: http://epub.cnipa.gov.cn/</w:t>
      </w:r>
    </w:p>
    <w:p>
      <w:pPr>
        <w:spacing w:after="80"/>
      </w:pPr>
      <w:r>
        <w:rPr>
          <w:rFonts w:ascii="Arial" w:cs="Arial" w:eastAsia="Arial" w:hAnsi="Arial"/>
          <w:b/>
          <w:bCs/>
          <w:sz w:val="22"/>
          <w:szCs w:val="22"/>
        </w:rPr>
        <w:t xml:space="preserve">Volume: </w:t>
      </w:r>
      <w:r>
        <w:rPr>
          <w:rFonts w:ascii="Arial" w:cs="Arial" w:eastAsia="Arial" w:hAnsi="Arial"/>
          <w:sz w:val="22"/>
          <w:szCs w:val="22"/>
        </w:rPr>
        <w:t xml:space="preserve">3,000,000+ granted patents; 10,000,000+ total applications filed cumulative</w:t>
      </w:r>
    </w:p>
    <w:p>
      <w:pPr>
        <w:spacing w:after="80"/>
      </w:pPr>
      <w:r>
        <w:rPr>
          <w:rFonts w:ascii="Arial" w:cs="Arial" w:eastAsia="Arial" w:hAnsi="Arial"/>
          <w:b/>
          <w:bCs/>
          <w:sz w:val="22"/>
          <w:szCs w:val="22"/>
        </w:rPr>
        <w:t xml:space="preserve">Access Method: </w:t>
      </w:r>
      <w:r>
        <w:rPr>
          <w:rFonts w:ascii="Arial" w:cs="Arial" w:eastAsia="Arial" w:hAnsi="Arial"/>
          <w:sz w:val="22"/>
          <w:szCs w:val="22"/>
        </w:rPr>
        <w:t xml:space="preserve">Web-based search portals (registration required for exam interface). Patent Search and Analysis System (PSS).</w:t>
      </w:r>
    </w:p>
    <w:p>
      <w:pPr>
        <w:spacing w:after="80"/>
      </w:pPr>
      <w:r>
        <w:rPr>
          <w:rFonts w:ascii="Arial" w:cs="Arial" w:eastAsia="Arial" w:hAnsi="Arial"/>
          <w:b/>
          <w:bCs/>
          <w:sz w:val="22"/>
          <w:szCs w:val="22"/>
        </w:rPr>
        <w:t xml:space="preserve">Data Format: </w:t>
      </w:r>
      <w:r>
        <w:rPr>
          <w:rFonts w:ascii="Arial" w:cs="Arial" w:eastAsia="Arial" w:hAnsi="Arial"/>
          <w:sz w:val="22"/>
          <w:szCs w:val="22"/>
        </w:rPr>
        <w:t xml:space="preserve">HTML, PDF patent documents</w:t>
      </w:r>
    </w:p>
    <w:p>
      <w:pPr>
        <w:spacing w:after="80"/>
      </w:pPr>
      <w:r>
        <w:rPr>
          <w:rFonts w:ascii="Arial" w:cs="Arial" w:eastAsia="Arial" w:hAnsi="Arial"/>
          <w:b/>
          <w:bCs/>
          <w:sz w:val="22"/>
          <w:szCs w:val="22"/>
        </w:rPr>
        <w:t xml:space="preserve">Update Frequency: </w:t>
      </w:r>
      <w:r>
        <w:rPr>
          <w:rFonts w:ascii="Arial" w:cs="Arial" w:eastAsia="Arial" w:hAnsi="Arial"/>
          <w:sz w:val="22"/>
          <w:szCs w:val="22"/>
        </w:rPr>
        <w:t xml:space="preserve">Patent data published weekly; indexed within 2-3 days</w:t>
      </w:r>
    </w:p>
    <w:p>
      <w:pPr>
        <w:spacing w:after="80"/>
      </w:pPr>
      <w:r>
        <w:rPr>
          <w:rFonts w:ascii="Arial" w:cs="Arial" w:eastAsia="Arial" w:hAnsi="Arial"/>
          <w:b/>
          <w:bCs/>
          <w:sz w:val="22"/>
          <w:szCs w:val="22"/>
        </w:rPr>
        <w:t xml:space="preserve">Cost: </w:t>
      </w:r>
      <w:r>
        <w:rPr>
          <w:rFonts w:ascii="Arial" w:cs="Arial" w:eastAsia="Arial" w:hAnsi="Arial"/>
          <w:sz w:val="22"/>
          <w:szCs w:val="22"/>
        </w:rPr>
        <w:t xml:space="preserve">Free public access; exam system requires company registration</w:t>
      </w:r>
    </w:p>
    <w:p>
      <w:pPr>
        <w:spacing w:after="80"/>
      </w:pPr>
      <w:r>
        <w:rPr>
          <w:rFonts w:ascii="Arial" w:cs="Arial" w:eastAsia="Arial" w:hAnsi="Arial"/>
          <w:b/>
          <w:bCs/>
          <w:sz w:val="22"/>
          <w:szCs w:val="22"/>
        </w:rPr>
        <w:t xml:space="preserve">Language: </w:t>
      </w:r>
      <w:r>
        <w:rPr>
          <w:rFonts w:ascii="Arial" w:cs="Arial" w:eastAsia="Arial" w:hAnsi="Arial"/>
          <w:sz w:val="22"/>
          <w:szCs w:val="22"/>
        </w:rPr>
        <w:t xml:space="preserve">Simplified Chinese (primary); limited English</w:t>
      </w:r>
    </w:p>
    <w:p>
      <w:pPr>
        <w:spacing w:after="80"/>
      </w:pPr>
      <w:r>
        <w:rPr>
          <w:rFonts w:ascii="Arial" w:cs="Arial" w:eastAsia="Arial" w:hAnsi="Arial"/>
          <w:b/>
          <w:bCs/>
          <w:sz w:val="22"/>
          <w:szCs w:val="22"/>
        </w:rPr>
        <w:t xml:space="preserve">Legal Analysis: </w:t>
      </w:r>
      <w:r>
        <w:rPr>
          <w:rFonts w:ascii="Arial" w:cs="Arial" w:eastAsia="Arial" w:hAnsi="Arial"/>
          <w:sz w:val="22"/>
          <w:szCs w:val="22"/>
        </w:rPr>
        <w:t xml:space="preserve">Patents Act 2020 (amended). Trademark Law 2023. PIPL trade secret protection.</w:t>
      </w:r>
    </w:p>
    <w:p>
      <w:pPr>
        <w:spacing w:after="80"/>
      </w:pPr>
      <w:r>
        <w:rPr>
          <w:rFonts w:ascii="Arial" w:cs="Arial" w:eastAsia="Arial" w:hAnsi="Arial"/>
          <w:b/>
          <w:bCs/>
          <w:sz w:val="22"/>
          <w:szCs w:val="22"/>
        </w:rPr>
        <w:t xml:space="preserve">Technical Complexity: </w:t>
      </w:r>
      <w:r>
        <w:rPr>
          <w:rFonts w:ascii="Arial" w:cs="Arial" w:eastAsia="Arial" w:hAnsi="Arial"/>
          <w:sz w:val="22"/>
          <w:szCs w:val="22"/>
        </w:rPr>
        <w:t xml:space="preserve">Low-Medium (web portal; no documented public API)</w:t>
      </w:r>
    </w:p>
    <w:p>
      <w:pPr>
        <w:spacing w:after="200"/>
      </w:pPr>
    </w:p>
    <w:p>
      <w:pPr>
        <w:pStyle w:val="Heading3"/>
      </w:pPr>
      <w:r>
        <w:t xml:space="preserve">China Judgements Online</w:t>
      </w:r>
    </w:p>
    <w:p>
      <w:pPr>
        <w:spacing w:after="80"/>
      </w:pPr>
      <w:r>
        <w:rPr>
          <w:rFonts w:ascii="Arial" w:cs="Arial" w:eastAsia="Arial" w:hAnsi="Arial"/>
          <w:b/>
          <w:bCs/>
          <w:sz w:val="22"/>
          <w:szCs w:val="22"/>
        </w:rPr>
        <w:t xml:space="preserve">URL: </w:t>
      </w:r>
      <w:r>
        <w:rPr>
          <w:rFonts w:ascii="Arial" w:cs="Arial" w:eastAsia="Arial" w:hAnsi="Arial"/>
          <w:sz w:val="22"/>
          <w:szCs w:val="22"/>
        </w:rPr>
        <w:t xml:space="preserve">https://wenshu.court.gov.cn/</w:t>
      </w:r>
    </w:p>
    <w:p>
      <w:pPr>
        <w:spacing w:after="80"/>
      </w:pPr>
      <w:r>
        <w:rPr>
          <w:rFonts w:ascii="Arial" w:cs="Arial" w:eastAsia="Arial" w:hAnsi="Arial"/>
          <w:b/>
          <w:bCs/>
          <w:sz w:val="22"/>
          <w:szCs w:val="22"/>
        </w:rPr>
        <w:t xml:space="preserve">Volume: </w:t>
      </w:r>
      <w:r>
        <w:rPr>
          <w:rFonts w:ascii="Arial" w:cs="Arial" w:eastAsia="Arial" w:hAnsi="Arial"/>
          <w:sz w:val="22"/>
          <w:szCs w:val="22"/>
        </w:rPr>
        <w:t xml:space="preserve">105,600,000+ court decisions (all court levels)</w:t>
      </w:r>
    </w:p>
    <w:p>
      <w:pPr>
        <w:spacing w:after="80"/>
      </w:pPr>
      <w:r>
        <w:rPr>
          <w:rFonts w:ascii="Arial" w:cs="Arial" w:eastAsia="Arial" w:hAnsi="Arial"/>
          <w:b/>
          <w:bCs/>
          <w:sz w:val="22"/>
          <w:szCs w:val="22"/>
        </w:rPr>
        <w:t xml:space="preserve">Access Method: </w:t>
      </w:r>
      <w:r>
        <w:rPr>
          <w:rFonts w:ascii="Arial" w:cs="Arial" w:eastAsia="Arial" w:hAnsi="Arial"/>
          <w:sz w:val="22"/>
          <w:szCs w:val="22"/>
        </w:rPr>
        <w:t xml:space="preserve">Web search portal. No public API.</w:t>
      </w:r>
    </w:p>
    <w:p>
      <w:pPr>
        <w:spacing w:after="80"/>
      </w:pPr>
      <w:r>
        <w:rPr>
          <w:rFonts w:ascii="Arial" w:cs="Arial" w:eastAsia="Arial" w:hAnsi="Arial"/>
          <w:b/>
          <w:bCs/>
          <w:sz w:val="22"/>
          <w:szCs w:val="22"/>
        </w:rPr>
        <w:t xml:space="preserve">Data Format: </w:t>
      </w:r>
      <w:r>
        <w:rPr>
          <w:rFonts w:ascii="Arial" w:cs="Arial" w:eastAsia="Arial" w:hAnsi="Arial"/>
          <w:sz w:val="22"/>
          <w:szCs w:val="22"/>
        </w:rPr>
        <w:t xml:space="preserve">HTML, PDF downloads</w:t>
      </w:r>
    </w:p>
    <w:p>
      <w:pPr>
        <w:spacing w:after="80"/>
      </w:pPr>
      <w:r>
        <w:rPr>
          <w:rFonts w:ascii="Arial" w:cs="Arial" w:eastAsia="Arial" w:hAnsi="Arial"/>
          <w:b/>
          <w:bCs/>
          <w:sz w:val="22"/>
          <w:szCs w:val="22"/>
        </w:rPr>
        <w:t xml:space="preserve">Update Frequency: </w:t>
      </w:r>
      <w:r>
        <w:rPr>
          <w:rFonts w:ascii="Arial" w:cs="Arial" w:eastAsia="Arial" w:hAnsi="Arial"/>
          <w:sz w:val="22"/>
          <w:szCs w:val="22"/>
        </w:rPr>
        <w:t xml:space="preserve">Published within 1-3 months of judgment (varies by court level)</w:t>
      </w:r>
    </w:p>
    <w:p>
      <w:pPr>
        <w:spacing w:after="80"/>
      </w:pPr>
      <w:r>
        <w:rPr>
          <w:rFonts w:ascii="Arial" w:cs="Arial" w:eastAsia="Arial" w:hAnsi="Arial"/>
          <w:b/>
          <w:bCs/>
          <w:sz w:val="22"/>
          <w:szCs w:val="22"/>
        </w:rPr>
        <w:t xml:space="preserve">Cost: </w:t>
      </w:r>
      <w:r>
        <w:rPr>
          <w:rFonts w:ascii="Arial" w:cs="Arial" w:eastAsia="Arial" w:hAnsi="Arial"/>
          <w:sz w:val="22"/>
          <w:szCs w:val="22"/>
        </w:rPr>
        <w:t xml:space="preserve">Free public access</w:t>
      </w:r>
    </w:p>
    <w:p>
      <w:pPr>
        <w:spacing w:after="80"/>
      </w:pPr>
      <w:r>
        <w:rPr>
          <w:rFonts w:ascii="Arial" w:cs="Arial" w:eastAsia="Arial" w:hAnsi="Arial"/>
          <w:b/>
          <w:bCs/>
          <w:sz w:val="22"/>
          <w:szCs w:val="22"/>
        </w:rPr>
        <w:t xml:space="preserve">Language: </w:t>
      </w:r>
      <w:r>
        <w:rPr>
          <w:rFonts w:ascii="Arial" w:cs="Arial" w:eastAsia="Arial" w:hAnsi="Arial"/>
          <w:sz w:val="22"/>
          <w:szCs w:val="22"/>
        </w:rPr>
        <w:t xml:space="preserve">Simplified Chinese</w:t>
      </w:r>
    </w:p>
    <w:p>
      <w:pPr>
        <w:spacing w:after="80"/>
      </w:pPr>
      <w:r>
        <w:rPr>
          <w:rFonts w:ascii="Arial" w:cs="Arial" w:eastAsia="Arial" w:hAnsi="Arial"/>
          <w:b/>
          <w:bCs/>
          <w:sz w:val="22"/>
          <w:szCs w:val="22"/>
        </w:rPr>
        <w:t xml:space="preserve">Legal Analysis: </w:t>
      </w:r>
      <w:r>
        <w:rPr>
          <w:rFonts w:ascii="Arial" w:cs="Arial" w:eastAsia="Arial" w:hAnsi="Arial"/>
          <w:sz w:val="22"/>
          <w:szCs w:val="22"/>
        </w:rPr>
        <w:t xml:space="preserve">PIPL for personal data (minor names redacted). State secrets exempted.</w:t>
      </w:r>
    </w:p>
    <w:p>
      <w:pPr>
        <w:spacing w:after="80"/>
      </w:pPr>
      <w:r>
        <w:rPr>
          <w:rFonts w:ascii="Arial" w:cs="Arial" w:eastAsia="Arial" w:hAnsi="Arial"/>
          <w:b/>
          <w:bCs/>
          <w:sz w:val="22"/>
          <w:szCs w:val="22"/>
        </w:rPr>
        <w:t xml:space="preserve">Technical Complexity: </w:t>
      </w:r>
      <w:r>
        <w:rPr>
          <w:rFonts w:ascii="Arial" w:cs="Arial" w:eastAsia="Arial" w:hAnsi="Arial"/>
          <w:sz w:val="22"/>
          <w:szCs w:val="22"/>
        </w:rPr>
        <w:t xml:space="preserve">Low (web portal only; no API)</w:t>
      </w:r>
    </w:p>
    <w:p>
      <w:pPr>
        <w:spacing w:after="200"/>
      </w:pPr>
    </w:p>
    <w:p>
      <w:pPr>
        <w:pStyle w:val="Heading2"/>
      </w:pPr>
      <w:r>
        <w:t xml:space="preserve">Hong Kong</w:t>
      </w:r>
    </w:p>
    <w:p>
      <w:pPr>
        <w:pStyle w:val="Heading3"/>
      </w:pPr>
      <w:r>
        <w:t xml:space="preserve">HKEX (Listed Company Filings)</w:t>
      </w:r>
    </w:p>
    <w:p>
      <w:pPr>
        <w:spacing w:after="80"/>
      </w:pPr>
      <w:r>
        <w:rPr>
          <w:rFonts w:ascii="Arial" w:cs="Arial" w:eastAsia="Arial" w:hAnsi="Arial"/>
          <w:b/>
          <w:bCs/>
          <w:sz w:val="22"/>
          <w:szCs w:val="22"/>
        </w:rPr>
        <w:t xml:space="preserve">URL: </w:t>
      </w:r>
      <w:r>
        <w:rPr>
          <w:rFonts w:ascii="Arial" w:cs="Arial" w:eastAsia="Arial" w:hAnsi="Arial"/>
          <w:sz w:val="22"/>
          <w:szCs w:val="22"/>
        </w:rPr>
        <w:t xml:space="preserve">https://www.hkexnews.hk/ | Filing search: https://www1.hkexnews.hk/search/titlesearch.xhtml</w:t>
      </w:r>
    </w:p>
    <w:p>
      <w:pPr>
        <w:spacing w:after="80"/>
      </w:pPr>
      <w:r>
        <w:rPr>
          <w:rFonts w:ascii="Arial" w:cs="Arial" w:eastAsia="Arial" w:hAnsi="Arial"/>
          <w:b/>
          <w:bCs/>
          <w:sz w:val="22"/>
          <w:szCs w:val="22"/>
        </w:rPr>
        <w:t xml:space="preserve">Volume: </w:t>
      </w:r>
      <w:r>
        <w:rPr>
          <w:rFonts w:ascii="Arial" w:cs="Arial" w:eastAsia="Arial" w:hAnsi="Arial"/>
          <w:sz w:val="22"/>
          <w:szCs w:val="22"/>
        </w:rPr>
        <w:t xml:space="preserve">2,500+ listed companies; 50,000+ annual disclosures</w:t>
      </w:r>
    </w:p>
    <w:p>
      <w:pPr>
        <w:spacing w:after="80"/>
      </w:pPr>
      <w:r>
        <w:rPr>
          <w:rFonts w:ascii="Arial" w:cs="Arial" w:eastAsia="Arial" w:hAnsi="Arial"/>
          <w:b/>
          <w:bCs/>
          <w:sz w:val="22"/>
          <w:szCs w:val="22"/>
        </w:rPr>
        <w:t xml:space="preserve">Access Method: </w:t>
      </w:r>
      <w:r>
        <w:rPr>
          <w:rFonts w:ascii="Arial" w:cs="Arial" w:eastAsia="Arial" w:hAnsi="Arial"/>
          <w:sz w:val="22"/>
          <w:szCs w:val="22"/>
        </w:rPr>
        <w:t xml:space="preserve">HKEXnews web portal (free). No documented API.</w:t>
      </w:r>
    </w:p>
    <w:p>
      <w:pPr>
        <w:spacing w:after="80"/>
      </w:pPr>
      <w:r>
        <w:rPr>
          <w:rFonts w:ascii="Arial" w:cs="Arial" w:eastAsia="Arial" w:hAnsi="Arial"/>
          <w:b/>
          <w:bCs/>
          <w:sz w:val="22"/>
          <w:szCs w:val="22"/>
        </w:rPr>
        <w:t xml:space="preserve">Data Format: </w:t>
      </w:r>
      <w:r>
        <w:rPr>
          <w:rFonts w:ascii="Arial" w:cs="Arial" w:eastAsia="Arial" w:hAnsi="Arial"/>
          <w:sz w:val="22"/>
          <w:szCs w:val="22"/>
        </w:rPr>
        <w:t xml:space="preserve">HTML announcements, PDF filings, XBRL for financial data</w:t>
      </w:r>
    </w:p>
    <w:p>
      <w:pPr>
        <w:spacing w:after="80"/>
      </w:pPr>
      <w:r>
        <w:rPr>
          <w:rFonts w:ascii="Arial" w:cs="Arial" w:eastAsia="Arial" w:hAnsi="Arial"/>
          <w:b/>
          <w:bCs/>
          <w:sz w:val="22"/>
          <w:szCs w:val="22"/>
        </w:rPr>
        <w:t xml:space="preserve">Update Frequency: </w:t>
      </w:r>
      <w:r>
        <w:rPr>
          <w:rFonts w:ascii="Arial" w:cs="Arial" w:eastAsia="Arial" w:hAnsi="Arial"/>
          <w:sz w:val="22"/>
          <w:szCs w:val="22"/>
        </w:rPr>
        <w:t xml:space="preserve">Real-time announcement publication; same-day indexing</w:t>
      </w:r>
    </w:p>
    <w:p>
      <w:pPr>
        <w:spacing w:after="80"/>
      </w:pPr>
      <w:r>
        <w:rPr>
          <w:rFonts w:ascii="Arial" w:cs="Arial" w:eastAsia="Arial" w:hAnsi="Arial"/>
          <w:b/>
          <w:bCs/>
          <w:sz w:val="22"/>
          <w:szCs w:val="22"/>
        </w:rPr>
        <w:t xml:space="preserve">Cost: </w:t>
      </w:r>
      <w:r>
        <w:rPr>
          <w:rFonts w:ascii="Arial" w:cs="Arial" w:eastAsia="Arial" w:hAnsi="Arial"/>
          <w:sz w:val="22"/>
          <w:szCs w:val="22"/>
        </w:rPr>
        <w:t xml:space="preserve">Free public access</w:t>
      </w:r>
    </w:p>
    <w:p>
      <w:pPr>
        <w:spacing w:after="80"/>
      </w:pPr>
      <w:r>
        <w:rPr>
          <w:rFonts w:ascii="Arial" w:cs="Arial" w:eastAsia="Arial" w:hAnsi="Arial"/>
          <w:b/>
          <w:bCs/>
          <w:sz w:val="22"/>
          <w:szCs w:val="22"/>
        </w:rPr>
        <w:t xml:space="preserve">Language: </w:t>
      </w:r>
      <w:r>
        <w:rPr>
          <w:rFonts w:ascii="Arial" w:cs="Arial" w:eastAsia="Arial" w:hAnsi="Arial"/>
          <w:sz w:val="22"/>
          <w:szCs w:val="22"/>
        </w:rPr>
        <w:t xml:space="preserve">English, Traditional Chinese</w:t>
      </w:r>
    </w:p>
    <w:p>
      <w:pPr>
        <w:spacing w:after="80"/>
      </w:pPr>
      <w:r>
        <w:rPr>
          <w:rFonts w:ascii="Arial" w:cs="Arial" w:eastAsia="Arial" w:hAnsi="Arial"/>
          <w:b/>
          <w:bCs/>
          <w:sz w:val="22"/>
          <w:szCs w:val="22"/>
        </w:rPr>
        <w:t xml:space="preserve">Legal Analysis: </w:t>
      </w:r>
      <w:r>
        <w:rPr>
          <w:rFonts w:ascii="Arial" w:cs="Arial" w:eastAsia="Arial" w:hAnsi="Arial"/>
          <w:sz w:val="22"/>
          <w:szCs w:val="22"/>
        </w:rPr>
        <w:t xml:space="preserve">PDPO (Personal Data Privacy Ordinance). Six Data Protection Principles. PCPD enforcement.</w:t>
      </w:r>
    </w:p>
    <w:p>
      <w:pPr>
        <w:spacing w:after="80"/>
      </w:pPr>
      <w:r>
        <w:rPr>
          <w:rFonts w:ascii="Arial" w:cs="Arial" w:eastAsia="Arial" w:hAnsi="Arial"/>
          <w:b/>
          <w:bCs/>
          <w:sz w:val="22"/>
          <w:szCs w:val="22"/>
        </w:rPr>
        <w:t xml:space="preserve">Technical Complexity: </w:t>
      </w:r>
      <w:r>
        <w:rPr>
          <w:rFonts w:ascii="Arial" w:cs="Arial" w:eastAsia="Arial" w:hAnsi="Arial"/>
          <w:sz w:val="22"/>
          <w:szCs w:val="22"/>
        </w:rPr>
        <w:t xml:space="preserve">Low (web portal; no API)</w:t>
      </w:r>
    </w:p>
    <w:p>
      <w:pPr>
        <w:spacing w:after="200"/>
      </w:pPr>
    </w:p>
    <w:p>
      <w:pPr>
        <w:pStyle w:val="Heading3"/>
      </w:pPr>
      <w:r>
        <w:t xml:space="preserve">ICRIS (Companies Registry) and HKIPO</w:t>
      </w:r>
    </w:p>
    <w:p>
      <w:pPr>
        <w:spacing w:after="80"/>
      </w:pPr>
      <w:r>
        <w:rPr>
          <w:rFonts w:ascii="Arial" w:cs="Arial" w:eastAsia="Arial" w:hAnsi="Arial"/>
          <w:b/>
          <w:bCs/>
          <w:sz w:val="22"/>
          <w:szCs w:val="22"/>
        </w:rPr>
        <w:t xml:space="preserve">URL: </w:t>
      </w:r>
      <w:r>
        <w:rPr>
          <w:rFonts w:ascii="Arial" w:cs="Arial" w:eastAsia="Arial" w:hAnsi="Arial"/>
          <w:sz w:val="22"/>
          <w:szCs w:val="22"/>
        </w:rPr>
        <w:t xml:space="preserve">ICRIS: https://www.icris.cr.gov.hk/csci/ | e-Services: https://www.e-services.cr.gov.hk/ | HKIPO: https://esearch.ipd.gov.hk</w:t>
      </w:r>
    </w:p>
    <w:p>
      <w:pPr>
        <w:spacing w:after="80"/>
      </w:pPr>
      <w:r>
        <w:rPr>
          <w:rFonts w:ascii="Arial" w:cs="Arial" w:eastAsia="Arial" w:hAnsi="Arial"/>
          <w:b/>
          <w:bCs/>
          <w:sz w:val="22"/>
          <w:szCs w:val="22"/>
        </w:rPr>
        <w:t xml:space="preserve">Volume: </w:t>
      </w:r>
      <w:r>
        <w:rPr>
          <w:rFonts w:ascii="Arial" w:cs="Arial" w:eastAsia="Arial" w:hAnsi="Arial"/>
          <w:sz w:val="22"/>
          <w:szCs w:val="22"/>
        </w:rPr>
        <w:t xml:space="preserve">ICRIS: 1,900,000+ registered companies; 150,000+ annual new registrations. HKIPO: 500,000+ trademarks; 50,000+ patents; 100,000+ designs.</w:t>
      </w:r>
    </w:p>
    <w:p>
      <w:pPr>
        <w:spacing w:after="80"/>
      </w:pPr>
      <w:r>
        <w:rPr>
          <w:rFonts w:ascii="Arial" w:cs="Arial" w:eastAsia="Arial" w:hAnsi="Arial"/>
          <w:b/>
          <w:bCs/>
          <w:sz w:val="22"/>
          <w:szCs w:val="22"/>
        </w:rPr>
        <w:t xml:space="preserve">Access Method: </w:t>
      </w:r>
      <w:r>
        <w:rPr>
          <w:rFonts w:ascii="Arial" w:cs="Arial" w:eastAsia="Arial" w:hAnsi="Arial"/>
          <w:sz w:val="22"/>
          <w:szCs w:val="22"/>
        </w:rPr>
        <w:t xml:space="preserve">Web portals with authentication. No public APIs documented.</w:t>
      </w:r>
    </w:p>
    <w:p>
      <w:pPr>
        <w:spacing w:after="80"/>
      </w:pPr>
      <w:r>
        <w:rPr>
          <w:rFonts w:ascii="Arial" w:cs="Arial" w:eastAsia="Arial" w:hAnsi="Arial"/>
          <w:b/>
          <w:bCs/>
          <w:sz w:val="22"/>
          <w:szCs w:val="22"/>
        </w:rPr>
        <w:t xml:space="preserve">Data Format: </w:t>
      </w:r>
      <w:r>
        <w:rPr>
          <w:rFonts w:ascii="Arial" w:cs="Arial" w:eastAsia="Arial" w:hAnsi="Arial"/>
          <w:sz w:val="22"/>
          <w:szCs w:val="22"/>
        </w:rPr>
        <w:t xml:space="preserve">HTML records, PDF certificates. XML limited.</w:t>
      </w:r>
    </w:p>
    <w:p>
      <w:pPr>
        <w:spacing w:after="80"/>
      </w:pPr>
      <w:r>
        <w:rPr>
          <w:rFonts w:ascii="Arial" w:cs="Arial" w:eastAsia="Arial" w:hAnsi="Arial"/>
          <w:b/>
          <w:bCs/>
          <w:sz w:val="22"/>
          <w:szCs w:val="22"/>
        </w:rPr>
        <w:t xml:space="preserve">Update Frequency: </w:t>
      </w:r>
      <w:r>
        <w:rPr>
          <w:rFonts w:ascii="Arial" w:cs="Arial" w:eastAsia="Arial" w:hAnsi="Arial"/>
          <w:sz w:val="22"/>
          <w:szCs w:val="22"/>
        </w:rPr>
        <w:t xml:space="preserve">Real-time registration. HKIPO search index weekly.</w:t>
      </w:r>
    </w:p>
    <w:p>
      <w:pPr>
        <w:spacing w:after="80"/>
      </w:pPr>
      <w:r>
        <w:rPr>
          <w:rFonts w:ascii="Arial" w:cs="Arial" w:eastAsia="Arial" w:hAnsi="Arial"/>
          <w:b/>
          <w:bCs/>
          <w:sz w:val="22"/>
          <w:szCs w:val="22"/>
        </w:rPr>
        <w:t xml:space="preserve">Cost: </w:t>
      </w:r>
      <w:r>
        <w:rPr>
          <w:rFonts w:ascii="Arial" w:cs="Arial" w:eastAsia="Arial" w:hAnsi="Arial"/>
          <w:sz w:val="22"/>
          <w:szCs w:val="22"/>
        </w:rPr>
        <w:t xml:space="preserve">ICRIS: free basic search, certified copies HKD 50-100. HKIPO: free search, services HKD 500-2000.</w:t>
      </w:r>
    </w:p>
    <w:p>
      <w:pPr>
        <w:spacing w:after="80"/>
      </w:pPr>
      <w:r>
        <w:rPr>
          <w:rFonts w:ascii="Arial" w:cs="Arial" w:eastAsia="Arial" w:hAnsi="Arial"/>
          <w:b/>
          <w:bCs/>
          <w:sz w:val="22"/>
          <w:szCs w:val="22"/>
        </w:rPr>
        <w:t xml:space="preserve">Language: </w:t>
      </w:r>
      <w:r>
        <w:rPr>
          <w:rFonts w:ascii="Arial" w:cs="Arial" w:eastAsia="Arial" w:hAnsi="Arial"/>
          <w:sz w:val="22"/>
          <w:szCs w:val="22"/>
        </w:rPr>
        <w:t xml:space="preserve">English, Traditional Chinese</w:t>
      </w:r>
    </w:p>
    <w:p>
      <w:pPr>
        <w:spacing w:after="80"/>
      </w:pPr>
      <w:r>
        <w:rPr>
          <w:rFonts w:ascii="Arial" w:cs="Arial" w:eastAsia="Arial" w:hAnsi="Arial"/>
          <w:b/>
          <w:bCs/>
          <w:sz w:val="22"/>
          <w:szCs w:val="22"/>
        </w:rPr>
        <w:t xml:space="preserve">Legal Analysis: </w:t>
      </w:r>
      <w:r>
        <w:rPr>
          <w:rFonts w:ascii="Arial" w:cs="Arial" w:eastAsia="Arial" w:hAnsi="Arial"/>
          <w:sz w:val="22"/>
          <w:szCs w:val="22"/>
        </w:rPr>
        <w:t xml:space="preserve">PDPO applies. Director data privacy-protected. Patents Ordinance, Trademarks Ordinance.</w:t>
      </w:r>
    </w:p>
    <w:p>
      <w:pPr>
        <w:spacing w:after="80"/>
      </w:pPr>
      <w:r>
        <w:rPr>
          <w:rFonts w:ascii="Arial" w:cs="Arial" w:eastAsia="Arial" w:hAnsi="Arial"/>
          <w:b/>
          <w:bCs/>
          <w:sz w:val="22"/>
          <w:szCs w:val="22"/>
        </w:rPr>
        <w:t xml:space="preserve">Technical Complexity: </w:t>
      </w:r>
      <w:r>
        <w:rPr>
          <w:rFonts w:ascii="Arial" w:cs="Arial" w:eastAsia="Arial" w:hAnsi="Arial"/>
          <w:sz w:val="22"/>
          <w:szCs w:val="22"/>
        </w:rPr>
        <w:t xml:space="preserve">Low (web portals; no APIs)</w:t>
      </w:r>
    </w:p>
    <w:p>
      <w:pPr>
        <w:spacing w:after="200"/>
      </w:pPr>
    </w:p>
    <w:p>
      <w:pPr>
        <w:pStyle w:val="Heading2"/>
      </w:pPr>
      <w:r>
        <w:t xml:space="preserve">Indonesia</w:t>
      </w:r>
    </w:p>
    <w:p>
      <w:pPr>
        <w:pStyle w:val="Heading3"/>
      </w:pPr>
      <w:r>
        <w:t xml:space="preserve">IDX (Stock Exchange) and DGIP (IP)</w:t>
      </w:r>
    </w:p>
    <w:p>
      <w:pPr>
        <w:spacing w:after="80"/>
      </w:pPr>
      <w:r>
        <w:rPr>
          <w:rFonts w:ascii="Arial" w:cs="Arial" w:eastAsia="Arial" w:hAnsi="Arial"/>
          <w:b/>
          <w:bCs/>
          <w:sz w:val="22"/>
          <w:szCs w:val="22"/>
        </w:rPr>
        <w:t xml:space="preserve">URL: </w:t>
      </w:r>
      <w:r>
        <w:rPr>
          <w:rFonts w:ascii="Arial" w:cs="Arial" w:eastAsia="Arial" w:hAnsi="Arial"/>
          <w:sz w:val="22"/>
          <w:szCs w:val="22"/>
        </w:rPr>
        <w:t xml:space="preserve">IDX: https://www.idx.co.id/ | Data: https://data.idx.co.id/ | DGIP: https://www.dgip.go.id/ | LADI HKI: http://e-statushki.dgip.go.id/</w:t>
      </w:r>
    </w:p>
    <w:p>
      <w:pPr>
        <w:spacing w:after="80"/>
      </w:pPr>
      <w:r>
        <w:rPr>
          <w:rFonts w:ascii="Arial" w:cs="Arial" w:eastAsia="Arial" w:hAnsi="Arial"/>
          <w:b/>
          <w:bCs/>
          <w:sz w:val="22"/>
          <w:szCs w:val="22"/>
        </w:rPr>
        <w:t xml:space="preserve">Volume: </w:t>
      </w:r>
      <w:r>
        <w:rPr>
          <w:rFonts w:ascii="Arial" w:cs="Arial" w:eastAsia="Arial" w:hAnsi="Arial"/>
          <w:sz w:val="22"/>
          <w:szCs w:val="22"/>
        </w:rPr>
        <w:t xml:space="preserve">IDX: 850+ listed companies. DGIP: 1.2M+ patents, 2M+ trademarks, 500K+ designs.</w:t>
      </w:r>
    </w:p>
    <w:p>
      <w:pPr>
        <w:spacing w:after="80"/>
      </w:pPr>
      <w:r>
        <w:rPr>
          <w:rFonts w:ascii="Arial" w:cs="Arial" w:eastAsia="Arial" w:hAnsi="Arial"/>
          <w:b/>
          <w:bCs/>
          <w:sz w:val="22"/>
          <w:szCs w:val="22"/>
        </w:rPr>
        <w:t xml:space="preserve">Access Method: </w:t>
      </w:r>
      <w:r>
        <w:rPr>
          <w:rFonts w:ascii="Arial" w:cs="Arial" w:eastAsia="Arial" w:hAnsi="Arial"/>
          <w:sz w:val="22"/>
          <w:szCs w:val="22"/>
        </w:rPr>
        <w:t xml:space="preserve">IDX: data portal, third-party APIs (Sectors.app, OHLC.dev, Twelve Data). DGIP: web search, LADI HKI database, e-filing system. No documented public API for IP.</w:t>
      </w:r>
    </w:p>
    <w:p>
      <w:pPr>
        <w:spacing w:after="80"/>
      </w:pPr>
      <w:r>
        <w:rPr>
          <w:rFonts w:ascii="Arial" w:cs="Arial" w:eastAsia="Arial" w:hAnsi="Arial"/>
          <w:b/>
          <w:bCs/>
          <w:sz w:val="22"/>
          <w:szCs w:val="22"/>
        </w:rPr>
        <w:t xml:space="preserve">Data Format: </w:t>
      </w:r>
      <w:r>
        <w:rPr>
          <w:rFonts w:ascii="Arial" w:cs="Arial" w:eastAsia="Arial" w:hAnsi="Arial"/>
          <w:sz w:val="22"/>
          <w:szCs w:val="22"/>
        </w:rPr>
        <w:t xml:space="preserve">IDX: JSON (APIs), CSV, Excel. DGIP: HTML, PDF.</w:t>
      </w:r>
    </w:p>
    <w:p>
      <w:pPr>
        <w:spacing w:after="80"/>
      </w:pPr>
      <w:r>
        <w:rPr>
          <w:rFonts w:ascii="Arial" w:cs="Arial" w:eastAsia="Arial" w:hAnsi="Arial"/>
          <w:b/>
          <w:bCs/>
          <w:sz w:val="22"/>
          <w:szCs w:val="22"/>
        </w:rPr>
        <w:t xml:space="preserve">Update Frequency: </w:t>
      </w:r>
      <w:r>
        <w:rPr>
          <w:rFonts w:ascii="Arial" w:cs="Arial" w:eastAsia="Arial" w:hAnsi="Arial"/>
          <w:sz w:val="22"/>
          <w:szCs w:val="22"/>
        </w:rPr>
        <w:t xml:space="preserve">IDX: Real-time for market data. DGIP: 3-7 business days indexing.</w:t>
      </w:r>
    </w:p>
    <w:p>
      <w:pPr>
        <w:spacing w:after="80"/>
      </w:pPr>
      <w:r>
        <w:rPr>
          <w:rFonts w:ascii="Arial" w:cs="Arial" w:eastAsia="Arial" w:hAnsi="Arial"/>
          <w:b/>
          <w:bCs/>
          <w:sz w:val="22"/>
          <w:szCs w:val="22"/>
        </w:rPr>
        <w:t xml:space="preserve">Cost: </w:t>
      </w:r>
      <w:r>
        <w:rPr>
          <w:rFonts w:ascii="Arial" w:cs="Arial" w:eastAsia="Arial" w:hAnsi="Arial"/>
          <w:sz w:val="22"/>
          <w:szCs w:val="22"/>
        </w:rPr>
        <w:t xml:space="preserve">IDX: free basic, licensed services variable, third-party $50-500/mo. DGIP: free search, filing fees IDR 500K-5M+.</w:t>
      </w:r>
    </w:p>
    <w:p>
      <w:pPr>
        <w:spacing w:after="80"/>
      </w:pPr>
      <w:r>
        <w:rPr>
          <w:rFonts w:ascii="Arial" w:cs="Arial" w:eastAsia="Arial" w:hAnsi="Arial"/>
          <w:b/>
          <w:bCs/>
          <w:sz w:val="22"/>
          <w:szCs w:val="22"/>
        </w:rPr>
        <w:t xml:space="preserve">Language: </w:t>
      </w:r>
      <w:r>
        <w:rPr>
          <w:rFonts w:ascii="Arial" w:cs="Arial" w:eastAsia="Arial" w:hAnsi="Arial"/>
          <w:sz w:val="22"/>
          <w:szCs w:val="22"/>
        </w:rPr>
        <w:t xml:space="preserve">Indonesian, English</w:t>
      </w:r>
    </w:p>
    <w:p>
      <w:pPr>
        <w:spacing w:after="80"/>
      </w:pPr>
      <w:r>
        <w:rPr>
          <w:rFonts w:ascii="Arial" w:cs="Arial" w:eastAsia="Arial" w:hAnsi="Arial"/>
          <w:b/>
          <w:bCs/>
          <w:sz w:val="22"/>
          <w:szCs w:val="22"/>
        </w:rPr>
        <w:t xml:space="preserve">Legal Analysis: </w:t>
      </w:r>
      <w:r>
        <w:rPr>
          <w:rFonts w:ascii="Arial" w:cs="Arial" w:eastAsia="Arial" w:hAnsi="Arial"/>
          <w:sz w:val="22"/>
          <w:szCs w:val="22"/>
        </w:rPr>
        <w:t xml:space="preserve">Capital Markets Law No. 8/1997. OJK regulations. Patent Law No. 13/2016. Trademark Law No. 20/2016.</w:t>
      </w:r>
    </w:p>
    <w:p>
      <w:pPr>
        <w:spacing w:after="80"/>
      </w:pPr>
      <w:r>
        <w:rPr>
          <w:rFonts w:ascii="Arial" w:cs="Arial" w:eastAsia="Arial" w:hAnsi="Arial"/>
          <w:b/>
          <w:bCs/>
          <w:sz w:val="22"/>
          <w:szCs w:val="22"/>
        </w:rPr>
        <w:t xml:space="preserve">Technical Complexity: </w:t>
      </w:r>
      <w:r>
        <w:rPr>
          <w:rFonts w:ascii="Arial" w:cs="Arial" w:eastAsia="Arial" w:hAnsi="Arial"/>
          <w:sz w:val="22"/>
          <w:szCs w:val="22"/>
        </w:rPr>
        <w:t xml:space="preserve">Medium (third-party APIs for IDX; web-only for IP)</w:t>
      </w:r>
    </w:p>
    <w:p>
      <w:pPr>
        <w:spacing w:after="200"/>
      </w:pPr>
    </w:p>
    <w:p>
      <w:pPr>
        <w:pStyle w:val="Heading2"/>
      </w:pPr>
      <w:r>
        <w:t xml:space="preserve">Philippines</w:t>
      </w:r>
    </w:p>
    <w:p>
      <w:pPr>
        <w:pStyle w:val="Heading3"/>
      </w:pPr>
      <w:r>
        <w:t xml:space="preserve">SEC Philippines and IPOPHL</w:t>
      </w:r>
    </w:p>
    <w:p>
      <w:pPr>
        <w:spacing w:after="80"/>
      </w:pPr>
      <w:r>
        <w:rPr>
          <w:rFonts w:ascii="Arial" w:cs="Arial" w:eastAsia="Arial" w:hAnsi="Arial"/>
          <w:b/>
          <w:bCs/>
          <w:sz w:val="22"/>
          <w:szCs w:val="22"/>
        </w:rPr>
        <w:t xml:space="preserve">URL: </w:t>
      </w:r>
      <w:r>
        <w:rPr>
          <w:rFonts w:ascii="Arial" w:cs="Arial" w:eastAsia="Arial" w:hAnsi="Arial"/>
          <w:sz w:val="22"/>
          <w:szCs w:val="22"/>
        </w:rPr>
        <w:t xml:space="preserve">SEC: https://portal.sec.gov.ph/home/ (API Marketplace) | SEC Express: https://secexpress.ph/ | IPOPHL: https://www.ipophil.gov.ph/ | e-Services: https://onlineservices.ipophil.gov.ph/</w:t>
      </w:r>
    </w:p>
    <w:p>
      <w:pPr>
        <w:spacing w:after="80"/>
      </w:pPr>
      <w:r>
        <w:rPr>
          <w:rFonts w:ascii="Arial" w:cs="Arial" w:eastAsia="Arial" w:hAnsi="Arial"/>
          <w:b/>
          <w:bCs/>
          <w:sz w:val="22"/>
          <w:szCs w:val="22"/>
        </w:rPr>
        <w:t xml:space="preserve">Volume: </w:t>
      </w:r>
      <w:r>
        <w:rPr>
          <w:rFonts w:ascii="Arial" w:cs="Arial" w:eastAsia="Arial" w:hAnsi="Arial"/>
          <w:sz w:val="22"/>
          <w:szCs w:val="22"/>
        </w:rPr>
        <w:t xml:space="preserve">SEC: 500,000+ registered entities. IPOPHL: 200K+ patents, 1M+ trademarks (cumulative).</w:t>
      </w:r>
    </w:p>
    <w:p>
      <w:pPr>
        <w:spacing w:after="80"/>
      </w:pPr>
      <w:r>
        <w:rPr>
          <w:rFonts w:ascii="Arial" w:cs="Arial" w:eastAsia="Arial" w:hAnsi="Arial"/>
          <w:b/>
          <w:bCs/>
          <w:sz w:val="22"/>
          <w:szCs w:val="22"/>
        </w:rPr>
        <w:t xml:space="preserve">Access Method: </w:t>
      </w:r>
      <w:r>
        <w:rPr>
          <w:rFonts w:ascii="Arial" w:cs="Arial" w:eastAsia="Arial" w:hAnsi="Arial"/>
          <w:sz w:val="22"/>
          <w:szCs w:val="22"/>
        </w:rPr>
        <w:t xml:space="preserve">SEC: API Marketplace (9 APIs for company data), SEC Express for documents. IPOPHL: e-Services portal, web search. No IPOPHL API.</w:t>
      </w:r>
    </w:p>
    <w:p>
      <w:pPr>
        <w:spacing w:after="80"/>
      </w:pPr>
      <w:r>
        <w:rPr>
          <w:rFonts w:ascii="Arial" w:cs="Arial" w:eastAsia="Arial" w:hAnsi="Arial"/>
          <w:b/>
          <w:bCs/>
          <w:sz w:val="22"/>
          <w:szCs w:val="22"/>
        </w:rPr>
        <w:t xml:space="preserve">Data Format: </w:t>
      </w:r>
      <w:r>
        <w:rPr>
          <w:rFonts w:ascii="Arial" w:cs="Arial" w:eastAsia="Arial" w:hAnsi="Arial"/>
          <w:sz w:val="22"/>
          <w:szCs w:val="22"/>
        </w:rPr>
        <w:t xml:space="preserve">SEC: JSON (API), PDF. IPOPHL: HTML, PDF.</w:t>
      </w:r>
    </w:p>
    <w:p>
      <w:pPr>
        <w:spacing w:after="80"/>
      </w:pPr>
      <w:r>
        <w:rPr>
          <w:rFonts w:ascii="Arial" w:cs="Arial" w:eastAsia="Arial" w:hAnsi="Arial"/>
          <w:b/>
          <w:bCs/>
          <w:sz w:val="22"/>
          <w:szCs w:val="22"/>
        </w:rPr>
        <w:t xml:space="preserve">Update Frequency: </w:t>
      </w:r>
      <w:r>
        <w:rPr>
          <w:rFonts w:ascii="Arial" w:cs="Arial" w:eastAsia="Arial" w:hAnsi="Arial"/>
          <w:sz w:val="22"/>
          <w:szCs w:val="22"/>
        </w:rPr>
        <w:t xml:space="preserve">SEC: real-time API, document requests 1-3 days. IPOPHL: search weekly, 2-3 weeks post-approval.</w:t>
      </w:r>
    </w:p>
    <w:p>
      <w:pPr>
        <w:spacing w:after="80"/>
      </w:pPr>
      <w:r>
        <w:rPr>
          <w:rFonts w:ascii="Arial" w:cs="Arial" w:eastAsia="Arial" w:hAnsi="Arial"/>
          <w:b/>
          <w:bCs/>
          <w:sz w:val="22"/>
          <w:szCs w:val="22"/>
        </w:rPr>
        <w:t xml:space="preserve">Cost: </w:t>
      </w:r>
      <w:r>
        <w:rPr>
          <w:rFonts w:ascii="Arial" w:cs="Arial" w:eastAsia="Arial" w:hAnsi="Arial"/>
          <w:sz w:val="22"/>
          <w:szCs w:val="22"/>
        </w:rPr>
        <w:t xml:space="preserve">SEC: free basic search, paid API tiers, documents PHP 100-500. IPOPHL: free search, filing PHP 3K-15K+.</w:t>
      </w:r>
    </w:p>
    <w:p>
      <w:pPr>
        <w:spacing w:after="80"/>
      </w:pPr>
      <w:r>
        <w:rPr>
          <w:rFonts w:ascii="Arial" w:cs="Arial" w:eastAsia="Arial" w:hAnsi="Arial"/>
          <w:b/>
          <w:bCs/>
          <w:sz w:val="22"/>
          <w:szCs w:val="22"/>
        </w:rPr>
        <w:t xml:space="preserve">Language: </w:t>
      </w:r>
      <w:r>
        <w:rPr>
          <w:rFonts w:ascii="Arial" w:cs="Arial" w:eastAsia="Arial" w:hAnsi="Arial"/>
          <w:sz w:val="22"/>
          <w:szCs w:val="22"/>
        </w:rPr>
        <w:t xml:space="preserve">English (primary), Filipino</w:t>
      </w:r>
    </w:p>
    <w:p>
      <w:pPr>
        <w:spacing w:after="80"/>
      </w:pPr>
      <w:r>
        <w:rPr>
          <w:rFonts w:ascii="Arial" w:cs="Arial" w:eastAsia="Arial" w:hAnsi="Arial"/>
          <w:b/>
          <w:bCs/>
          <w:sz w:val="22"/>
          <w:szCs w:val="22"/>
        </w:rPr>
        <w:t xml:space="preserve">Legal Analysis: </w:t>
      </w:r>
      <w:r>
        <w:rPr>
          <w:rFonts w:ascii="Arial" w:cs="Arial" w:eastAsia="Arial" w:hAnsi="Arial"/>
          <w:sz w:val="22"/>
          <w:szCs w:val="22"/>
        </w:rPr>
        <w:t xml:space="preserve">Data Privacy Act 2012 (RA 10173). DPO mandatory. 72-hour breach notification. IP Code RA 8293.</w:t>
      </w:r>
    </w:p>
    <w:p>
      <w:pPr>
        <w:spacing w:after="80"/>
      </w:pPr>
      <w:r>
        <w:rPr>
          <w:rFonts w:ascii="Arial" w:cs="Arial" w:eastAsia="Arial" w:hAnsi="Arial"/>
          <w:b/>
          <w:bCs/>
          <w:sz w:val="22"/>
          <w:szCs w:val="22"/>
        </w:rPr>
        <w:t xml:space="preserve">Technical Complexity: </w:t>
      </w:r>
      <w:r>
        <w:rPr>
          <w:rFonts w:ascii="Arial" w:cs="Arial" w:eastAsia="Arial" w:hAnsi="Arial"/>
          <w:sz w:val="22"/>
          <w:szCs w:val="22"/>
        </w:rPr>
        <w:t xml:space="preserve">Medium (SEC API authentication; multiple endpoints)</w:t>
      </w:r>
    </w:p>
    <w:p>
      <w:pPr>
        <w:spacing w:after="200"/>
      </w:pPr>
    </w:p>
    <w:p>
      <w:r>
        <w:br w:type="page"/>
      </w:r>
    </w:p>
    <w:p>
      <w:pPr>
        <w:pStyle w:val="Heading1"/>
      </w:pPr>
      <w:r>
        <w:t xml:space="preserve">Chapter 5: Africa</w:t>
      </w:r>
    </w:p>
    <w:p>
      <w:pPr>
        <w:spacing w:after="120"/>
      </w:pPr>
      <w:r>
        <w:rPr>
          <w:rFonts w:ascii="Arial" w:cs="Arial" w:eastAsia="Arial" w:hAnsi="Arial"/>
          <w:sz w:val="22"/>
          <w:szCs w:val="22"/>
        </w:rPr>
        <w:t xml:space="preserve">Africa is a priority region given Arkova's Kenya legal team engagement. Kenya has the most mature legal database (Kenya Law with 275,000+ decisions) and recently enacted the Data Protection Act 2019. South Africa offers strong legal database coverage via SAFLII. Nigeria's NGX provides a notable stock exchange API. Digital infrastructure is developing across the continent, with most registries offering web-only access.</w:t>
      </w:r>
    </w:p>
    <w:p>
      <w:pPr>
        <w:pStyle w:val="Heading2"/>
      </w:pPr>
      <w:r>
        <w:t xml:space="preserve">Kenya</w:t>
      </w:r>
    </w:p>
    <w:p>
      <w:pPr>
        <w:pStyle w:val="Heading3"/>
      </w:pPr>
      <w:r>
        <w:t xml:space="preserve">Kenya Gazette (Official Gazette)</w:t>
      </w:r>
    </w:p>
    <w:p>
      <w:pPr>
        <w:spacing w:after="80"/>
      </w:pPr>
      <w:r>
        <w:rPr>
          <w:rFonts w:ascii="Arial" w:cs="Arial" w:eastAsia="Arial" w:hAnsi="Arial"/>
          <w:b/>
          <w:bCs/>
          <w:sz w:val="22"/>
          <w:szCs w:val="22"/>
        </w:rPr>
        <w:t xml:space="preserve">URL: </w:t>
      </w:r>
      <w:r>
        <w:rPr>
          <w:rFonts w:ascii="Arial" w:cs="Arial" w:eastAsia="Arial" w:hAnsi="Arial"/>
          <w:sz w:val="22"/>
          <w:szCs w:val="22"/>
        </w:rPr>
        <w:t xml:space="preserve">https://new.kenyalaw.org/gazettes/ | Gov Press: https://www.governmentpress.go.ke/</w:t>
      </w:r>
    </w:p>
    <w:p>
      <w:pPr>
        <w:spacing w:after="80"/>
      </w:pPr>
      <w:r>
        <w:rPr>
          <w:rFonts w:ascii="Arial" w:cs="Arial" w:eastAsia="Arial" w:hAnsi="Arial"/>
          <w:b/>
          <w:bCs/>
          <w:sz w:val="22"/>
          <w:szCs w:val="22"/>
        </w:rPr>
        <w:t xml:space="preserve">Volume: </w:t>
      </w:r>
      <w:r>
        <w:rPr>
          <w:rFonts w:ascii="Arial" w:cs="Arial" w:eastAsia="Arial" w:hAnsi="Arial"/>
          <w:sz w:val="22"/>
          <w:szCs w:val="22"/>
        </w:rPr>
        <w:t xml:space="preserve">41+ editions in 2026; Vol. CXXVIII (128); 120+ years of archive</w:t>
      </w:r>
    </w:p>
    <w:p>
      <w:pPr>
        <w:spacing w:after="80"/>
      </w:pPr>
      <w:r>
        <w:rPr>
          <w:rFonts w:ascii="Arial" w:cs="Arial" w:eastAsia="Arial" w:hAnsi="Arial"/>
          <w:b/>
          <w:bCs/>
          <w:sz w:val="22"/>
          <w:szCs w:val="22"/>
        </w:rPr>
        <w:t xml:space="preserve">Access Method: </w:t>
      </w:r>
      <w:r>
        <w:rPr>
          <w:rFonts w:ascii="Arial" w:cs="Arial" w:eastAsia="Arial" w:hAnsi="Arial"/>
          <w:sz w:val="22"/>
          <w:szCs w:val="22"/>
        </w:rPr>
        <w:t xml:space="preserve">Web browser (free). No public API.</w:t>
      </w:r>
    </w:p>
    <w:p>
      <w:pPr>
        <w:spacing w:after="80"/>
      </w:pPr>
      <w:r>
        <w:rPr>
          <w:rFonts w:ascii="Arial" w:cs="Arial" w:eastAsia="Arial" w:hAnsi="Arial"/>
          <w:b/>
          <w:bCs/>
          <w:sz w:val="22"/>
          <w:szCs w:val="22"/>
        </w:rPr>
        <w:t xml:space="preserve">Data Format: </w:t>
      </w:r>
      <w:r>
        <w:rPr>
          <w:rFonts w:ascii="Arial" w:cs="Arial" w:eastAsia="Arial" w:hAnsi="Arial"/>
          <w:sz w:val="22"/>
          <w:szCs w:val="22"/>
        </w:rPr>
        <w:t xml:space="preserve">HTML/PDF via web interface; searchable</w:t>
      </w:r>
    </w:p>
    <w:p>
      <w:pPr>
        <w:spacing w:after="80"/>
      </w:pPr>
      <w:r>
        <w:rPr>
          <w:rFonts w:ascii="Arial" w:cs="Arial" w:eastAsia="Arial" w:hAnsi="Arial"/>
          <w:b/>
          <w:bCs/>
          <w:sz w:val="22"/>
          <w:szCs w:val="22"/>
        </w:rPr>
        <w:t xml:space="preserve">Update Frequency: </w:t>
      </w:r>
      <w:r>
        <w:rPr>
          <w:rFonts w:ascii="Arial" w:cs="Arial" w:eastAsia="Arial" w:hAnsi="Arial"/>
          <w:sz w:val="22"/>
          <w:szCs w:val="22"/>
        </w:rPr>
        <w:t xml:space="preserve">Weekly (typically Friday) + supplementary editions mid-week</w:t>
      </w:r>
    </w:p>
    <w:p>
      <w:pPr>
        <w:spacing w:after="80"/>
      </w:pPr>
      <w:r>
        <w:rPr>
          <w:rFonts w:ascii="Arial" w:cs="Arial" w:eastAsia="Arial" w:hAnsi="Arial"/>
          <w:b/>
          <w:bCs/>
          <w:sz w:val="22"/>
          <w:szCs w:val="22"/>
        </w:rPr>
        <w:t xml:space="preserve">Cost: </w:t>
      </w:r>
      <w:r>
        <w:rPr>
          <w:rFonts w:ascii="Arial" w:cs="Arial" w:eastAsia="Arial" w:hAnsi="Arial"/>
          <w:sz w:val="22"/>
          <w:szCs w:val="22"/>
        </w:rPr>
        <w:t xml:space="preserve">Free</w:t>
      </w:r>
    </w:p>
    <w:p>
      <w:pPr>
        <w:spacing w:after="80"/>
      </w:pPr>
      <w:r>
        <w:rPr>
          <w:rFonts w:ascii="Arial" w:cs="Arial" w:eastAsia="Arial" w:hAnsi="Arial"/>
          <w:b/>
          <w:bCs/>
          <w:sz w:val="22"/>
          <w:szCs w:val="22"/>
        </w:rPr>
        <w:t xml:space="preserve">Language: </w:t>
      </w:r>
      <w:r>
        <w:rPr>
          <w:rFonts w:ascii="Arial" w:cs="Arial" w:eastAsia="Arial" w:hAnsi="Arial"/>
          <w:sz w:val="22"/>
          <w:szCs w:val="22"/>
        </w:rPr>
        <w:t xml:space="preserve">English, Swahili</w:t>
      </w:r>
    </w:p>
    <w:p>
      <w:pPr>
        <w:spacing w:after="80"/>
      </w:pPr>
      <w:r>
        <w:rPr>
          <w:rFonts w:ascii="Arial" w:cs="Arial" w:eastAsia="Arial" w:hAnsi="Arial"/>
          <w:b/>
          <w:bCs/>
          <w:sz w:val="22"/>
          <w:szCs w:val="22"/>
        </w:rPr>
        <w:t xml:space="preserve">Legal Analysis: </w:t>
      </w:r>
      <w:r>
        <w:rPr>
          <w:rFonts w:ascii="Arial" w:cs="Arial" w:eastAsia="Arial" w:hAnsi="Arial"/>
          <w:sz w:val="22"/>
          <w:szCs w:val="22"/>
        </w:rPr>
        <w:t xml:space="preserve">Kenya Data Protection Act 2019. Public official publication under government authority (public domain).</w:t>
      </w:r>
    </w:p>
    <w:p>
      <w:pPr>
        <w:spacing w:after="80"/>
      </w:pPr>
      <w:r>
        <w:rPr>
          <w:rFonts w:ascii="Arial" w:cs="Arial" w:eastAsia="Arial" w:hAnsi="Arial"/>
          <w:b/>
          <w:bCs/>
          <w:sz w:val="22"/>
          <w:szCs w:val="22"/>
        </w:rPr>
        <w:t xml:space="preserve">Technical Complexity: </w:t>
      </w:r>
      <w:r>
        <w:rPr>
          <w:rFonts w:ascii="Arial" w:cs="Arial" w:eastAsia="Arial" w:hAnsi="Arial"/>
          <w:sz w:val="22"/>
          <w:szCs w:val="22"/>
        </w:rPr>
        <w:t xml:space="preserve">Low (browser-based)</w:t>
      </w:r>
    </w:p>
    <w:p>
      <w:pPr>
        <w:spacing w:after="200"/>
      </w:pPr>
    </w:p>
    <w:p>
      <w:pPr>
        <w:pStyle w:val="Heading3"/>
      </w:pPr>
      <w:r>
        <w:t xml:space="preserve">eCitizen (Business Registration)</w:t>
      </w:r>
    </w:p>
    <w:p>
      <w:pPr>
        <w:spacing w:after="80"/>
      </w:pPr>
      <w:r>
        <w:rPr>
          <w:rFonts w:ascii="Arial" w:cs="Arial" w:eastAsia="Arial" w:hAnsi="Arial"/>
          <w:b/>
          <w:bCs/>
          <w:sz w:val="22"/>
          <w:szCs w:val="22"/>
        </w:rPr>
        <w:t xml:space="preserve">URL: </w:t>
      </w:r>
      <w:r>
        <w:rPr>
          <w:rFonts w:ascii="Arial" w:cs="Arial" w:eastAsia="Arial" w:hAnsi="Arial"/>
          <w:sz w:val="22"/>
          <w:szCs w:val="22"/>
        </w:rPr>
        <w:t xml:space="preserve">https://brs.ecitizen.go.ke/ (v1) | https://brsv2.ecitizen.go.ke/ (v2) | https://www.ecitizen.go.ke</w:t>
      </w:r>
    </w:p>
    <w:p>
      <w:pPr>
        <w:spacing w:after="80"/>
      </w:pPr>
      <w:r>
        <w:rPr>
          <w:rFonts w:ascii="Arial" w:cs="Arial" w:eastAsia="Arial" w:hAnsi="Arial"/>
          <w:b/>
          <w:bCs/>
          <w:sz w:val="22"/>
          <w:szCs w:val="22"/>
        </w:rPr>
        <w:t xml:space="preserve">Volume: </w:t>
      </w:r>
      <w:r>
        <w:rPr>
          <w:rFonts w:ascii="Arial" w:cs="Arial" w:eastAsia="Arial" w:hAnsi="Arial"/>
          <w:sz w:val="22"/>
          <w:szCs w:val="22"/>
        </w:rPr>
        <w:t xml:space="preserve">Custodian of all companies/business entities registered in Kenya</w:t>
      </w:r>
    </w:p>
    <w:p>
      <w:pPr>
        <w:spacing w:after="80"/>
      </w:pPr>
      <w:r>
        <w:rPr>
          <w:rFonts w:ascii="Arial" w:cs="Arial" w:eastAsia="Arial" w:hAnsi="Arial"/>
          <w:b/>
          <w:bCs/>
          <w:sz w:val="22"/>
          <w:szCs w:val="22"/>
        </w:rPr>
        <w:t xml:space="preserve">Access Method: </w:t>
      </w:r>
      <w:r>
        <w:rPr>
          <w:rFonts w:ascii="Arial" w:cs="Arial" w:eastAsia="Arial" w:hAnsi="Arial"/>
          <w:sz w:val="22"/>
          <w:szCs w:val="22"/>
        </w:rPr>
        <w:t xml:space="preserve">Web portal login; individual company lookup. No public API. No bulk data export confirmed.</w:t>
      </w:r>
    </w:p>
    <w:p>
      <w:pPr>
        <w:spacing w:after="80"/>
      </w:pPr>
      <w:r>
        <w:rPr>
          <w:rFonts w:ascii="Arial" w:cs="Arial" w:eastAsia="Arial" w:hAnsi="Arial"/>
          <w:b/>
          <w:bCs/>
          <w:sz w:val="22"/>
          <w:szCs w:val="22"/>
        </w:rPr>
        <w:t xml:space="preserve">Data Format: </w:t>
      </w:r>
      <w:r>
        <w:rPr>
          <w:rFonts w:ascii="Arial" w:cs="Arial" w:eastAsia="Arial" w:hAnsi="Arial"/>
          <w:sz w:val="22"/>
          <w:szCs w:val="22"/>
        </w:rPr>
        <w:t xml:space="preserve">Web-based interface; transaction data in platform</w:t>
      </w:r>
    </w:p>
    <w:p>
      <w:pPr>
        <w:spacing w:after="80"/>
      </w:pPr>
      <w:r>
        <w:rPr>
          <w:rFonts w:ascii="Arial" w:cs="Arial" w:eastAsia="Arial" w:hAnsi="Arial"/>
          <w:b/>
          <w:bCs/>
          <w:sz w:val="22"/>
          <w:szCs w:val="22"/>
        </w:rPr>
        <w:t xml:space="preserve">Update Frequency: </w:t>
      </w:r>
      <w:r>
        <w:rPr>
          <w:rFonts w:ascii="Arial" w:cs="Arial" w:eastAsia="Arial" w:hAnsi="Arial"/>
          <w:sz w:val="22"/>
          <w:szCs w:val="22"/>
        </w:rPr>
        <w:t xml:space="preserve">Real-time registration processing</w:t>
      </w:r>
    </w:p>
    <w:p>
      <w:pPr>
        <w:spacing w:after="80"/>
      </w:pPr>
      <w:r>
        <w:rPr>
          <w:rFonts w:ascii="Arial" w:cs="Arial" w:eastAsia="Arial" w:hAnsi="Arial"/>
          <w:b/>
          <w:bCs/>
          <w:sz w:val="22"/>
          <w:szCs w:val="22"/>
        </w:rPr>
        <w:t xml:space="preserve">Cost: </w:t>
      </w:r>
      <w:r>
        <w:rPr>
          <w:rFonts w:ascii="Arial" w:cs="Arial" w:eastAsia="Arial" w:hAnsi="Arial"/>
          <w:sz w:val="22"/>
          <w:szCs w:val="22"/>
        </w:rPr>
        <w:t xml:space="preserve">Registration fees vary; no bulk pricing found</w:t>
      </w:r>
    </w:p>
    <w:p>
      <w:pPr>
        <w:spacing w:after="80"/>
      </w:pPr>
      <w:r>
        <w:rPr>
          <w:rFonts w:ascii="Arial" w:cs="Arial" w:eastAsia="Arial" w:hAnsi="Arial"/>
          <w:b/>
          <w:bCs/>
          <w:sz w:val="22"/>
          <w:szCs w:val="22"/>
        </w:rPr>
        <w:t xml:space="preserve">Language: </w:t>
      </w:r>
      <w:r>
        <w:rPr>
          <w:rFonts w:ascii="Arial" w:cs="Arial" w:eastAsia="Arial" w:hAnsi="Arial"/>
          <w:sz w:val="22"/>
          <w:szCs w:val="22"/>
        </w:rPr>
        <w:t xml:space="preserve">English, Swahili</w:t>
      </w:r>
    </w:p>
    <w:p>
      <w:pPr>
        <w:spacing w:after="80"/>
      </w:pPr>
      <w:r>
        <w:rPr>
          <w:rFonts w:ascii="Arial" w:cs="Arial" w:eastAsia="Arial" w:hAnsi="Arial"/>
          <w:b/>
          <w:bCs/>
          <w:sz w:val="22"/>
          <w:szCs w:val="22"/>
        </w:rPr>
        <w:t xml:space="preserve">Legal Analysis: </w:t>
      </w:r>
      <w:r>
        <w:rPr>
          <w:rFonts w:ascii="Arial" w:cs="Arial" w:eastAsia="Arial" w:hAnsi="Arial"/>
          <w:sz w:val="22"/>
          <w:szCs w:val="22"/>
        </w:rPr>
        <w:t xml:space="preserve">Kenya Data Protection Act 2019 strictly applies. ODPC oversight. DPIA required for personal data processing. Penalties up to KES 5M or 1% turnover.</w:t>
      </w:r>
    </w:p>
    <w:p>
      <w:pPr>
        <w:spacing w:after="80"/>
      </w:pPr>
      <w:r>
        <w:rPr>
          <w:rFonts w:ascii="Arial" w:cs="Arial" w:eastAsia="Arial" w:hAnsi="Arial"/>
          <w:b/>
          <w:bCs/>
          <w:sz w:val="22"/>
          <w:szCs w:val="22"/>
        </w:rPr>
        <w:t xml:space="preserve">Technical Complexity: </w:t>
      </w:r>
      <w:r>
        <w:rPr>
          <w:rFonts w:ascii="Arial" w:cs="Arial" w:eastAsia="Arial" w:hAnsi="Arial"/>
          <w:sz w:val="22"/>
          <w:szCs w:val="22"/>
        </w:rPr>
        <w:t xml:space="preserve">Medium (requires authentication; no API)</w:t>
      </w:r>
    </w:p>
    <w:p>
      <w:pPr>
        <w:spacing w:after="200"/>
      </w:pPr>
    </w:p>
    <w:p>
      <w:pPr>
        <w:pStyle w:val="Heading3"/>
      </w:pPr>
      <w:r>
        <w:t xml:space="preserve">Kenya Law Reports</w:t>
      </w:r>
    </w:p>
    <w:p>
      <w:pPr>
        <w:spacing w:after="80"/>
      </w:pPr>
      <w:r>
        <w:rPr>
          <w:rFonts w:ascii="Arial" w:cs="Arial" w:eastAsia="Arial" w:hAnsi="Arial"/>
          <w:b/>
          <w:bCs/>
          <w:sz w:val="22"/>
          <w:szCs w:val="22"/>
        </w:rPr>
        <w:t xml:space="preserve">URL: </w:t>
      </w:r>
      <w:r>
        <w:rPr>
          <w:rFonts w:ascii="Arial" w:cs="Arial" w:eastAsia="Arial" w:hAnsi="Arial"/>
          <w:sz w:val="22"/>
          <w:szCs w:val="22"/>
        </w:rPr>
        <w:t xml:space="preserve">https://new.kenyalaw.org/ | Judgments: https://new.kenyalaw.org/judgments/ | Laws: http://kenyalaw.org/lex/</w:t>
      </w:r>
    </w:p>
    <w:p>
      <w:pPr>
        <w:spacing w:after="80"/>
      </w:pPr>
      <w:r>
        <w:rPr>
          <w:rFonts w:ascii="Arial" w:cs="Arial" w:eastAsia="Arial" w:hAnsi="Arial"/>
          <w:b/>
          <w:bCs/>
          <w:sz w:val="22"/>
          <w:szCs w:val="22"/>
        </w:rPr>
        <w:t xml:space="preserve">Volume: </w:t>
      </w:r>
      <w:r>
        <w:rPr>
          <w:rFonts w:ascii="Arial" w:cs="Arial" w:eastAsia="Arial" w:hAnsi="Arial"/>
          <w:sz w:val="22"/>
          <w:szCs w:val="22"/>
        </w:rPr>
        <w:t xml:space="preserve">275,000+ judicial decisions; 500+ chapters of Laws of Kenya; Kenya Gazette from 1901</w:t>
      </w:r>
    </w:p>
    <w:p>
      <w:pPr>
        <w:spacing w:after="80"/>
      </w:pPr>
      <w:r>
        <w:rPr>
          <w:rFonts w:ascii="Arial" w:cs="Arial" w:eastAsia="Arial" w:hAnsi="Arial"/>
          <w:b/>
          <w:bCs/>
          <w:sz w:val="22"/>
          <w:szCs w:val="22"/>
        </w:rPr>
        <w:t xml:space="preserve">Access Method: </w:t>
      </w:r>
      <w:r>
        <w:rPr>
          <w:rFonts w:ascii="Arial" w:cs="Arial" w:eastAsia="Arial" w:hAnsi="Arial"/>
          <w:sz w:val="22"/>
          <w:szCs w:val="22"/>
        </w:rPr>
        <w:t xml:space="preserve">Free web browser search. No programmatic API documented. Internal format is Akoma Ntoso XML.</w:t>
      </w:r>
    </w:p>
    <w:p>
      <w:pPr>
        <w:spacing w:after="80"/>
      </w:pPr>
      <w:r>
        <w:rPr>
          <w:rFonts w:ascii="Arial" w:cs="Arial" w:eastAsia="Arial" w:hAnsi="Arial"/>
          <w:b/>
          <w:bCs/>
          <w:sz w:val="22"/>
          <w:szCs w:val="22"/>
        </w:rPr>
        <w:t xml:space="preserve">Data Format: </w:t>
      </w:r>
      <w:r>
        <w:rPr>
          <w:rFonts w:ascii="Arial" w:cs="Arial" w:eastAsia="Arial" w:hAnsi="Arial"/>
          <w:sz w:val="22"/>
          <w:szCs w:val="22"/>
        </w:rPr>
        <w:t xml:space="preserve">Akoma Ntoso XML (internal); HTML/web display for users</w:t>
      </w:r>
    </w:p>
    <w:p>
      <w:pPr>
        <w:spacing w:after="80"/>
      </w:pPr>
      <w:r>
        <w:rPr>
          <w:rFonts w:ascii="Arial" w:cs="Arial" w:eastAsia="Arial" w:hAnsi="Arial"/>
          <w:b/>
          <w:bCs/>
          <w:sz w:val="22"/>
          <w:szCs w:val="22"/>
        </w:rPr>
        <w:t xml:space="preserve">Update Frequency: </w:t>
      </w:r>
      <w:r>
        <w:rPr>
          <w:rFonts w:ascii="Arial" w:cs="Arial" w:eastAsia="Arial" w:hAnsi="Arial"/>
          <w:sz w:val="22"/>
          <w:szCs w:val="22"/>
        </w:rPr>
        <w:t xml:space="preserve">Daily updates for case law</w:t>
      </w:r>
    </w:p>
    <w:p>
      <w:pPr>
        <w:spacing w:after="80"/>
      </w:pPr>
      <w:r>
        <w:rPr>
          <w:rFonts w:ascii="Arial" w:cs="Arial" w:eastAsia="Arial" w:hAnsi="Arial"/>
          <w:b/>
          <w:bCs/>
          <w:sz w:val="22"/>
          <w:szCs w:val="22"/>
        </w:rPr>
        <w:t xml:space="preserve">Cost: </w:t>
      </w:r>
      <w:r>
        <w:rPr>
          <w:rFonts w:ascii="Arial" w:cs="Arial" w:eastAsia="Arial" w:hAnsi="Arial"/>
          <w:sz w:val="22"/>
          <w:szCs w:val="22"/>
        </w:rPr>
        <w:t xml:space="preserve">Free</w:t>
      </w:r>
    </w:p>
    <w:p>
      <w:pPr>
        <w:spacing w:after="80"/>
      </w:pPr>
      <w:r>
        <w:rPr>
          <w:rFonts w:ascii="Arial" w:cs="Arial" w:eastAsia="Arial" w:hAnsi="Arial"/>
          <w:b/>
          <w:bCs/>
          <w:sz w:val="22"/>
          <w:szCs w:val="22"/>
        </w:rPr>
        <w:t xml:space="preserve">Language: </w:t>
      </w:r>
      <w:r>
        <w:rPr>
          <w:rFonts w:ascii="Arial" w:cs="Arial" w:eastAsia="Arial" w:hAnsi="Arial"/>
          <w:sz w:val="22"/>
          <w:szCs w:val="22"/>
        </w:rPr>
        <w:t xml:space="preserve">English</w:t>
      </w:r>
    </w:p>
    <w:p>
      <w:pPr>
        <w:spacing w:after="80"/>
      </w:pPr>
      <w:r>
        <w:rPr>
          <w:rFonts w:ascii="Arial" w:cs="Arial" w:eastAsia="Arial" w:hAnsi="Arial"/>
          <w:b/>
          <w:bCs/>
          <w:sz w:val="22"/>
          <w:szCs w:val="22"/>
        </w:rPr>
        <w:t xml:space="preserve">Legal Analysis: </w:t>
      </w:r>
      <w:r>
        <w:rPr>
          <w:rFonts w:ascii="Arial" w:cs="Arial" w:eastAsia="Arial" w:hAnsi="Arial"/>
          <w:sz w:val="22"/>
          <w:szCs w:val="22"/>
        </w:rPr>
        <w:t xml:space="preserve">Official government legal database (National Council for Law Reporting). Public domain judicial decisions. DPA 2019 applies.</w:t>
      </w:r>
    </w:p>
    <w:p>
      <w:pPr>
        <w:spacing w:after="80"/>
      </w:pPr>
      <w:r>
        <w:rPr>
          <w:rFonts w:ascii="Arial" w:cs="Arial" w:eastAsia="Arial" w:hAnsi="Arial"/>
          <w:b/>
          <w:bCs/>
          <w:sz w:val="22"/>
          <w:szCs w:val="22"/>
        </w:rPr>
        <w:t xml:space="preserve">Technical Complexity: </w:t>
      </w:r>
      <w:r>
        <w:rPr>
          <w:rFonts w:ascii="Arial" w:cs="Arial" w:eastAsia="Arial" w:hAnsi="Arial"/>
          <w:sz w:val="22"/>
          <w:szCs w:val="22"/>
        </w:rPr>
        <w:t xml:space="preserve">Low (browser-based search)</w:t>
      </w:r>
    </w:p>
    <w:p>
      <w:pPr>
        <w:spacing w:after="200"/>
      </w:pPr>
    </w:p>
    <w:p>
      <w:pPr>
        <w:pStyle w:val="Heading3"/>
      </w:pPr>
      <w:r>
        <w:t xml:space="preserve">KIPI (IP Institute) and NSE</w:t>
      </w:r>
    </w:p>
    <w:p>
      <w:pPr>
        <w:spacing w:after="80"/>
      </w:pPr>
      <w:r>
        <w:rPr>
          <w:rFonts w:ascii="Arial" w:cs="Arial" w:eastAsia="Arial" w:hAnsi="Arial"/>
          <w:b/>
          <w:bCs/>
          <w:sz w:val="22"/>
          <w:szCs w:val="22"/>
        </w:rPr>
        <w:t xml:space="preserve">URL: </w:t>
      </w:r>
      <w:r>
        <w:rPr>
          <w:rFonts w:ascii="Arial" w:cs="Arial" w:eastAsia="Arial" w:hAnsi="Arial"/>
          <w:sz w:val="22"/>
          <w:szCs w:val="22"/>
        </w:rPr>
        <w:t xml:space="preserve">KIPI: https://www.kipi.go.ke/ | CIPIT DB: https://ipdatabase.cipit.org/ | NSE: https://www.nse.co.ke/ | NSE API: https://www.nse.co.ke/dataservices/api-specification-documents/</w:t>
      </w:r>
    </w:p>
    <w:p>
      <w:pPr>
        <w:spacing w:after="80"/>
      </w:pPr>
      <w:r>
        <w:rPr>
          <w:rFonts w:ascii="Arial" w:cs="Arial" w:eastAsia="Arial" w:hAnsi="Arial"/>
          <w:b/>
          <w:bCs/>
          <w:sz w:val="22"/>
          <w:szCs w:val="22"/>
        </w:rPr>
        <w:t xml:space="preserve">Volume: </w:t>
      </w:r>
      <w:r>
        <w:rPr>
          <w:rFonts w:ascii="Arial" w:cs="Arial" w:eastAsia="Arial" w:hAnsi="Arial"/>
          <w:sz w:val="22"/>
          <w:szCs w:val="22"/>
        </w:rPr>
        <w:t xml:space="preserve">KIPI: trademarks, patents, designs (volume unpublished). NSE: continuous market data.</w:t>
      </w:r>
    </w:p>
    <w:p>
      <w:pPr>
        <w:spacing w:after="80"/>
      </w:pPr>
      <w:r>
        <w:rPr>
          <w:rFonts w:ascii="Arial" w:cs="Arial" w:eastAsia="Arial" w:hAnsi="Arial"/>
          <w:b/>
          <w:bCs/>
          <w:sz w:val="22"/>
          <w:szCs w:val="22"/>
        </w:rPr>
        <w:t xml:space="preserve">Access Method: </w:t>
      </w:r>
      <w:r>
        <w:rPr>
          <w:rFonts w:ascii="Arial" w:cs="Arial" w:eastAsia="Arial" w:hAnsi="Arial"/>
          <w:sz w:val="22"/>
          <w:szCs w:val="22"/>
        </w:rPr>
        <w:t xml:space="preserve">KIPI: Web search via CIPIT database, eCitizen services. NSE: Licensed vendors, API with subscription.</w:t>
      </w:r>
    </w:p>
    <w:p>
      <w:pPr>
        <w:spacing w:after="80"/>
      </w:pPr>
      <w:r>
        <w:rPr>
          <w:rFonts w:ascii="Arial" w:cs="Arial" w:eastAsia="Arial" w:hAnsi="Arial"/>
          <w:b/>
          <w:bCs/>
          <w:sz w:val="22"/>
          <w:szCs w:val="22"/>
        </w:rPr>
        <w:t xml:space="preserve">Data Format: </w:t>
      </w:r>
      <w:r>
        <w:rPr>
          <w:rFonts w:ascii="Arial" w:cs="Arial" w:eastAsia="Arial" w:hAnsi="Arial"/>
          <w:sz w:val="22"/>
          <w:szCs w:val="22"/>
        </w:rPr>
        <w:t xml:space="preserve">KIPI: database queries as web results. NSE: real-time feeds, JSON/XML.</w:t>
      </w:r>
    </w:p>
    <w:p>
      <w:pPr>
        <w:spacing w:after="80"/>
      </w:pPr>
      <w:r>
        <w:rPr>
          <w:rFonts w:ascii="Arial" w:cs="Arial" w:eastAsia="Arial" w:hAnsi="Arial"/>
          <w:b/>
          <w:bCs/>
          <w:sz w:val="22"/>
          <w:szCs w:val="22"/>
        </w:rPr>
        <w:t xml:space="preserve">Update Frequency: </w:t>
      </w:r>
      <w:r>
        <w:rPr>
          <w:rFonts w:ascii="Arial" w:cs="Arial" w:eastAsia="Arial" w:hAnsi="Arial"/>
          <w:sz w:val="22"/>
          <w:szCs w:val="22"/>
        </w:rPr>
        <w:t xml:space="preserve">KIPI: registration-driven. NSE: intra-day live, end-of-day, historical.</w:t>
      </w:r>
    </w:p>
    <w:p>
      <w:pPr>
        <w:spacing w:after="80"/>
      </w:pPr>
      <w:r>
        <w:rPr>
          <w:rFonts w:ascii="Arial" w:cs="Arial" w:eastAsia="Arial" w:hAnsi="Arial"/>
          <w:b/>
          <w:bCs/>
          <w:sz w:val="22"/>
          <w:szCs w:val="22"/>
        </w:rPr>
        <w:t xml:space="preserve">Cost: </w:t>
      </w:r>
      <w:r>
        <w:rPr>
          <w:rFonts w:ascii="Arial" w:cs="Arial" w:eastAsia="Arial" w:hAnsi="Arial"/>
          <w:sz w:val="22"/>
          <w:szCs w:val="22"/>
        </w:rPr>
        <w:t xml:space="preserve">KIPI: free search. NSE: license agreements (contact marketdata@nse.co.ke).</w:t>
      </w:r>
    </w:p>
    <w:p>
      <w:pPr>
        <w:spacing w:after="80"/>
      </w:pPr>
      <w:r>
        <w:rPr>
          <w:rFonts w:ascii="Arial" w:cs="Arial" w:eastAsia="Arial" w:hAnsi="Arial"/>
          <w:b/>
          <w:bCs/>
          <w:sz w:val="22"/>
          <w:szCs w:val="22"/>
        </w:rPr>
        <w:t xml:space="preserve">Language: </w:t>
      </w:r>
      <w:r>
        <w:rPr>
          <w:rFonts w:ascii="Arial" w:cs="Arial" w:eastAsia="Arial" w:hAnsi="Arial"/>
          <w:sz w:val="22"/>
          <w:szCs w:val="22"/>
        </w:rPr>
        <w:t xml:space="preserve">English</w:t>
      </w:r>
    </w:p>
    <w:p>
      <w:pPr>
        <w:spacing w:after="80"/>
      </w:pPr>
      <w:r>
        <w:rPr>
          <w:rFonts w:ascii="Arial" w:cs="Arial" w:eastAsia="Arial" w:hAnsi="Arial"/>
          <w:b/>
          <w:bCs/>
          <w:sz w:val="22"/>
          <w:szCs w:val="22"/>
        </w:rPr>
        <w:t xml:space="preserve">Legal Analysis: </w:t>
      </w:r>
      <w:r>
        <w:rPr>
          <w:rFonts w:ascii="Arial" w:cs="Arial" w:eastAsia="Arial" w:hAnsi="Arial"/>
          <w:sz w:val="22"/>
          <w:szCs w:val="22"/>
        </w:rPr>
        <w:t xml:space="preserve">DPA 2019. NSE market data subject to licensing terms. Listed company information is public record.</w:t>
      </w:r>
    </w:p>
    <w:p>
      <w:pPr>
        <w:spacing w:after="80"/>
      </w:pPr>
      <w:r>
        <w:rPr>
          <w:rFonts w:ascii="Arial" w:cs="Arial" w:eastAsia="Arial" w:hAnsi="Arial"/>
          <w:b/>
          <w:bCs/>
          <w:sz w:val="22"/>
          <w:szCs w:val="22"/>
        </w:rPr>
        <w:t xml:space="preserve">Technical Complexity: </w:t>
      </w:r>
      <w:r>
        <w:rPr>
          <w:rFonts w:ascii="Arial" w:cs="Arial" w:eastAsia="Arial" w:hAnsi="Arial"/>
          <w:sz w:val="22"/>
          <w:szCs w:val="22"/>
        </w:rPr>
        <w:t xml:space="preserve">KIPI: Low-Medium. NSE: Medium-High (live API integration).</w:t>
      </w:r>
    </w:p>
    <w:p>
      <w:pPr>
        <w:spacing w:after="200"/>
      </w:pPr>
    </w:p>
    <w:p>
      <w:pPr>
        <w:pStyle w:val="Heading2"/>
      </w:pPr>
      <w:r>
        <w:t xml:space="preserve">South Africa</w:t>
      </w:r>
    </w:p>
    <w:p>
      <w:pPr>
        <w:pStyle w:val="Heading3"/>
      </w:pPr>
      <w:r>
        <w:t xml:space="preserve">CIPC (Companies and IP Commission)</w:t>
      </w:r>
    </w:p>
    <w:p>
      <w:pPr>
        <w:spacing w:after="80"/>
      </w:pPr>
      <w:r>
        <w:rPr>
          <w:rFonts w:ascii="Arial" w:cs="Arial" w:eastAsia="Arial" w:hAnsi="Arial"/>
          <w:b/>
          <w:bCs/>
          <w:sz w:val="22"/>
          <w:szCs w:val="22"/>
        </w:rPr>
        <w:t xml:space="preserve">URL: </w:t>
      </w:r>
      <w:r>
        <w:rPr>
          <w:rFonts w:ascii="Arial" w:cs="Arial" w:eastAsia="Arial" w:hAnsi="Arial"/>
          <w:sz w:val="22"/>
          <w:szCs w:val="22"/>
        </w:rPr>
        <w:t xml:space="preserve">https://www.cipc.co.za/ | eServices: https://eservices.cipc.co.za/ | IP: https://iponline.cipc.co.za/ | BizPortal: https://www.bizportal.gov.za/</w:t>
      </w:r>
    </w:p>
    <w:p>
      <w:pPr>
        <w:spacing w:after="80"/>
      </w:pPr>
      <w:r>
        <w:rPr>
          <w:rFonts w:ascii="Arial" w:cs="Arial" w:eastAsia="Arial" w:hAnsi="Arial"/>
          <w:b/>
          <w:bCs/>
          <w:sz w:val="22"/>
          <w:szCs w:val="22"/>
        </w:rPr>
        <w:t xml:space="preserve">Volume: </w:t>
      </w:r>
      <w:r>
        <w:rPr>
          <w:rFonts w:ascii="Arial" w:cs="Arial" w:eastAsia="Arial" w:hAnsi="Arial"/>
          <w:sz w:val="22"/>
          <w:szCs w:val="22"/>
        </w:rPr>
        <w:t xml:space="preserve">All registered companies in South Africa; IP registrations. No official bulk API.</w:t>
      </w:r>
    </w:p>
    <w:p>
      <w:pPr>
        <w:spacing w:after="80"/>
      </w:pPr>
      <w:r>
        <w:rPr>
          <w:rFonts w:ascii="Arial" w:cs="Arial" w:eastAsia="Arial" w:hAnsi="Arial"/>
          <w:b/>
          <w:bCs/>
          <w:sz w:val="22"/>
          <w:szCs w:val="22"/>
        </w:rPr>
        <w:t xml:space="preserve">Access Method: </w:t>
      </w:r>
      <w:r>
        <w:rPr>
          <w:rFonts w:ascii="Arial" w:cs="Arial" w:eastAsia="Arial" w:hAnsi="Arial"/>
          <w:sz w:val="22"/>
          <w:szCs w:val="22"/>
        </w:rPr>
        <w:t xml:space="preserve">Web portal (eServices); BizPortal for registration; search by name or registration number. Third-party APIs (Standard Bank SearchWorks).</w:t>
      </w:r>
    </w:p>
    <w:p>
      <w:pPr>
        <w:spacing w:after="80"/>
      </w:pPr>
      <w:r>
        <w:rPr>
          <w:rFonts w:ascii="Arial" w:cs="Arial" w:eastAsia="Arial" w:hAnsi="Arial"/>
          <w:b/>
          <w:bCs/>
          <w:sz w:val="22"/>
          <w:szCs w:val="22"/>
        </w:rPr>
        <w:t xml:space="preserve">Data Format: </w:t>
      </w:r>
      <w:r>
        <w:rPr>
          <w:rFonts w:ascii="Arial" w:cs="Arial" w:eastAsia="Arial" w:hAnsi="Arial"/>
          <w:sz w:val="22"/>
          <w:szCs w:val="22"/>
        </w:rPr>
        <w:t xml:space="preserve">Web interface; no bulk export documented</w:t>
      </w:r>
    </w:p>
    <w:p>
      <w:pPr>
        <w:spacing w:after="80"/>
      </w:pPr>
      <w:r>
        <w:rPr>
          <w:rFonts w:ascii="Arial" w:cs="Arial" w:eastAsia="Arial" w:hAnsi="Arial"/>
          <w:b/>
          <w:bCs/>
          <w:sz w:val="22"/>
          <w:szCs w:val="22"/>
        </w:rPr>
        <w:t xml:space="preserve">Update Frequency: </w:t>
      </w:r>
      <w:r>
        <w:rPr>
          <w:rFonts w:ascii="Arial" w:cs="Arial" w:eastAsia="Arial" w:hAnsi="Arial"/>
          <w:sz w:val="22"/>
          <w:szCs w:val="22"/>
        </w:rPr>
        <w:t xml:space="preserve">Real-time for registrations</w:t>
      </w:r>
    </w:p>
    <w:p>
      <w:pPr>
        <w:spacing w:after="80"/>
      </w:pPr>
      <w:r>
        <w:rPr>
          <w:rFonts w:ascii="Arial" w:cs="Arial" w:eastAsia="Arial" w:hAnsi="Arial"/>
          <w:b/>
          <w:bCs/>
          <w:sz w:val="22"/>
          <w:szCs w:val="22"/>
        </w:rPr>
        <w:t xml:space="preserve">Cost: </w:t>
      </w:r>
      <w:r>
        <w:rPr>
          <w:rFonts w:ascii="Arial" w:cs="Arial" w:eastAsia="Arial" w:hAnsi="Arial"/>
          <w:sz w:val="22"/>
          <w:szCs w:val="22"/>
        </w:rPr>
        <w:t xml:space="preserve">Registration R175 via BizPortal; search free; bulk pricing unknown</w:t>
      </w:r>
    </w:p>
    <w:p>
      <w:pPr>
        <w:spacing w:after="80"/>
      </w:pPr>
      <w:r>
        <w:rPr>
          <w:rFonts w:ascii="Arial" w:cs="Arial" w:eastAsia="Arial" w:hAnsi="Arial"/>
          <w:b/>
          <w:bCs/>
          <w:sz w:val="22"/>
          <w:szCs w:val="22"/>
        </w:rPr>
        <w:t xml:space="preserve">Language: </w:t>
      </w:r>
      <w:r>
        <w:rPr>
          <w:rFonts w:ascii="Arial" w:cs="Arial" w:eastAsia="Arial" w:hAnsi="Arial"/>
          <w:sz w:val="22"/>
          <w:szCs w:val="22"/>
        </w:rPr>
        <w:t xml:space="preserve">English (and other official SA languages)</w:t>
      </w:r>
    </w:p>
    <w:p>
      <w:pPr>
        <w:spacing w:after="80"/>
      </w:pPr>
      <w:r>
        <w:rPr>
          <w:rFonts w:ascii="Arial" w:cs="Arial" w:eastAsia="Arial" w:hAnsi="Arial"/>
          <w:b/>
          <w:bCs/>
          <w:sz w:val="22"/>
          <w:szCs w:val="22"/>
        </w:rPr>
        <w:t xml:space="preserve">Legal Analysis: </w:t>
      </w:r>
      <w:r>
        <w:rPr>
          <w:rFonts w:ascii="Arial" w:cs="Arial" w:eastAsia="Arial" w:hAnsi="Arial"/>
          <w:sz w:val="22"/>
          <w:szCs w:val="22"/>
        </w:rPr>
        <w:t xml:space="preserve">POPIA applies (max 10% turnover or ZAR 10M penalties). CIPC must protect personal data of directors/officers. Data accuracy strict under POPIA.</w:t>
      </w:r>
    </w:p>
    <w:p>
      <w:pPr>
        <w:spacing w:after="80"/>
      </w:pPr>
      <w:r>
        <w:rPr>
          <w:rFonts w:ascii="Arial" w:cs="Arial" w:eastAsia="Arial" w:hAnsi="Arial"/>
          <w:b/>
          <w:bCs/>
          <w:sz w:val="22"/>
          <w:szCs w:val="22"/>
        </w:rPr>
        <w:t xml:space="preserve">Technical Complexity: </w:t>
      </w:r>
      <w:r>
        <w:rPr>
          <w:rFonts w:ascii="Arial" w:cs="Arial" w:eastAsia="Arial" w:hAnsi="Arial"/>
          <w:sz w:val="22"/>
          <w:szCs w:val="22"/>
        </w:rPr>
        <w:t xml:space="preserve">Medium (portal-based; third-party APIs add cost)</w:t>
      </w:r>
    </w:p>
    <w:p>
      <w:pPr>
        <w:spacing w:after="200"/>
      </w:pPr>
    </w:p>
    <w:p>
      <w:pPr>
        <w:pStyle w:val="Heading3"/>
      </w:pPr>
      <w:r>
        <w:t xml:space="preserve">JSE (Stock Exchange) and SAFLII (Legal)</w:t>
      </w:r>
    </w:p>
    <w:p>
      <w:pPr>
        <w:spacing w:after="80"/>
      </w:pPr>
      <w:r>
        <w:rPr>
          <w:rFonts w:ascii="Arial" w:cs="Arial" w:eastAsia="Arial" w:hAnsi="Arial"/>
          <w:b/>
          <w:bCs/>
          <w:sz w:val="22"/>
          <w:szCs w:val="22"/>
        </w:rPr>
        <w:t xml:space="preserve">URL: </w:t>
      </w:r>
      <w:r>
        <w:rPr>
          <w:rFonts w:ascii="Arial" w:cs="Arial" w:eastAsia="Arial" w:hAnsi="Arial"/>
          <w:sz w:val="22"/>
          <w:szCs w:val="22"/>
        </w:rPr>
        <w:t xml:space="preserve">JSE: https://www.jse.co.za/ | Data portal: https://www.jse.co.za/jse-market-data-connect-portal | SAFLII: https://www.saflii.org/</w:t>
      </w:r>
    </w:p>
    <w:p>
      <w:pPr>
        <w:spacing w:after="80"/>
      </w:pPr>
      <w:r>
        <w:rPr>
          <w:rFonts w:ascii="Arial" w:cs="Arial" w:eastAsia="Arial" w:hAnsi="Arial"/>
          <w:b/>
          <w:bCs/>
          <w:sz w:val="22"/>
          <w:szCs w:val="22"/>
        </w:rPr>
        <w:t xml:space="preserve">Volume: </w:t>
      </w:r>
      <w:r>
        <w:rPr>
          <w:rFonts w:ascii="Arial" w:cs="Arial" w:eastAsia="Arial" w:hAnsi="Arial"/>
          <w:sz w:val="22"/>
          <w:szCs w:val="22"/>
        </w:rPr>
        <w:t xml:space="preserve">JSE: equities, derivatives, bonds. Tick data from Feb 2015. SAFLII: comprehensive Southern African case law.</w:t>
      </w:r>
    </w:p>
    <w:p>
      <w:pPr>
        <w:spacing w:after="80"/>
      </w:pPr>
      <w:r>
        <w:rPr>
          <w:rFonts w:ascii="Arial" w:cs="Arial" w:eastAsia="Arial" w:hAnsi="Arial"/>
          <w:b/>
          <w:bCs/>
          <w:sz w:val="22"/>
          <w:szCs w:val="22"/>
        </w:rPr>
        <w:t xml:space="preserve">Access Method: </w:t>
      </w:r>
      <w:r>
        <w:rPr>
          <w:rFonts w:ascii="Arial" w:cs="Arial" w:eastAsia="Arial" w:hAnsi="Arial"/>
          <w:sz w:val="22"/>
          <w:szCs w:val="22"/>
        </w:rPr>
        <w:t xml:space="preserve">JSE: licensed vendors, CME Group integration, proprietary API. SAFLII: free web search (Free Access to Law movement).</w:t>
      </w:r>
    </w:p>
    <w:p>
      <w:pPr>
        <w:spacing w:after="80"/>
      </w:pPr>
      <w:r>
        <w:rPr>
          <w:rFonts w:ascii="Arial" w:cs="Arial" w:eastAsia="Arial" w:hAnsi="Arial"/>
          <w:b/>
          <w:bCs/>
          <w:sz w:val="22"/>
          <w:szCs w:val="22"/>
        </w:rPr>
        <w:t xml:space="preserve">Data Format: </w:t>
      </w:r>
      <w:r>
        <w:rPr>
          <w:rFonts w:ascii="Arial" w:cs="Arial" w:eastAsia="Arial" w:hAnsi="Arial"/>
          <w:sz w:val="22"/>
          <w:szCs w:val="22"/>
        </w:rPr>
        <w:t xml:space="preserve">JSE: real-time Level I/II, tick data, minute bars. SAFLII: HTML/PDF.</w:t>
      </w:r>
    </w:p>
    <w:p>
      <w:pPr>
        <w:spacing w:after="80"/>
      </w:pPr>
      <w:r>
        <w:rPr>
          <w:rFonts w:ascii="Arial" w:cs="Arial" w:eastAsia="Arial" w:hAnsi="Arial"/>
          <w:b/>
          <w:bCs/>
          <w:sz w:val="22"/>
          <w:szCs w:val="22"/>
        </w:rPr>
        <w:t xml:space="preserve">Update Frequency: </w:t>
      </w:r>
      <w:r>
        <w:rPr>
          <w:rFonts w:ascii="Arial" w:cs="Arial" w:eastAsia="Arial" w:hAnsi="Arial"/>
          <w:sz w:val="22"/>
          <w:szCs w:val="22"/>
        </w:rPr>
        <w:t xml:space="preserve">JSE: intra-day, end-of-day, historical. SAFLII: publication-driven.</w:t>
      </w:r>
    </w:p>
    <w:p>
      <w:pPr>
        <w:spacing w:after="80"/>
      </w:pPr>
      <w:r>
        <w:rPr>
          <w:rFonts w:ascii="Arial" w:cs="Arial" w:eastAsia="Arial" w:hAnsi="Arial"/>
          <w:b/>
          <w:bCs/>
          <w:sz w:val="22"/>
          <w:szCs w:val="22"/>
        </w:rPr>
        <w:t xml:space="preserve">Cost: </w:t>
      </w:r>
      <w:r>
        <w:rPr>
          <w:rFonts w:ascii="Arial" w:cs="Arial" w:eastAsia="Arial" w:hAnsi="Arial"/>
          <w:sz w:val="22"/>
          <w:szCs w:val="22"/>
        </w:rPr>
        <w:t xml:space="preserve">JSE: license agreements (pricing not public). SAFLII: free.</w:t>
      </w:r>
    </w:p>
    <w:p>
      <w:pPr>
        <w:spacing w:after="80"/>
      </w:pPr>
      <w:r>
        <w:rPr>
          <w:rFonts w:ascii="Arial" w:cs="Arial" w:eastAsia="Arial" w:hAnsi="Arial"/>
          <w:b/>
          <w:bCs/>
          <w:sz w:val="22"/>
          <w:szCs w:val="22"/>
        </w:rPr>
        <w:t xml:space="preserve">Language: </w:t>
      </w:r>
      <w:r>
        <w:rPr>
          <w:rFonts w:ascii="Arial" w:cs="Arial" w:eastAsia="Arial" w:hAnsi="Arial"/>
          <w:sz w:val="22"/>
          <w:szCs w:val="22"/>
        </w:rPr>
        <w:t xml:space="preserve">English</w:t>
      </w:r>
    </w:p>
    <w:p>
      <w:pPr>
        <w:spacing w:after="80"/>
      </w:pPr>
      <w:r>
        <w:rPr>
          <w:rFonts w:ascii="Arial" w:cs="Arial" w:eastAsia="Arial" w:hAnsi="Arial"/>
          <w:b/>
          <w:bCs/>
          <w:sz w:val="22"/>
          <w:szCs w:val="22"/>
        </w:rPr>
        <w:t xml:space="preserve">Legal Analysis: </w:t>
      </w:r>
      <w:r>
        <w:rPr>
          <w:rFonts w:ascii="Arial" w:cs="Arial" w:eastAsia="Arial" w:hAnsi="Arial"/>
          <w:sz w:val="22"/>
          <w:szCs w:val="22"/>
        </w:rPr>
        <w:t xml:space="preserve">POPIA applies to JSE data. SAFLII minimal personal data. Free access aligns with SA transparency principles.</w:t>
      </w:r>
    </w:p>
    <w:p>
      <w:pPr>
        <w:spacing w:after="80"/>
      </w:pPr>
      <w:r>
        <w:rPr>
          <w:rFonts w:ascii="Arial" w:cs="Arial" w:eastAsia="Arial" w:hAnsi="Arial"/>
          <w:b/>
          <w:bCs/>
          <w:sz w:val="22"/>
          <w:szCs w:val="22"/>
        </w:rPr>
        <w:t xml:space="preserve">Technical Complexity: </w:t>
      </w:r>
      <w:r>
        <w:rPr>
          <w:rFonts w:ascii="Arial" w:cs="Arial" w:eastAsia="Arial" w:hAnsi="Arial"/>
          <w:sz w:val="22"/>
          <w:szCs w:val="22"/>
        </w:rPr>
        <w:t xml:space="preserve">JSE: Medium-High. SAFLII: Low (browser search).</w:t>
      </w:r>
    </w:p>
    <w:p>
      <w:pPr>
        <w:spacing w:after="200"/>
      </w:pPr>
    </w:p>
    <w:p>
      <w:pPr>
        <w:pStyle w:val="Heading2"/>
      </w:pPr>
      <w:r>
        <w:t xml:space="preserve">Nigeria</w:t>
      </w:r>
    </w:p>
    <w:p>
      <w:pPr>
        <w:pStyle w:val="Heading3"/>
      </w:pPr>
      <w:r>
        <w:t xml:space="preserve">CAC (Corporate Affairs Commission)</w:t>
      </w:r>
    </w:p>
    <w:p>
      <w:pPr>
        <w:spacing w:after="80"/>
      </w:pPr>
      <w:r>
        <w:rPr>
          <w:rFonts w:ascii="Arial" w:cs="Arial" w:eastAsia="Arial" w:hAnsi="Arial"/>
          <w:b/>
          <w:bCs/>
          <w:sz w:val="22"/>
          <w:szCs w:val="22"/>
        </w:rPr>
        <w:t xml:space="preserve">URL: </w:t>
      </w:r>
      <w:r>
        <w:rPr>
          <w:rFonts w:ascii="Arial" w:cs="Arial" w:eastAsia="Arial" w:hAnsi="Arial"/>
          <w:sz w:val="22"/>
          <w:szCs w:val="22"/>
        </w:rPr>
        <w:t xml:space="preserve">https://cac.gov.ng/ | Public search: https://search.cac.gov.ng/ | iCRP: https://icrp.cac.gov.ng/</w:t>
      </w:r>
    </w:p>
    <w:p>
      <w:pPr>
        <w:spacing w:after="80"/>
      </w:pPr>
      <w:r>
        <w:rPr>
          <w:rFonts w:ascii="Arial" w:cs="Arial" w:eastAsia="Arial" w:hAnsi="Arial"/>
          <w:b/>
          <w:bCs/>
          <w:sz w:val="22"/>
          <w:szCs w:val="22"/>
        </w:rPr>
        <w:t xml:space="preserve">Volume: </w:t>
      </w:r>
      <w:r>
        <w:rPr>
          <w:rFonts w:ascii="Arial" w:cs="Arial" w:eastAsia="Arial" w:hAnsi="Arial"/>
          <w:sz w:val="22"/>
          <w:szCs w:val="22"/>
        </w:rPr>
        <w:t xml:space="preserve">All registered companies and business names in Nigeria; estimated 10M+ potential entities</w:t>
      </w:r>
    </w:p>
    <w:p>
      <w:pPr>
        <w:spacing w:after="80"/>
      </w:pPr>
      <w:r>
        <w:rPr>
          <w:rFonts w:ascii="Arial" w:cs="Arial" w:eastAsia="Arial" w:hAnsi="Arial"/>
          <w:b/>
          <w:bCs/>
          <w:sz w:val="22"/>
          <w:szCs w:val="22"/>
        </w:rPr>
        <w:t xml:space="preserve">Access Method: </w:t>
      </w:r>
      <w:r>
        <w:rPr>
          <w:rFonts w:ascii="Arial" w:cs="Arial" w:eastAsia="Arial" w:hAnsi="Arial"/>
          <w:sz w:val="22"/>
          <w:szCs w:val="22"/>
        </w:rPr>
        <w:t xml:space="preserve">Public search portal (free); iCRP portal for filings; third-party APIs (verified.africa, qoreid)</w:t>
      </w:r>
    </w:p>
    <w:p>
      <w:pPr>
        <w:spacing w:after="80"/>
      </w:pPr>
      <w:r>
        <w:rPr>
          <w:rFonts w:ascii="Arial" w:cs="Arial" w:eastAsia="Arial" w:hAnsi="Arial"/>
          <w:b/>
          <w:bCs/>
          <w:sz w:val="22"/>
          <w:szCs w:val="22"/>
        </w:rPr>
        <w:t xml:space="preserve">Data Format: </w:t>
      </w:r>
      <w:r>
        <w:rPr>
          <w:rFonts w:ascii="Arial" w:cs="Arial" w:eastAsia="Arial" w:hAnsi="Arial"/>
          <w:sz w:val="22"/>
          <w:szCs w:val="22"/>
        </w:rPr>
        <w:t xml:space="preserve">Web search results; eAPI format via third-party integrators</w:t>
      </w:r>
    </w:p>
    <w:p>
      <w:pPr>
        <w:spacing w:after="80"/>
      </w:pPr>
      <w:r>
        <w:rPr>
          <w:rFonts w:ascii="Arial" w:cs="Arial" w:eastAsia="Arial" w:hAnsi="Arial"/>
          <w:b/>
          <w:bCs/>
          <w:sz w:val="22"/>
          <w:szCs w:val="22"/>
        </w:rPr>
        <w:t xml:space="preserve">Update Frequency: </w:t>
      </w:r>
      <w:r>
        <w:rPr>
          <w:rFonts w:ascii="Arial" w:cs="Arial" w:eastAsia="Arial" w:hAnsi="Arial"/>
          <w:sz w:val="22"/>
          <w:szCs w:val="22"/>
        </w:rPr>
        <w:t xml:space="preserve">Real-time registration processing</w:t>
      </w:r>
    </w:p>
    <w:p>
      <w:pPr>
        <w:spacing w:after="80"/>
      </w:pPr>
      <w:r>
        <w:rPr>
          <w:rFonts w:ascii="Arial" w:cs="Arial" w:eastAsia="Arial" w:hAnsi="Arial"/>
          <w:b/>
          <w:bCs/>
          <w:sz w:val="22"/>
          <w:szCs w:val="22"/>
        </w:rPr>
        <w:t xml:space="preserve">Cost: </w:t>
      </w:r>
      <w:r>
        <w:rPr>
          <w:rFonts w:ascii="Arial" w:cs="Arial" w:eastAsia="Arial" w:hAnsi="Arial"/>
          <w:sz w:val="22"/>
          <w:szCs w:val="22"/>
        </w:rPr>
        <w:t xml:space="preserve">Search free; registration N25,000-50,000+; bulk data not publicly offered</w:t>
      </w:r>
    </w:p>
    <w:p>
      <w:pPr>
        <w:spacing w:after="80"/>
      </w:pPr>
      <w:r>
        <w:rPr>
          <w:rFonts w:ascii="Arial" w:cs="Arial" w:eastAsia="Arial" w:hAnsi="Arial"/>
          <w:b/>
          <w:bCs/>
          <w:sz w:val="22"/>
          <w:szCs w:val="22"/>
        </w:rPr>
        <w:t xml:space="preserve">Language: </w:t>
      </w:r>
      <w:r>
        <w:rPr>
          <w:rFonts w:ascii="Arial" w:cs="Arial" w:eastAsia="Arial" w:hAnsi="Arial"/>
          <w:sz w:val="22"/>
          <w:szCs w:val="22"/>
        </w:rPr>
        <w:t xml:space="preserve">English</w:t>
      </w:r>
    </w:p>
    <w:p>
      <w:pPr>
        <w:spacing w:after="80"/>
      </w:pPr>
      <w:r>
        <w:rPr>
          <w:rFonts w:ascii="Arial" w:cs="Arial" w:eastAsia="Arial" w:hAnsi="Arial"/>
          <w:b/>
          <w:bCs/>
          <w:sz w:val="22"/>
          <w:szCs w:val="22"/>
        </w:rPr>
        <w:t xml:space="preserve">Legal Analysis: </w:t>
      </w:r>
      <w:r>
        <w:rPr>
          <w:rFonts w:ascii="Arial" w:cs="Arial" w:eastAsia="Arial" w:hAnsi="Arial"/>
          <w:sz w:val="22"/>
          <w:szCs w:val="22"/>
        </w:rPr>
        <w:t xml:space="preserve">NDPR 2019 applies. Controllers with 10,000+ data subjects face 2% annual revenue fines. DPO certification required.</w:t>
      </w:r>
    </w:p>
    <w:p>
      <w:pPr>
        <w:spacing w:after="80"/>
      </w:pPr>
      <w:r>
        <w:rPr>
          <w:rFonts w:ascii="Arial" w:cs="Arial" w:eastAsia="Arial" w:hAnsi="Arial"/>
          <w:b/>
          <w:bCs/>
          <w:sz w:val="22"/>
          <w:szCs w:val="22"/>
        </w:rPr>
        <w:t xml:space="preserve">Technical Complexity: </w:t>
      </w:r>
      <w:r>
        <w:rPr>
          <w:rFonts w:ascii="Arial" w:cs="Arial" w:eastAsia="Arial" w:hAnsi="Arial"/>
          <w:sz w:val="22"/>
          <w:szCs w:val="22"/>
        </w:rPr>
        <w:t xml:space="preserve">Low-Medium (web portal and third-party APIs)</w:t>
      </w:r>
    </w:p>
    <w:p>
      <w:pPr>
        <w:spacing w:after="200"/>
      </w:pPr>
    </w:p>
    <w:p>
      <w:pPr>
        <w:pStyle w:val="Heading3"/>
      </w:pPr>
      <w:r>
        <w:t xml:space="preserve">NGX (Stock Exchange) and Legal Reports</w:t>
      </w:r>
    </w:p>
    <w:p>
      <w:pPr>
        <w:spacing w:after="80"/>
      </w:pPr>
      <w:r>
        <w:rPr>
          <w:rFonts w:ascii="Arial" w:cs="Arial" w:eastAsia="Arial" w:hAnsi="Arial"/>
          <w:b/>
          <w:bCs/>
          <w:sz w:val="22"/>
          <w:szCs w:val="22"/>
        </w:rPr>
        <w:t xml:space="preserve">URL: </w:t>
      </w:r>
      <w:r>
        <w:rPr>
          <w:rFonts w:ascii="Arial" w:cs="Arial" w:eastAsia="Arial" w:hAnsi="Arial"/>
          <w:sz w:val="22"/>
          <w:szCs w:val="22"/>
        </w:rPr>
        <w:t xml:space="preserve">NGX: https://ngxgroup.com/ | API: https://marketdataapiv3.ngxgroup.com/portal | NigeriaLII: https://nigerialii.org/ | LawPavilion: https://lawpavilionplus.com/</w:t>
      </w:r>
    </w:p>
    <w:p>
      <w:pPr>
        <w:spacing w:after="80"/>
      </w:pPr>
      <w:r>
        <w:rPr>
          <w:rFonts w:ascii="Arial" w:cs="Arial" w:eastAsia="Arial" w:hAnsi="Arial"/>
          <w:b/>
          <w:bCs/>
          <w:sz w:val="22"/>
          <w:szCs w:val="22"/>
        </w:rPr>
        <w:t xml:space="preserve">Volume: </w:t>
      </w:r>
      <w:r>
        <w:rPr>
          <w:rFonts w:ascii="Arial" w:cs="Arial" w:eastAsia="Arial" w:hAnsi="Arial"/>
          <w:sz w:val="22"/>
          <w:szCs w:val="22"/>
        </w:rPr>
        <w:t xml:space="preserve">NGX: 393 listed securities (151 companies). NigeriaLII: 1,953 judgments. LawPavilion: 9,000+ e-books of Law Reports.</w:t>
      </w:r>
    </w:p>
    <w:p>
      <w:pPr>
        <w:spacing w:after="80"/>
      </w:pPr>
      <w:r>
        <w:rPr>
          <w:rFonts w:ascii="Arial" w:cs="Arial" w:eastAsia="Arial" w:hAnsi="Arial"/>
          <w:b/>
          <w:bCs/>
          <w:sz w:val="22"/>
          <w:szCs w:val="22"/>
        </w:rPr>
        <w:t xml:space="preserve">Access Method: </w:t>
      </w:r>
      <w:r>
        <w:rPr>
          <w:rFonts w:ascii="Arial" w:cs="Arial" w:eastAsia="Arial" w:hAnsi="Arial"/>
          <w:sz w:val="22"/>
          <w:szCs w:val="22"/>
        </w:rPr>
        <w:t xml:space="preserve">NGX: API portal registration, Market Data API. NigeriaLII: free. LawPavilion: subscription.</w:t>
      </w:r>
    </w:p>
    <w:p>
      <w:pPr>
        <w:spacing w:after="80"/>
      </w:pPr>
      <w:r>
        <w:rPr>
          <w:rFonts w:ascii="Arial" w:cs="Arial" w:eastAsia="Arial" w:hAnsi="Arial"/>
          <w:b/>
          <w:bCs/>
          <w:sz w:val="22"/>
          <w:szCs w:val="22"/>
        </w:rPr>
        <w:t xml:space="preserve">Data Format: </w:t>
      </w:r>
      <w:r>
        <w:rPr>
          <w:rFonts w:ascii="Arial" w:cs="Arial" w:eastAsia="Arial" w:hAnsi="Arial"/>
          <w:sz w:val="22"/>
          <w:szCs w:val="22"/>
        </w:rPr>
        <w:t xml:space="preserve">NGX: JSON/XML. NigeriaLII: HTML. LawPavilion: PDF/HTML e-library.</w:t>
      </w:r>
    </w:p>
    <w:p>
      <w:pPr>
        <w:spacing w:after="80"/>
      </w:pPr>
      <w:r>
        <w:rPr>
          <w:rFonts w:ascii="Arial" w:cs="Arial" w:eastAsia="Arial" w:hAnsi="Arial"/>
          <w:b/>
          <w:bCs/>
          <w:sz w:val="22"/>
          <w:szCs w:val="22"/>
        </w:rPr>
        <w:t xml:space="preserve">Update Frequency: </w:t>
      </w:r>
      <w:r>
        <w:rPr>
          <w:rFonts w:ascii="Arial" w:cs="Arial" w:eastAsia="Arial" w:hAnsi="Arial"/>
          <w:sz w:val="22"/>
          <w:szCs w:val="22"/>
        </w:rPr>
        <w:t xml:space="preserve">NGX: real-time trading data. Legal: continuous new judgments.</w:t>
      </w:r>
    </w:p>
    <w:p>
      <w:pPr>
        <w:spacing w:after="80"/>
      </w:pPr>
      <w:r>
        <w:rPr>
          <w:rFonts w:ascii="Arial" w:cs="Arial" w:eastAsia="Arial" w:hAnsi="Arial"/>
          <w:b/>
          <w:bCs/>
          <w:sz w:val="22"/>
          <w:szCs w:val="22"/>
        </w:rPr>
        <w:t xml:space="preserve">Cost: </w:t>
      </w:r>
      <w:r>
        <w:rPr>
          <w:rFonts w:ascii="Arial" w:cs="Arial" w:eastAsia="Arial" w:hAnsi="Arial"/>
          <w:sz w:val="22"/>
          <w:szCs w:val="22"/>
        </w:rPr>
        <w:t xml:space="preserve">NGX: subscription-based. NigeriaLII: free. LawPavilion: subscription required.</w:t>
      </w:r>
    </w:p>
    <w:p>
      <w:pPr>
        <w:spacing w:after="80"/>
      </w:pPr>
      <w:r>
        <w:rPr>
          <w:rFonts w:ascii="Arial" w:cs="Arial" w:eastAsia="Arial" w:hAnsi="Arial"/>
          <w:b/>
          <w:bCs/>
          <w:sz w:val="22"/>
          <w:szCs w:val="22"/>
        </w:rPr>
        <w:t xml:space="preserve">Language: </w:t>
      </w:r>
      <w:r>
        <w:rPr>
          <w:rFonts w:ascii="Arial" w:cs="Arial" w:eastAsia="Arial" w:hAnsi="Arial"/>
          <w:sz w:val="22"/>
          <w:szCs w:val="22"/>
        </w:rPr>
        <w:t xml:space="preserve">English</w:t>
      </w:r>
    </w:p>
    <w:p>
      <w:pPr>
        <w:spacing w:after="80"/>
      </w:pPr>
      <w:r>
        <w:rPr>
          <w:rFonts w:ascii="Arial" w:cs="Arial" w:eastAsia="Arial" w:hAnsi="Arial"/>
          <w:b/>
          <w:bCs/>
          <w:sz w:val="22"/>
          <w:szCs w:val="22"/>
        </w:rPr>
        <w:t xml:space="preserve">Legal Analysis: </w:t>
      </w:r>
      <w:r>
        <w:rPr>
          <w:rFonts w:ascii="Arial" w:cs="Arial" w:eastAsia="Arial" w:hAnsi="Arial"/>
          <w:sz w:val="22"/>
          <w:szCs w:val="22"/>
        </w:rPr>
        <w:t xml:space="preserve">NDPR 2019 applies. Court decisions are public records. LawPavilion copyright proprietary.</w:t>
      </w:r>
    </w:p>
    <w:p>
      <w:pPr>
        <w:spacing w:after="80"/>
      </w:pPr>
      <w:r>
        <w:rPr>
          <w:rFonts w:ascii="Arial" w:cs="Arial" w:eastAsia="Arial" w:hAnsi="Arial"/>
          <w:b/>
          <w:bCs/>
          <w:sz w:val="22"/>
          <w:szCs w:val="22"/>
        </w:rPr>
        <w:t xml:space="preserve">Technical Complexity: </w:t>
      </w:r>
      <w:r>
        <w:rPr>
          <w:rFonts w:ascii="Arial" w:cs="Arial" w:eastAsia="Arial" w:hAnsi="Arial"/>
          <w:sz w:val="22"/>
          <w:szCs w:val="22"/>
        </w:rPr>
        <w:t xml:space="preserve">NGX: Medium-High. NigeriaLII: Low. LawPavilion: Low (subscription).</w:t>
      </w:r>
    </w:p>
    <w:p>
      <w:pPr>
        <w:spacing w:after="200"/>
      </w:pPr>
    </w:p>
    <w:p>
      <w:pPr>
        <w:pStyle w:val="Heading2"/>
      </w:pPr>
      <w:r>
        <w:t xml:space="preserve">Ghana</w:t>
      </w:r>
    </w:p>
    <w:p>
      <w:pPr>
        <w:pStyle w:val="Heading3"/>
      </w:pPr>
      <w:r>
        <w:t xml:space="preserve">Registrar General and GSE</w:t>
      </w:r>
    </w:p>
    <w:p>
      <w:pPr>
        <w:spacing w:after="80"/>
      </w:pPr>
      <w:r>
        <w:rPr>
          <w:rFonts w:ascii="Arial" w:cs="Arial" w:eastAsia="Arial" w:hAnsi="Arial"/>
          <w:b/>
          <w:bCs/>
          <w:sz w:val="22"/>
          <w:szCs w:val="22"/>
        </w:rPr>
        <w:t xml:space="preserve">URL: </w:t>
      </w:r>
      <w:r>
        <w:rPr>
          <w:rFonts w:ascii="Arial" w:cs="Arial" w:eastAsia="Arial" w:hAnsi="Arial"/>
          <w:sz w:val="22"/>
          <w:szCs w:val="22"/>
        </w:rPr>
        <w:t xml:space="preserve">RGD: https://rgd.gov.gh/ | ORC: https://orc.gov.gh/ | GSE: https://gse.com.gh/ | Market Watch: https://gsemarketwatch.com/</w:t>
      </w:r>
    </w:p>
    <w:p>
      <w:pPr>
        <w:spacing w:after="80"/>
      </w:pPr>
      <w:r>
        <w:rPr>
          <w:rFonts w:ascii="Arial" w:cs="Arial" w:eastAsia="Arial" w:hAnsi="Arial"/>
          <w:b/>
          <w:bCs/>
          <w:sz w:val="22"/>
          <w:szCs w:val="22"/>
        </w:rPr>
        <w:t xml:space="preserve">Volume: </w:t>
      </w:r>
      <w:r>
        <w:rPr>
          <w:rFonts w:ascii="Arial" w:cs="Arial" w:eastAsia="Arial" w:hAnsi="Arial"/>
          <w:sz w:val="22"/>
          <w:szCs w:val="22"/>
        </w:rPr>
        <w:t xml:space="preserve">RGD: all registered companies in Ghana. GSE: 42 equities (37 companies) + 2 corporate bonds.</w:t>
      </w:r>
    </w:p>
    <w:p>
      <w:pPr>
        <w:spacing w:after="80"/>
      </w:pPr>
      <w:r>
        <w:rPr>
          <w:rFonts w:ascii="Arial" w:cs="Arial" w:eastAsia="Arial" w:hAnsi="Arial"/>
          <w:b/>
          <w:bCs/>
          <w:sz w:val="22"/>
          <w:szCs w:val="22"/>
        </w:rPr>
        <w:t xml:space="preserve">Access Method: </w:t>
      </w:r>
      <w:r>
        <w:rPr>
          <w:rFonts w:ascii="Arial" w:cs="Arial" w:eastAsia="Arial" w:hAnsi="Arial"/>
          <w:sz w:val="22"/>
          <w:szCs w:val="22"/>
        </w:rPr>
        <w:t xml:space="preserve">RGD: web portal search by company name. GSE: web portal, Market Watch for live data. No public APIs documented.</w:t>
      </w:r>
    </w:p>
    <w:p>
      <w:pPr>
        <w:spacing w:after="80"/>
      </w:pPr>
      <w:r>
        <w:rPr>
          <w:rFonts w:ascii="Arial" w:cs="Arial" w:eastAsia="Arial" w:hAnsi="Arial"/>
          <w:b/>
          <w:bCs/>
          <w:sz w:val="22"/>
          <w:szCs w:val="22"/>
        </w:rPr>
        <w:t xml:space="preserve">Data Format: </w:t>
      </w:r>
      <w:r>
        <w:rPr>
          <w:rFonts w:ascii="Arial" w:cs="Arial" w:eastAsia="Arial" w:hAnsi="Arial"/>
          <w:sz w:val="22"/>
          <w:szCs w:val="22"/>
        </w:rPr>
        <w:t xml:space="preserve">Web search results; market data display</w:t>
      </w:r>
    </w:p>
    <w:p>
      <w:pPr>
        <w:spacing w:after="80"/>
      </w:pPr>
      <w:r>
        <w:rPr>
          <w:rFonts w:ascii="Arial" w:cs="Arial" w:eastAsia="Arial" w:hAnsi="Arial"/>
          <w:b/>
          <w:bCs/>
          <w:sz w:val="22"/>
          <w:szCs w:val="22"/>
        </w:rPr>
        <w:t xml:space="preserve">Update Frequency: </w:t>
      </w:r>
      <w:r>
        <w:rPr>
          <w:rFonts w:ascii="Arial" w:cs="Arial" w:eastAsia="Arial" w:hAnsi="Arial"/>
          <w:sz w:val="22"/>
          <w:szCs w:val="22"/>
        </w:rPr>
        <w:t xml:space="preserve">RGD: real-time registration. GSE: intra-day live, daily close.</w:t>
      </w:r>
    </w:p>
    <w:p>
      <w:pPr>
        <w:spacing w:after="80"/>
      </w:pPr>
      <w:r>
        <w:rPr>
          <w:rFonts w:ascii="Arial" w:cs="Arial" w:eastAsia="Arial" w:hAnsi="Arial"/>
          <w:b/>
          <w:bCs/>
          <w:sz w:val="22"/>
          <w:szCs w:val="22"/>
        </w:rPr>
        <w:t xml:space="preserve">Cost: </w:t>
      </w:r>
      <w:r>
        <w:rPr>
          <w:rFonts w:ascii="Arial" w:cs="Arial" w:eastAsia="Arial" w:hAnsi="Arial"/>
          <w:sz w:val="22"/>
          <w:szCs w:val="22"/>
        </w:rPr>
        <w:t xml:space="preserve">RGD: registration fees vary; search free. GSE: no public API costs.</w:t>
      </w:r>
    </w:p>
    <w:p>
      <w:pPr>
        <w:spacing w:after="80"/>
      </w:pPr>
      <w:r>
        <w:rPr>
          <w:rFonts w:ascii="Arial" w:cs="Arial" w:eastAsia="Arial" w:hAnsi="Arial"/>
          <w:b/>
          <w:bCs/>
          <w:sz w:val="22"/>
          <w:szCs w:val="22"/>
        </w:rPr>
        <w:t xml:space="preserve">Language: </w:t>
      </w:r>
      <w:r>
        <w:rPr>
          <w:rFonts w:ascii="Arial" w:cs="Arial" w:eastAsia="Arial" w:hAnsi="Arial"/>
          <w:sz w:val="22"/>
          <w:szCs w:val="22"/>
        </w:rPr>
        <w:t xml:space="preserve">English</w:t>
      </w:r>
    </w:p>
    <w:p>
      <w:pPr>
        <w:spacing w:after="80"/>
      </w:pPr>
      <w:r>
        <w:rPr>
          <w:rFonts w:ascii="Arial" w:cs="Arial" w:eastAsia="Arial" w:hAnsi="Arial"/>
          <w:b/>
          <w:bCs/>
          <w:sz w:val="22"/>
          <w:szCs w:val="22"/>
        </w:rPr>
        <w:t xml:space="preserve">Legal Analysis: </w:t>
      </w:r>
      <w:r>
        <w:rPr>
          <w:rFonts w:ascii="Arial" w:cs="Arial" w:eastAsia="Arial" w:hAnsi="Arial"/>
          <w:sz w:val="22"/>
          <w:szCs w:val="22"/>
        </w:rPr>
        <w:t xml:space="preserve">Ghana Data Protection Act. Company registrations are public records. GSE established 1990.</w:t>
      </w:r>
    </w:p>
    <w:p>
      <w:pPr>
        <w:spacing w:after="80"/>
      </w:pPr>
      <w:r>
        <w:rPr>
          <w:rFonts w:ascii="Arial" w:cs="Arial" w:eastAsia="Arial" w:hAnsi="Arial"/>
          <w:b/>
          <w:bCs/>
          <w:sz w:val="22"/>
          <w:szCs w:val="22"/>
        </w:rPr>
        <w:t xml:space="preserve">Technical Complexity: </w:t>
      </w:r>
      <w:r>
        <w:rPr>
          <w:rFonts w:ascii="Arial" w:cs="Arial" w:eastAsia="Arial" w:hAnsi="Arial"/>
          <w:sz w:val="22"/>
          <w:szCs w:val="22"/>
        </w:rPr>
        <w:t xml:space="preserve">Low-Medium (web-based; no APIs)</w:t>
      </w:r>
    </w:p>
    <w:p>
      <w:pPr>
        <w:spacing w:after="200"/>
      </w:pPr>
    </w:p>
    <w:p>
      <w:r>
        <w:br w:type="page"/>
      </w:r>
    </w:p>
    <w:p>
      <w:pPr>
        <w:pStyle w:val="Heading1"/>
      </w:pPr>
      <w:r>
        <w:t xml:space="preserve">Chapter 6: Europe (UK and EU)</w:t>
      </w:r>
    </w:p>
    <w:p>
      <w:pPr>
        <w:spacing w:after="120"/>
      </w:pPr>
      <w:r>
        <w:rPr>
          <w:rFonts w:ascii="Arial" w:cs="Arial" w:eastAsia="Arial" w:hAnsi="Arial"/>
          <w:sz w:val="22"/>
          <w:szCs w:val="22"/>
        </w:rPr>
        <w:t xml:space="preserve">Europe offers the most mature and well-documented data infrastructure globally. UK Companies House provides a completely free REST API with 5.4M+ companies. The EU institutions (EUIPO, EPO, EUR-Lex) offer sophisticated APIs with extensive documentation. GDPR compliance is the primary legal consideration and applies to all personal data processing.</w:t>
      </w:r>
    </w:p>
    <w:p>
      <w:pPr>
        <w:pStyle w:val="Heading2"/>
      </w:pPr>
      <w:r>
        <w:t xml:space="preserve">United Kingdom</w:t>
      </w:r>
    </w:p>
    <w:p>
      <w:pPr>
        <w:pStyle w:val="Heading3"/>
      </w:pPr>
      <w:r>
        <w:t xml:space="preserve">Companies House (Corporate Registry)</w:t>
      </w:r>
    </w:p>
    <w:p>
      <w:pPr>
        <w:spacing w:after="80"/>
      </w:pPr>
      <w:r>
        <w:rPr>
          <w:rFonts w:ascii="Arial" w:cs="Arial" w:eastAsia="Arial" w:hAnsi="Arial"/>
          <w:b/>
          <w:bCs/>
          <w:sz w:val="22"/>
          <w:szCs w:val="22"/>
        </w:rPr>
        <w:t xml:space="preserve">URL: </w:t>
      </w:r>
      <w:r>
        <w:rPr>
          <w:rFonts w:ascii="Arial" w:cs="Arial" w:eastAsia="Arial" w:hAnsi="Arial"/>
          <w:sz w:val="22"/>
          <w:szCs w:val="22"/>
        </w:rPr>
        <w:t xml:space="preserve">https://www.gov.uk/government/organisations/companies-house | API: https://developer.company-information.service.gov.uk/</w:t>
      </w:r>
    </w:p>
    <w:p>
      <w:pPr>
        <w:spacing w:after="80"/>
      </w:pPr>
      <w:r>
        <w:rPr>
          <w:rFonts w:ascii="Arial" w:cs="Arial" w:eastAsia="Arial" w:hAnsi="Arial"/>
          <w:b/>
          <w:bCs/>
          <w:sz w:val="22"/>
          <w:szCs w:val="22"/>
        </w:rPr>
        <w:t xml:space="preserve">Volume: </w:t>
      </w:r>
      <w:r>
        <w:rPr>
          <w:rFonts w:ascii="Arial" w:cs="Arial" w:eastAsia="Arial" w:hAnsi="Arial"/>
          <w:sz w:val="22"/>
          <w:szCs w:val="22"/>
        </w:rPr>
        <w:t xml:space="preserve">5,450,364 registered companies (Dec 2025); 801,864 annual incorporations (FYE 2025)</w:t>
      </w:r>
    </w:p>
    <w:p>
      <w:pPr>
        <w:spacing w:after="80"/>
      </w:pPr>
      <w:r>
        <w:rPr>
          <w:rFonts w:ascii="Arial" w:cs="Arial" w:eastAsia="Arial" w:hAnsi="Arial"/>
          <w:b/>
          <w:bCs/>
          <w:sz w:val="22"/>
          <w:szCs w:val="22"/>
        </w:rPr>
        <w:t xml:space="preserve">Access Method: </w:t>
      </w:r>
      <w:r>
        <w:rPr>
          <w:rFonts w:ascii="Arial" w:cs="Arial" w:eastAsia="Arial" w:hAnsi="Arial"/>
          <w:sz w:val="22"/>
          <w:szCs w:val="22"/>
        </w:rPr>
        <w:t xml:space="preserve">REST API (free, rate-limited 600 req/5min); XML Gateway (legacy); Streaming API for real-time updates</w:t>
      </w:r>
    </w:p>
    <w:p>
      <w:pPr>
        <w:spacing w:after="80"/>
      </w:pPr>
      <w:r>
        <w:rPr>
          <w:rFonts w:ascii="Arial" w:cs="Arial" w:eastAsia="Arial" w:hAnsi="Arial"/>
          <w:b/>
          <w:bCs/>
          <w:sz w:val="22"/>
          <w:szCs w:val="22"/>
        </w:rPr>
        <w:t xml:space="preserve">Data Format: </w:t>
      </w:r>
      <w:r>
        <w:rPr>
          <w:rFonts w:ascii="Arial" w:cs="Arial" w:eastAsia="Arial" w:hAnsi="Arial"/>
          <w:sz w:val="22"/>
          <w:szCs w:val="22"/>
        </w:rPr>
        <w:t xml:space="preserve">JSON (primary), RDF, XML, CSV, YAML</w:t>
      </w:r>
    </w:p>
    <w:p>
      <w:pPr>
        <w:spacing w:after="80"/>
      </w:pPr>
      <w:r>
        <w:rPr>
          <w:rFonts w:ascii="Arial" w:cs="Arial" w:eastAsia="Arial" w:hAnsi="Arial"/>
          <w:b/>
          <w:bCs/>
          <w:sz w:val="22"/>
          <w:szCs w:val="22"/>
        </w:rPr>
        <w:t xml:space="preserve">Update Frequency: </w:t>
      </w:r>
      <w:r>
        <w:rPr>
          <w:rFonts w:ascii="Arial" w:cs="Arial" w:eastAsia="Arial" w:hAnsi="Arial"/>
          <w:sz w:val="22"/>
          <w:szCs w:val="22"/>
        </w:rPr>
        <w:t xml:space="preserve">Real-time for streaming API; processed data within 2 business days</w:t>
      </w:r>
    </w:p>
    <w:p>
      <w:pPr>
        <w:spacing w:after="80"/>
      </w:pPr>
      <w:r>
        <w:rPr>
          <w:rFonts w:ascii="Arial" w:cs="Arial" w:eastAsia="Arial" w:hAnsi="Arial"/>
          <w:b/>
          <w:bCs/>
          <w:sz w:val="22"/>
          <w:szCs w:val="22"/>
        </w:rPr>
        <w:t xml:space="preserve">Cost: </w:t>
      </w:r>
      <w:r>
        <w:rPr>
          <w:rFonts w:ascii="Arial" w:cs="Arial" w:eastAsia="Arial" w:hAnsi="Arial"/>
          <w:sz w:val="22"/>
          <w:szCs w:val="22"/>
        </w:rPr>
        <w:t xml:space="preserve">Completely free (no fees)</w:t>
      </w:r>
    </w:p>
    <w:p>
      <w:pPr>
        <w:spacing w:after="80"/>
      </w:pPr>
      <w:r>
        <w:rPr>
          <w:rFonts w:ascii="Arial" w:cs="Arial" w:eastAsia="Arial" w:hAnsi="Arial"/>
          <w:b/>
          <w:bCs/>
          <w:sz w:val="22"/>
          <w:szCs w:val="22"/>
        </w:rPr>
        <w:t xml:space="preserve">Language: </w:t>
      </w:r>
      <w:r>
        <w:rPr>
          <w:rFonts w:ascii="Arial" w:cs="Arial" w:eastAsia="Arial" w:hAnsi="Arial"/>
          <w:sz w:val="22"/>
          <w:szCs w:val="22"/>
        </w:rPr>
        <w:t xml:space="preserve">English</w:t>
      </w:r>
    </w:p>
    <w:p>
      <w:pPr>
        <w:spacing w:after="80"/>
      </w:pPr>
      <w:r>
        <w:rPr>
          <w:rFonts w:ascii="Arial" w:cs="Arial" w:eastAsia="Arial" w:hAnsi="Arial"/>
          <w:b/>
          <w:bCs/>
          <w:sz w:val="22"/>
          <w:szCs w:val="22"/>
        </w:rPr>
        <w:t xml:space="preserve">Legal Analysis: </w:t>
      </w:r>
      <w:r>
        <w:rPr>
          <w:rFonts w:ascii="Arial" w:cs="Arial" w:eastAsia="Arial" w:hAnsi="Arial"/>
          <w:sz w:val="22"/>
          <w:szCs w:val="22"/>
        </w:rPr>
        <w:t xml:space="preserve">UK GDPR applies (post-Brexit). PSC data contains personal information. Public register but subject to transparency requirements.</w:t>
      </w:r>
    </w:p>
    <w:p>
      <w:pPr>
        <w:spacing w:after="80"/>
      </w:pPr>
      <w:r>
        <w:rPr>
          <w:rFonts w:ascii="Arial" w:cs="Arial" w:eastAsia="Arial" w:hAnsi="Arial"/>
          <w:b/>
          <w:bCs/>
          <w:sz w:val="22"/>
          <w:szCs w:val="22"/>
        </w:rPr>
        <w:t xml:space="preserve">Technical Complexity: </w:t>
      </w:r>
      <w:r>
        <w:rPr>
          <w:rFonts w:ascii="Arial" w:cs="Arial" w:eastAsia="Arial" w:hAnsi="Arial"/>
          <w:sz w:val="22"/>
          <w:szCs w:val="22"/>
        </w:rPr>
        <w:t xml:space="preserve">Low-Medium (standard REST/JSON, API key authentication, well-documented)</w:t>
      </w:r>
    </w:p>
    <w:p>
      <w:pPr>
        <w:spacing w:after="200"/>
      </w:pPr>
    </w:p>
    <w:p>
      <w:pPr>
        <w:pStyle w:val="Heading3"/>
      </w:pPr>
      <w:r>
        <w:t xml:space="preserve">UKIPO (IP Office)</w:t>
      </w:r>
    </w:p>
    <w:p>
      <w:pPr>
        <w:spacing w:after="80"/>
      </w:pPr>
      <w:r>
        <w:rPr>
          <w:rFonts w:ascii="Arial" w:cs="Arial" w:eastAsia="Arial" w:hAnsi="Arial"/>
          <w:b/>
          <w:bCs/>
          <w:sz w:val="22"/>
          <w:szCs w:val="22"/>
        </w:rPr>
        <w:t xml:space="preserve">URL: </w:t>
      </w:r>
      <w:r>
        <w:rPr>
          <w:rFonts w:ascii="Arial" w:cs="Arial" w:eastAsia="Arial" w:hAnsi="Arial"/>
          <w:sz w:val="22"/>
          <w:szCs w:val="22"/>
        </w:rPr>
        <w:t xml:space="preserve">https://www.ipo.gov.uk/ | Search: https://trademarks.ipo.gov.uk/</w:t>
      </w:r>
    </w:p>
    <w:p>
      <w:pPr>
        <w:spacing w:after="80"/>
      </w:pPr>
      <w:r>
        <w:rPr>
          <w:rFonts w:ascii="Arial" w:cs="Arial" w:eastAsia="Arial" w:hAnsi="Arial"/>
          <w:b/>
          <w:bCs/>
          <w:sz w:val="22"/>
          <w:szCs w:val="22"/>
        </w:rPr>
        <w:t xml:space="preserve">Volume: </w:t>
      </w:r>
      <w:r>
        <w:rPr>
          <w:rFonts w:ascii="Arial" w:cs="Arial" w:eastAsia="Arial" w:hAnsi="Arial"/>
          <w:sz w:val="22"/>
          <w:szCs w:val="22"/>
        </w:rPr>
        <w:t xml:space="preserve">UK patents and trademarks (volume within EPO/EUIPO stats). Specific UK-only volumes not separately published.</w:t>
      </w:r>
    </w:p>
    <w:p>
      <w:pPr>
        <w:spacing w:after="80"/>
      </w:pPr>
      <w:r>
        <w:rPr>
          <w:rFonts w:ascii="Arial" w:cs="Arial" w:eastAsia="Arial" w:hAnsi="Arial"/>
          <w:b/>
          <w:bCs/>
          <w:sz w:val="22"/>
          <w:szCs w:val="22"/>
        </w:rPr>
        <w:t xml:space="preserve">Access Method: </w:t>
      </w:r>
      <w:r>
        <w:rPr>
          <w:rFonts w:ascii="Arial" w:cs="Arial" w:eastAsia="Arial" w:hAnsi="Arial"/>
          <w:sz w:val="22"/>
          <w:szCs w:val="22"/>
        </w:rPr>
        <w:t xml:space="preserve">Web search interface (current). APIs planned for 2026 under One IPO Transformation Programme.</w:t>
      </w:r>
    </w:p>
    <w:p>
      <w:pPr>
        <w:spacing w:after="80"/>
      </w:pPr>
      <w:r>
        <w:rPr>
          <w:rFonts w:ascii="Arial" w:cs="Arial" w:eastAsia="Arial" w:hAnsi="Arial"/>
          <w:b/>
          <w:bCs/>
          <w:sz w:val="22"/>
          <w:szCs w:val="22"/>
        </w:rPr>
        <w:t xml:space="preserve">Data Format: </w:t>
      </w:r>
      <w:r>
        <w:rPr>
          <w:rFonts w:ascii="Arial" w:cs="Arial" w:eastAsia="Arial" w:hAnsi="Arial"/>
          <w:sz w:val="22"/>
          <w:szCs w:val="22"/>
        </w:rPr>
        <w:t xml:space="preserve">Current: web interface only. Planned: JSON/XML APIs (2026)</w:t>
      </w:r>
    </w:p>
    <w:p>
      <w:pPr>
        <w:spacing w:after="80"/>
      </w:pPr>
      <w:r>
        <w:rPr>
          <w:rFonts w:ascii="Arial" w:cs="Arial" w:eastAsia="Arial" w:hAnsi="Arial"/>
          <w:b/>
          <w:bCs/>
          <w:sz w:val="22"/>
          <w:szCs w:val="22"/>
        </w:rPr>
        <w:t xml:space="preserve">Update Frequency: </w:t>
      </w:r>
      <w:r>
        <w:rPr>
          <w:rFonts w:ascii="Arial" w:cs="Arial" w:eastAsia="Arial" w:hAnsi="Arial"/>
          <w:sz w:val="22"/>
          <w:szCs w:val="22"/>
        </w:rPr>
        <w:t xml:space="preserve">Daily web interface updates. Bulk data not yet available.</w:t>
      </w:r>
    </w:p>
    <w:p>
      <w:pPr>
        <w:spacing w:after="80"/>
      </w:pPr>
      <w:r>
        <w:rPr>
          <w:rFonts w:ascii="Arial" w:cs="Arial" w:eastAsia="Arial" w:hAnsi="Arial"/>
          <w:b/>
          <w:bCs/>
          <w:sz w:val="22"/>
          <w:szCs w:val="22"/>
        </w:rPr>
        <w:t xml:space="preserve">Cost: </w:t>
      </w:r>
      <w:r>
        <w:rPr>
          <w:rFonts w:ascii="Arial" w:cs="Arial" w:eastAsia="Arial" w:hAnsi="Arial"/>
          <w:sz w:val="22"/>
          <w:szCs w:val="22"/>
        </w:rPr>
        <w:t xml:space="preserve">Web search: free. Future API pricing: TBD</w:t>
      </w:r>
    </w:p>
    <w:p>
      <w:pPr>
        <w:spacing w:after="80"/>
      </w:pPr>
      <w:r>
        <w:rPr>
          <w:rFonts w:ascii="Arial" w:cs="Arial" w:eastAsia="Arial" w:hAnsi="Arial"/>
          <w:b/>
          <w:bCs/>
          <w:sz w:val="22"/>
          <w:szCs w:val="22"/>
        </w:rPr>
        <w:t xml:space="preserve">Language: </w:t>
      </w:r>
      <w:r>
        <w:rPr>
          <w:rFonts w:ascii="Arial" w:cs="Arial" w:eastAsia="Arial" w:hAnsi="Arial"/>
          <w:sz w:val="22"/>
          <w:szCs w:val="22"/>
        </w:rPr>
        <w:t xml:space="preserve">English</w:t>
      </w:r>
    </w:p>
    <w:p>
      <w:pPr>
        <w:spacing w:after="80"/>
      </w:pPr>
      <w:r>
        <w:rPr>
          <w:rFonts w:ascii="Arial" w:cs="Arial" w:eastAsia="Arial" w:hAnsi="Arial"/>
          <w:b/>
          <w:bCs/>
          <w:sz w:val="22"/>
          <w:szCs w:val="22"/>
        </w:rPr>
        <w:t xml:space="preserve">Legal Analysis: </w:t>
      </w:r>
      <w:r>
        <w:rPr>
          <w:rFonts w:ascii="Arial" w:cs="Arial" w:eastAsia="Arial" w:hAnsi="Arial"/>
          <w:sz w:val="22"/>
          <w:szCs w:val="22"/>
        </w:rPr>
        <w:t xml:space="preserve">UK GDPR applies. Public register with limited personal data exposure.</w:t>
      </w:r>
    </w:p>
    <w:p>
      <w:pPr>
        <w:spacing w:after="80"/>
      </w:pPr>
      <w:r>
        <w:rPr>
          <w:rFonts w:ascii="Arial" w:cs="Arial" w:eastAsia="Arial" w:hAnsi="Arial"/>
          <w:b/>
          <w:bCs/>
          <w:sz w:val="22"/>
          <w:szCs w:val="22"/>
        </w:rPr>
        <w:t xml:space="preserve">Technical Complexity: </w:t>
      </w:r>
      <w:r>
        <w:rPr>
          <w:rFonts w:ascii="Arial" w:cs="Arial" w:eastAsia="Arial" w:hAnsi="Arial"/>
          <w:sz w:val="22"/>
          <w:szCs w:val="22"/>
        </w:rPr>
        <w:t xml:space="preserve">Medium (web scraping currently required; future API will simplify)</w:t>
      </w:r>
    </w:p>
    <w:p>
      <w:pPr>
        <w:spacing w:after="120"/>
      </w:pPr>
      <w:r>
        <w:rPr>
          <w:rFonts w:ascii="Arial" w:cs="Arial" w:eastAsia="Arial" w:hAnsi="Arial"/>
          <w:i/>
          <w:iCs/>
          <w:color w:val="555555"/>
          <w:sz w:val="22"/>
          <w:szCs w:val="22"/>
        </w:rPr>
        <w:t xml:space="preserve">For IP data, EPO OPS API and EUIPO are more mature alternatives with established APIs.</w:t>
      </w:r>
    </w:p>
    <w:p>
      <w:pPr>
        <w:spacing w:after="200"/>
      </w:pPr>
    </w:p>
    <w:p>
      <w:pPr>
        <w:pStyle w:val="Heading3"/>
      </w:pPr>
      <w:r>
        <w:t xml:space="preserve">BAILII (Legal Database)</w:t>
      </w:r>
    </w:p>
    <w:p>
      <w:pPr>
        <w:spacing w:after="80"/>
      </w:pPr>
      <w:r>
        <w:rPr>
          <w:rFonts w:ascii="Arial" w:cs="Arial" w:eastAsia="Arial" w:hAnsi="Arial"/>
          <w:b/>
          <w:bCs/>
          <w:sz w:val="22"/>
          <w:szCs w:val="22"/>
        </w:rPr>
        <w:t xml:space="preserve">URL: </w:t>
      </w:r>
      <w:r>
        <w:rPr>
          <w:rFonts w:ascii="Arial" w:cs="Arial" w:eastAsia="Arial" w:hAnsi="Arial"/>
          <w:sz w:val="22"/>
          <w:szCs w:val="22"/>
        </w:rPr>
        <w:t xml:space="preserve">https://www.bailii.org/</w:t>
      </w:r>
    </w:p>
    <w:p>
      <w:pPr>
        <w:spacing w:after="80"/>
      </w:pPr>
      <w:r>
        <w:rPr>
          <w:rFonts w:ascii="Arial" w:cs="Arial" w:eastAsia="Arial" w:hAnsi="Arial"/>
          <w:b/>
          <w:bCs/>
          <w:sz w:val="22"/>
          <w:szCs w:val="22"/>
        </w:rPr>
        <w:t xml:space="preserve">Volume: </w:t>
      </w:r>
      <w:r>
        <w:rPr>
          <w:rFonts w:ascii="Arial" w:cs="Arial" w:eastAsia="Arial" w:hAnsi="Arial"/>
          <w:sz w:val="22"/>
          <w:szCs w:val="22"/>
        </w:rPr>
        <w:t xml:space="preserve">240,000+ cases indexed (since 1996); covers UK courts, Irish courts, European cases</w:t>
      </w:r>
    </w:p>
    <w:p>
      <w:pPr>
        <w:spacing w:after="80"/>
      </w:pPr>
      <w:r>
        <w:rPr>
          <w:rFonts w:ascii="Arial" w:cs="Arial" w:eastAsia="Arial" w:hAnsi="Arial"/>
          <w:b/>
          <w:bCs/>
          <w:sz w:val="22"/>
          <w:szCs w:val="22"/>
        </w:rPr>
        <w:t xml:space="preserve">Access Method: </w:t>
      </w:r>
      <w:r>
        <w:rPr>
          <w:rFonts w:ascii="Arial" w:cs="Arial" w:eastAsia="Arial" w:hAnsi="Arial"/>
          <w:sz w:val="22"/>
          <w:szCs w:val="22"/>
        </w:rPr>
        <w:t xml:space="preserve">Web search (free). Bulk download NOT permitted (TOS prohibits scraping). No formal API. Oxford University exception granted for AI/NLP research.</w:t>
      </w:r>
    </w:p>
    <w:p>
      <w:pPr>
        <w:spacing w:after="80"/>
      </w:pPr>
      <w:r>
        <w:rPr>
          <w:rFonts w:ascii="Arial" w:cs="Arial" w:eastAsia="Arial" w:hAnsi="Arial"/>
          <w:b/>
          <w:bCs/>
          <w:sz w:val="22"/>
          <w:szCs w:val="22"/>
        </w:rPr>
        <w:t xml:space="preserve">Data Format: </w:t>
      </w:r>
      <w:r>
        <w:rPr>
          <w:rFonts w:ascii="Arial" w:cs="Arial" w:eastAsia="Arial" w:hAnsi="Arial"/>
          <w:sz w:val="22"/>
          <w:szCs w:val="22"/>
        </w:rPr>
        <w:t xml:space="preserve">HTML (web), PDF (downloadable where available). No machine-readable bulk formats.</w:t>
      </w:r>
    </w:p>
    <w:p>
      <w:pPr>
        <w:spacing w:after="80"/>
      </w:pPr>
      <w:r>
        <w:rPr>
          <w:rFonts w:ascii="Arial" w:cs="Arial" w:eastAsia="Arial" w:hAnsi="Arial"/>
          <w:b/>
          <w:bCs/>
          <w:sz w:val="22"/>
          <w:szCs w:val="22"/>
        </w:rPr>
        <w:t xml:space="preserve">Update Frequency: </w:t>
      </w:r>
      <w:r>
        <w:rPr>
          <w:rFonts w:ascii="Arial" w:cs="Arial" w:eastAsia="Arial" w:hAnsi="Arial"/>
          <w:sz w:val="22"/>
          <w:szCs w:val="22"/>
        </w:rPr>
        <w:t xml:space="preserve">Regular updates as judgments published</w:t>
      </w:r>
    </w:p>
    <w:p>
      <w:pPr>
        <w:spacing w:after="80"/>
      </w:pPr>
      <w:r>
        <w:rPr>
          <w:rFonts w:ascii="Arial" w:cs="Arial" w:eastAsia="Arial" w:hAnsi="Arial"/>
          <w:b/>
          <w:bCs/>
          <w:sz w:val="22"/>
          <w:szCs w:val="22"/>
        </w:rPr>
        <w:t xml:space="preserve">Cost: </w:t>
      </w:r>
      <w:r>
        <w:rPr>
          <w:rFonts w:ascii="Arial" w:cs="Arial" w:eastAsia="Arial" w:hAnsi="Arial"/>
          <w:sz w:val="22"/>
          <w:szCs w:val="22"/>
        </w:rPr>
        <w:t xml:space="preserve">Free for web access</w:t>
      </w:r>
    </w:p>
    <w:p>
      <w:pPr>
        <w:spacing w:after="80"/>
      </w:pPr>
      <w:r>
        <w:rPr>
          <w:rFonts w:ascii="Arial" w:cs="Arial" w:eastAsia="Arial" w:hAnsi="Arial"/>
          <w:b/>
          <w:bCs/>
          <w:sz w:val="22"/>
          <w:szCs w:val="22"/>
        </w:rPr>
        <w:t xml:space="preserve">Language: </w:t>
      </w:r>
      <w:r>
        <w:rPr>
          <w:rFonts w:ascii="Arial" w:cs="Arial" w:eastAsia="Arial" w:hAnsi="Arial"/>
          <w:sz w:val="22"/>
          <w:szCs w:val="22"/>
        </w:rPr>
        <w:t xml:space="preserve">English</w:t>
      </w:r>
    </w:p>
    <w:p>
      <w:pPr>
        <w:spacing w:after="80"/>
      </w:pPr>
      <w:r>
        <w:rPr>
          <w:rFonts w:ascii="Arial" w:cs="Arial" w:eastAsia="Arial" w:hAnsi="Arial"/>
          <w:b/>
          <w:bCs/>
          <w:sz w:val="22"/>
          <w:szCs w:val="22"/>
        </w:rPr>
        <w:t xml:space="preserve">Legal Analysis: </w:t>
      </w:r>
      <w:r>
        <w:rPr>
          <w:rFonts w:ascii="Arial" w:cs="Arial" w:eastAsia="Arial" w:hAnsi="Arial"/>
          <w:sz w:val="22"/>
          <w:szCs w:val="22"/>
        </w:rPr>
        <w:t xml:space="preserve">Public domain legal material. UK GDPR applies minimally. Crown copyright for legislation. Re-use must respect BAILII licensing.</w:t>
      </w:r>
    </w:p>
    <w:p>
      <w:pPr>
        <w:spacing w:after="80"/>
      </w:pPr>
      <w:r>
        <w:rPr>
          <w:rFonts w:ascii="Arial" w:cs="Arial" w:eastAsia="Arial" w:hAnsi="Arial"/>
          <w:b/>
          <w:bCs/>
          <w:sz w:val="22"/>
          <w:szCs w:val="22"/>
        </w:rPr>
        <w:t xml:space="preserve">Technical Complexity: </w:t>
      </w:r>
      <w:r>
        <w:rPr>
          <w:rFonts w:ascii="Arial" w:cs="Arial" w:eastAsia="Arial" w:hAnsi="Arial"/>
          <w:sz w:val="22"/>
          <w:szCs w:val="22"/>
        </w:rPr>
        <w:t xml:space="preserve">Medium (no API; scraping prohibited)</w:t>
      </w:r>
    </w:p>
    <w:p>
      <w:pPr>
        <w:spacing w:after="200"/>
      </w:pPr>
    </w:p>
    <w:p>
      <w:pPr>
        <w:pStyle w:val="Heading3"/>
      </w:pPr>
      <w:r>
        <w:t xml:space="preserve">FCA (Financial Conduct Authority) Register</w:t>
      </w:r>
    </w:p>
    <w:p>
      <w:pPr>
        <w:spacing w:after="80"/>
      </w:pPr>
      <w:r>
        <w:rPr>
          <w:rFonts w:ascii="Arial" w:cs="Arial" w:eastAsia="Arial" w:hAnsi="Arial"/>
          <w:b/>
          <w:bCs/>
          <w:sz w:val="22"/>
          <w:szCs w:val="22"/>
        </w:rPr>
        <w:t xml:space="preserve">URL: </w:t>
      </w:r>
      <w:r>
        <w:rPr>
          <w:rFonts w:ascii="Arial" w:cs="Arial" w:eastAsia="Arial" w:hAnsi="Arial"/>
          <w:sz w:val="22"/>
          <w:szCs w:val="22"/>
        </w:rPr>
        <w:t xml:space="preserve">https://register.fca.org.uk/s/ | Data Extract: https://www.fca.org.uk/firms/financial-services-register/data-extract</w:t>
      </w:r>
    </w:p>
    <w:p>
      <w:pPr>
        <w:spacing w:after="80"/>
      </w:pPr>
      <w:r>
        <w:rPr>
          <w:rFonts w:ascii="Arial" w:cs="Arial" w:eastAsia="Arial" w:hAnsi="Arial"/>
          <w:b/>
          <w:bCs/>
          <w:sz w:val="22"/>
          <w:szCs w:val="22"/>
        </w:rPr>
        <w:t xml:space="preserve">Volume: </w:t>
      </w:r>
      <w:r>
        <w:rPr>
          <w:rFonts w:ascii="Arial" w:cs="Arial" w:eastAsia="Arial" w:hAnsi="Arial"/>
          <w:sz w:val="22"/>
          <w:szCs w:val="22"/>
        </w:rPr>
        <w:t xml:space="preserve">Thousands of regulated firms; individuals and appointed representatives</w:t>
      </w:r>
    </w:p>
    <w:p>
      <w:pPr>
        <w:spacing w:after="80"/>
      </w:pPr>
      <w:r>
        <w:rPr>
          <w:rFonts w:ascii="Arial" w:cs="Arial" w:eastAsia="Arial" w:hAnsi="Arial"/>
          <w:b/>
          <w:bCs/>
          <w:sz w:val="22"/>
          <w:szCs w:val="22"/>
        </w:rPr>
        <w:t xml:space="preserve">Access Method: </w:t>
      </w:r>
      <w:r>
        <w:rPr>
          <w:rFonts w:ascii="Arial" w:cs="Arial" w:eastAsia="Arial" w:hAnsi="Arial"/>
          <w:sz w:val="22"/>
          <w:szCs w:val="22"/>
        </w:rPr>
        <w:t xml:space="preserve">Free online search; FS Register API (free, no SLA); Register Extract Service (RES) for paid bulk extracts</w:t>
      </w:r>
    </w:p>
    <w:p>
      <w:pPr>
        <w:spacing w:after="80"/>
      </w:pPr>
      <w:r>
        <w:rPr>
          <w:rFonts w:ascii="Arial" w:cs="Arial" w:eastAsia="Arial" w:hAnsi="Arial"/>
          <w:b/>
          <w:bCs/>
          <w:sz w:val="22"/>
          <w:szCs w:val="22"/>
        </w:rPr>
        <w:t xml:space="preserve">Data Format: </w:t>
      </w:r>
      <w:r>
        <w:rPr>
          <w:rFonts w:ascii="Arial" w:cs="Arial" w:eastAsia="Arial" w:hAnsi="Arial"/>
          <w:sz w:val="22"/>
          <w:szCs w:val="22"/>
        </w:rPr>
        <w:t xml:space="preserve">API: JSON. RES: CSV, XML, DBF, pipe-delimited, tape format.</w:t>
      </w:r>
    </w:p>
    <w:p>
      <w:pPr>
        <w:spacing w:after="80"/>
      </w:pPr>
      <w:r>
        <w:rPr>
          <w:rFonts w:ascii="Arial" w:cs="Arial" w:eastAsia="Arial" w:hAnsi="Arial"/>
          <w:b/>
          <w:bCs/>
          <w:sz w:val="22"/>
          <w:szCs w:val="22"/>
        </w:rPr>
        <w:t xml:space="preserve">Update Frequency: </w:t>
      </w:r>
      <w:r>
        <w:rPr>
          <w:rFonts w:ascii="Arial" w:cs="Arial" w:eastAsia="Arial" w:hAnsi="Arial"/>
          <w:sz w:val="22"/>
          <w:szCs w:val="22"/>
        </w:rPr>
        <w:t xml:space="preserve">Real-time web updates. RES: one-off or scheduled weekly.</w:t>
      </w:r>
    </w:p>
    <w:p>
      <w:pPr>
        <w:spacing w:after="80"/>
      </w:pPr>
      <w:r>
        <w:rPr>
          <w:rFonts w:ascii="Arial" w:cs="Arial" w:eastAsia="Arial" w:hAnsi="Arial"/>
          <w:b/>
          <w:bCs/>
          <w:sz w:val="22"/>
          <w:szCs w:val="22"/>
        </w:rPr>
        <w:t xml:space="preserve">Cost: </w:t>
      </w:r>
      <w:r>
        <w:rPr>
          <w:rFonts w:ascii="Arial" w:cs="Arial" w:eastAsia="Arial" w:hAnsi="Arial"/>
          <w:sz w:val="22"/>
          <w:szCs w:val="22"/>
        </w:rPr>
        <w:t xml:space="preserve">Free online search and API. RES one-off: GBP 11,125+VAT. Weekly subscription: GBP 19,881+VAT.</w:t>
      </w:r>
    </w:p>
    <w:p>
      <w:pPr>
        <w:spacing w:after="80"/>
      </w:pPr>
      <w:r>
        <w:rPr>
          <w:rFonts w:ascii="Arial" w:cs="Arial" w:eastAsia="Arial" w:hAnsi="Arial"/>
          <w:b/>
          <w:bCs/>
          <w:sz w:val="22"/>
          <w:szCs w:val="22"/>
        </w:rPr>
        <w:t xml:space="preserve">Language: </w:t>
      </w:r>
      <w:r>
        <w:rPr>
          <w:rFonts w:ascii="Arial" w:cs="Arial" w:eastAsia="Arial" w:hAnsi="Arial"/>
          <w:sz w:val="22"/>
          <w:szCs w:val="22"/>
        </w:rPr>
        <w:t xml:space="preserve">English</w:t>
      </w:r>
    </w:p>
    <w:p>
      <w:pPr>
        <w:spacing w:after="80"/>
      </w:pPr>
      <w:r>
        <w:rPr>
          <w:rFonts w:ascii="Arial" w:cs="Arial" w:eastAsia="Arial" w:hAnsi="Arial"/>
          <w:b/>
          <w:bCs/>
          <w:sz w:val="22"/>
          <w:szCs w:val="22"/>
        </w:rPr>
        <w:t xml:space="preserve">Legal Analysis: </w:t>
      </w:r>
      <w:r>
        <w:rPr>
          <w:rFonts w:ascii="Arial" w:cs="Arial" w:eastAsia="Arial" w:hAnsi="Arial"/>
          <w:sz w:val="22"/>
          <w:szCs w:val="22"/>
        </w:rPr>
        <w:t xml:space="preserve">UK GDPR applies. Contains personal data (names, limited DOB). Legitimate interest basis typically applies.</w:t>
      </w:r>
    </w:p>
    <w:p>
      <w:pPr>
        <w:spacing w:after="80"/>
      </w:pPr>
      <w:r>
        <w:rPr>
          <w:rFonts w:ascii="Arial" w:cs="Arial" w:eastAsia="Arial" w:hAnsi="Arial"/>
          <w:b/>
          <w:bCs/>
          <w:sz w:val="22"/>
          <w:szCs w:val="22"/>
        </w:rPr>
        <w:t xml:space="preserve">Technical Complexity: </w:t>
      </w:r>
      <w:r>
        <w:rPr>
          <w:rFonts w:ascii="Arial" w:cs="Arial" w:eastAsia="Arial" w:hAnsi="Arial"/>
          <w:sz w:val="22"/>
          <w:szCs w:val="22"/>
        </w:rPr>
        <w:t xml:space="preserve">Low-Medium (REST API, registration required; multiple formats available)</w:t>
      </w:r>
    </w:p>
    <w:p>
      <w:pPr>
        <w:spacing w:after="200"/>
      </w:pPr>
    </w:p>
    <w:p>
      <w:pPr>
        <w:pStyle w:val="Heading2"/>
      </w:pPr>
      <w:r>
        <w:t xml:space="preserve">European Union</w:t>
      </w:r>
    </w:p>
    <w:p>
      <w:pPr>
        <w:pStyle w:val="Heading3"/>
      </w:pPr>
      <w:r>
        <w:t xml:space="preserve">EUIPO (EU Trade Marks/Designs)</w:t>
      </w:r>
    </w:p>
    <w:p>
      <w:pPr>
        <w:spacing w:after="80"/>
      </w:pPr>
      <w:r>
        <w:rPr>
          <w:rFonts w:ascii="Arial" w:cs="Arial" w:eastAsia="Arial" w:hAnsi="Arial"/>
          <w:b/>
          <w:bCs/>
          <w:sz w:val="22"/>
          <w:szCs w:val="22"/>
        </w:rPr>
        <w:t xml:space="preserve">URL: </w:t>
      </w:r>
      <w:r>
        <w:rPr>
          <w:rFonts w:ascii="Arial" w:cs="Arial" w:eastAsia="Arial" w:hAnsi="Arial"/>
          <w:sz w:val="22"/>
          <w:szCs w:val="22"/>
        </w:rPr>
        <w:t xml:space="preserve">https://www.euipo.europa.eu/en | API Portal: https://dev.euipo.europa.eu/</w:t>
      </w:r>
    </w:p>
    <w:p>
      <w:pPr>
        <w:spacing w:after="80"/>
      </w:pPr>
      <w:r>
        <w:rPr>
          <w:rFonts w:ascii="Arial" w:cs="Arial" w:eastAsia="Arial" w:hAnsi="Arial"/>
          <w:b/>
          <w:bCs/>
          <w:sz w:val="22"/>
          <w:szCs w:val="22"/>
        </w:rPr>
        <w:t xml:space="preserve">Volume: </w:t>
      </w:r>
      <w:r>
        <w:rPr>
          <w:rFonts w:ascii="Arial" w:cs="Arial" w:eastAsia="Arial" w:hAnsi="Arial"/>
          <w:sz w:val="22"/>
          <w:szCs w:val="22"/>
        </w:rPr>
        <w:t xml:space="preserve">196,886 EUTM applications (2025, +9.1%); 130,849 design applications (2025, +6%); 5M+ total filed since 1996</w:t>
      </w:r>
    </w:p>
    <w:p>
      <w:pPr>
        <w:spacing w:after="80"/>
      </w:pPr>
      <w:r>
        <w:rPr>
          <w:rFonts w:ascii="Arial" w:cs="Arial" w:eastAsia="Arial" w:hAnsi="Arial"/>
          <w:b/>
          <w:bCs/>
          <w:sz w:val="22"/>
          <w:szCs w:val="22"/>
        </w:rPr>
        <w:t xml:space="preserve">Access Method: </w:t>
      </w:r>
      <w:r>
        <w:rPr>
          <w:rFonts w:ascii="Arial" w:cs="Arial" w:eastAsia="Arial" w:hAnsi="Arial"/>
          <w:sz w:val="22"/>
          <w:szCs w:val="22"/>
        </w:rPr>
        <w:t xml:space="preserve">REST API via API Portal; Sandbox for testing; Web search (free). APIs: Trademark Search, Design Search, TMClass, DSClass, Me API v1.1</w:t>
      </w:r>
    </w:p>
    <w:p>
      <w:pPr>
        <w:spacing w:after="80"/>
      </w:pPr>
      <w:r>
        <w:rPr>
          <w:rFonts w:ascii="Arial" w:cs="Arial" w:eastAsia="Arial" w:hAnsi="Arial"/>
          <w:b/>
          <w:bCs/>
          <w:sz w:val="22"/>
          <w:szCs w:val="22"/>
        </w:rPr>
        <w:t xml:space="preserve">Data Format: </w:t>
      </w:r>
      <w:r>
        <w:rPr>
          <w:rFonts w:ascii="Arial" w:cs="Arial" w:eastAsia="Arial" w:hAnsi="Arial"/>
          <w:sz w:val="22"/>
          <w:szCs w:val="22"/>
        </w:rPr>
        <w:t xml:space="preserve">JSON (REST API). OpenAPI specifications provided.</w:t>
      </w:r>
    </w:p>
    <w:p>
      <w:pPr>
        <w:spacing w:after="80"/>
      </w:pPr>
      <w:r>
        <w:rPr>
          <w:rFonts w:ascii="Arial" w:cs="Arial" w:eastAsia="Arial" w:hAnsi="Arial"/>
          <w:b/>
          <w:bCs/>
          <w:sz w:val="22"/>
          <w:szCs w:val="22"/>
        </w:rPr>
        <w:t xml:space="preserve">Update Frequency: </w:t>
      </w:r>
      <w:r>
        <w:rPr>
          <w:rFonts w:ascii="Arial" w:cs="Arial" w:eastAsia="Arial" w:hAnsi="Arial"/>
          <w:sz w:val="22"/>
          <w:szCs w:val="22"/>
        </w:rPr>
        <w:t xml:space="preserve">Real-time for search APIs; applications indexed within days of filing</w:t>
      </w:r>
    </w:p>
    <w:p>
      <w:pPr>
        <w:spacing w:after="80"/>
      </w:pPr>
      <w:r>
        <w:rPr>
          <w:rFonts w:ascii="Arial" w:cs="Arial" w:eastAsia="Arial" w:hAnsi="Arial"/>
          <w:b/>
          <w:bCs/>
          <w:sz w:val="22"/>
          <w:szCs w:val="22"/>
        </w:rPr>
        <w:t xml:space="preserve">Cost: </w:t>
      </w:r>
      <w:r>
        <w:rPr>
          <w:rFonts w:ascii="Arial" w:cs="Arial" w:eastAsia="Arial" w:hAnsi="Arial"/>
          <w:sz w:val="22"/>
          <w:szCs w:val="22"/>
        </w:rPr>
        <w:t xml:space="preserve">Web search: free. APIs: subscription-based (pricing varies by API/usage tier). Sandbox: free.</w:t>
      </w:r>
    </w:p>
    <w:p>
      <w:pPr>
        <w:spacing w:after="80"/>
      </w:pPr>
      <w:r>
        <w:rPr>
          <w:rFonts w:ascii="Arial" w:cs="Arial" w:eastAsia="Arial" w:hAnsi="Arial"/>
          <w:b/>
          <w:bCs/>
          <w:sz w:val="22"/>
          <w:szCs w:val="22"/>
        </w:rPr>
        <w:t xml:space="preserve">Language: </w:t>
      </w:r>
      <w:r>
        <w:rPr>
          <w:rFonts w:ascii="Arial" w:cs="Arial" w:eastAsia="Arial" w:hAnsi="Arial"/>
          <w:sz w:val="22"/>
          <w:szCs w:val="22"/>
        </w:rPr>
        <w:t xml:space="preserve">24 official EU languages. API docs in English.</w:t>
      </w:r>
    </w:p>
    <w:p>
      <w:pPr>
        <w:spacing w:after="80"/>
      </w:pPr>
      <w:r>
        <w:rPr>
          <w:rFonts w:ascii="Arial" w:cs="Arial" w:eastAsia="Arial" w:hAnsi="Arial"/>
          <w:b/>
          <w:bCs/>
          <w:sz w:val="22"/>
          <w:szCs w:val="22"/>
        </w:rPr>
        <w:t xml:space="preserve">Legal Analysis: </w:t>
      </w:r>
      <w:r>
        <w:rPr>
          <w:rFonts w:ascii="Arial" w:cs="Arial" w:eastAsia="Arial" w:hAnsi="Arial"/>
          <w:sz w:val="22"/>
          <w:szCs w:val="22"/>
        </w:rPr>
        <w:t xml:space="preserve">EU GDPR applies. Applicant/proprietor personal data protected. Public register with limited PII visibility.</w:t>
      </w:r>
    </w:p>
    <w:p>
      <w:pPr>
        <w:spacing w:after="80"/>
      </w:pPr>
      <w:r>
        <w:rPr>
          <w:rFonts w:ascii="Arial" w:cs="Arial" w:eastAsia="Arial" w:hAnsi="Arial"/>
          <w:b/>
          <w:bCs/>
          <w:sz w:val="22"/>
          <w:szCs w:val="22"/>
        </w:rPr>
        <w:t xml:space="preserve">Technical Complexity: </w:t>
      </w:r>
      <w:r>
        <w:rPr>
          <w:rFonts w:ascii="Arial" w:cs="Arial" w:eastAsia="Arial" w:hAnsi="Arial"/>
          <w:sz w:val="22"/>
          <w:szCs w:val="22"/>
        </w:rPr>
        <w:t xml:space="preserve">Medium (OAuth2 authentication; RESTful; sandbox available)</w:t>
      </w:r>
    </w:p>
    <w:p>
      <w:pPr>
        <w:spacing w:after="200"/>
      </w:pPr>
    </w:p>
    <w:p>
      <w:pPr>
        <w:pStyle w:val="Heading3"/>
      </w:pPr>
      <w:r>
        <w:t xml:space="preserve">EPO (European Patent Office)</w:t>
      </w:r>
    </w:p>
    <w:p>
      <w:pPr>
        <w:spacing w:after="80"/>
      </w:pPr>
      <w:r>
        <w:rPr>
          <w:rFonts w:ascii="Arial" w:cs="Arial" w:eastAsia="Arial" w:hAnsi="Arial"/>
          <w:b/>
          <w:bCs/>
          <w:sz w:val="22"/>
          <w:szCs w:val="22"/>
        </w:rPr>
        <w:t xml:space="preserve">URL: </w:t>
      </w:r>
      <w:r>
        <w:rPr>
          <w:rFonts w:ascii="Arial" w:cs="Arial" w:eastAsia="Arial" w:hAnsi="Arial"/>
          <w:sz w:val="22"/>
          <w:szCs w:val="22"/>
        </w:rPr>
        <w:t xml:space="preserve">https://www.epo.org/ | OPS API: https://developers.epo.org/</w:t>
      </w:r>
    </w:p>
    <w:p>
      <w:pPr>
        <w:spacing w:after="80"/>
      </w:pPr>
      <w:r>
        <w:rPr>
          <w:rFonts w:ascii="Arial" w:cs="Arial" w:eastAsia="Arial" w:hAnsi="Arial"/>
          <w:b/>
          <w:bCs/>
          <w:sz w:val="22"/>
          <w:szCs w:val="22"/>
        </w:rPr>
        <w:t xml:space="preserve">Volume: </w:t>
      </w:r>
      <w:r>
        <w:rPr>
          <w:rFonts w:ascii="Arial" w:cs="Arial" w:eastAsia="Arial" w:hAnsi="Arial"/>
          <w:sz w:val="22"/>
          <w:szCs w:val="22"/>
        </w:rPr>
        <w:t xml:space="preserve">199,264 filings (2024); multi-million patents from 100+ offices worldwide indexed</w:t>
      </w:r>
    </w:p>
    <w:p>
      <w:pPr>
        <w:spacing w:after="80"/>
      </w:pPr>
      <w:r>
        <w:rPr>
          <w:rFonts w:ascii="Arial" w:cs="Arial" w:eastAsia="Arial" w:hAnsi="Arial"/>
          <w:b/>
          <w:bCs/>
          <w:sz w:val="22"/>
          <w:szCs w:val="22"/>
        </w:rPr>
        <w:t xml:space="preserve">Access Method: </w:t>
      </w:r>
      <w:r>
        <w:rPr>
          <w:rFonts w:ascii="Arial" w:cs="Arial" w:eastAsia="Arial" w:hAnsi="Arial"/>
          <w:sz w:val="22"/>
          <w:szCs w:val="22"/>
        </w:rPr>
        <w:t xml:space="preserve">OPS v3.2 REST API (OAuth2); Espacenet web search (free); Bulk download via third parties</w:t>
      </w:r>
    </w:p>
    <w:p>
      <w:pPr>
        <w:spacing w:after="80"/>
      </w:pPr>
      <w:r>
        <w:rPr>
          <w:rFonts w:ascii="Arial" w:cs="Arial" w:eastAsia="Arial" w:hAnsi="Arial"/>
          <w:b/>
          <w:bCs/>
          <w:sz w:val="22"/>
          <w:szCs w:val="22"/>
        </w:rPr>
        <w:t xml:space="preserve">Data Format: </w:t>
      </w:r>
      <w:r>
        <w:rPr>
          <w:rFonts w:ascii="Arial" w:cs="Arial" w:eastAsia="Arial" w:hAnsi="Arial"/>
          <w:sz w:val="22"/>
          <w:szCs w:val="22"/>
        </w:rPr>
        <w:t xml:space="preserve">JSON (primary), XML, CSV</w:t>
      </w:r>
    </w:p>
    <w:p>
      <w:pPr>
        <w:spacing w:after="80"/>
      </w:pPr>
      <w:r>
        <w:rPr>
          <w:rFonts w:ascii="Arial" w:cs="Arial" w:eastAsia="Arial" w:hAnsi="Arial"/>
          <w:b/>
          <w:bCs/>
          <w:sz w:val="22"/>
          <w:szCs w:val="22"/>
        </w:rPr>
        <w:t xml:space="preserve">Update Frequency: </w:t>
      </w:r>
      <w:r>
        <w:rPr>
          <w:rFonts w:ascii="Arial" w:cs="Arial" w:eastAsia="Arial" w:hAnsi="Arial"/>
          <w:sz w:val="22"/>
          <w:szCs w:val="22"/>
        </w:rPr>
        <w:t xml:space="preserve">Real-time indexing from contributing offices; weekly from major offices</w:t>
      </w:r>
    </w:p>
    <w:p>
      <w:pPr>
        <w:spacing w:after="80"/>
      </w:pPr>
      <w:r>
        <w:rPr>
          <w:rFonts w:ascii="Arial" w:cs="Arial" w:eastAsia="Arial" w:hAnsi="Arial"/>
          <w:b/>
          <w:bCs/>
          <w:sz w:val="22"/>
          <w:szCs w:val="22"/>
        </w:rPr>
        <w:t xml:space="preserve">Cost: </w:t>
      </w:r>
      <w:r>
        <w:rPr>
          <w:rFonts w:ascii="Arial" w:cs="Arial" w:eastAsia="Arial" w:hAnsi="Arial"/>
          <w:sz w:val="22"/>
          <w:szCs w:val="22"/>
        </w:rPr>
        <w:t xml:space="preserve">OPS API: free (fair use quotas). Registration: free at developers.epo.org.</w:t>
      </w:r>
    </w:p>
    <w:p>
      <w:pPr>
        <w:spacing w:after="80"/>
      </w:pPr>
      <w:r>
        <w:rPr>
          <w:rFonts w:ascii="Arial" w:cs="Arial" w:eastAsia="Arial" w:hAnsi="Arial"/>
          <w:b/>
          <w:bCs/>
          <w:sz w:val="22"/>
          <w:szCs w:val="22"/>
        </w:rPr>
        <w:t xml:space="preserve">Language: </w:t>
      </w:r>
      <w:r>
        <w:rPr>
          <w:rFonts w:ascii="Arial" w:cs="Arial" w:eastAsia="Arial" w:hAnsi="Arial"/>
          <w:sz w:val="22"/>
          <w:szCs w:val="22"/>
        </w:rPr>
        <w:t xml:space="preserve">English (default); multilingual search support</w:t>
      </w:r>
    </w:p>
    <w:p>
      <w:pPr>
        <w:spacing w:after="80"/>
      </w:pPr>
      <w:r>
        <w:rPr>
          <w:rFonts w:ascii="Arial" w:cs="Arial" w:eastAsia="Arial" w:hAnsi="Arial"/>
          <w:b/>
          <w:bCs/>
          <w:sz w:val="22"/>
          <w:szCs w:val="22"/>
        </w:rPr>
        <w:t xml:space="preserve">Legal Analysis: </w:t>
      </w:r>
      <w:r>
        <w:rPr>
          <w:rFonts w:ascii="Arial" w:cs="Arial" w:eastAsia="Arial" w:hAnsi="Arial"/>
          <w:sz w:val="22"/>
          <w:szCs w:val="22"/>
        </w:rPr>
        <w:t xml:space="preserve">EU GDPR applies. Inventor names subject to GDPR. Public patent data with personal information. Right to privacy in certain cases.</w:t>
      </w:r>
    </w:p>
    <w:p>
      <w:pPr>
        <w:spacing w:after="80"/>
      </w:pPr>
      <w:r>
        <w:rPr>
          <w:rFonts w:ascii="Arial" w:cs="Arial" w:eastAsia="Arial" w:hAnsi="Arial"/>
          <w:b/>
          <w:bCs/>
          <w:sz w:val="22"/>
          <w:szCs w:val="22"/>
        </w:rPr>
        <w:t xml:space="preserve">Technical Complexity: </w:t>
      </w:r>
      <w:r>
        <w:rPr>
          <w:rFonts w:ascii="Arial" w:cs="Arial" w:eastAsia="Arial" w:hAnsi="Arial"/>
          <w:sz w:val="22"/>
          <w:szCs w:val="22"/>
        </w:rPr>
        <w:t xml:space="preserve">Medium-High (OAuth2, CQL query language, access token management). Client libraries: Python, Go, Ruby, R, JavaScript.</w:t>
      </w:r>
    </w:p>
    <w:p>
      <w:pPr>
        <w:spacing w:after="200"/>
      </w:pPr>
    </w:p>
    <w:p>
      <w:pPr>
        <w:pStyle w:val="Heading3"/>
      </w:pPr>
      <w:r>
        <w:t xml:space="preserve">EUR-Lex (EU Legislation and Case Law)</w:t>
      </w:r>
    </w:p>
    <w:p>
      <w:pPr>
        <w:spacing w:after="80"/>
      </w:pPr>
      <w:r>
        <w:rPr>
          <w:rFonts w:ascii="Arial" w:cs="Arial" w:eastAsia="Arial" w:hAnsi="Arial"/>
          <w:b/>
          <w:bCs/>
          <w:sz w:val="22"/>
          <w:szCs w:val="22"/>
        </w:rPr>
        <w:t xml:space="preserve">URL: </w:t>
      </w:r>
      <w:r>
        <w:rPr>
          <w:rFonts w:ascii="Arial" w:cs="Arial" w:eastAsia="Arial" w:hAnsi="Arial"/>
          <w:sz w:val="22"/>
          <w:szCs w:val="22"/>
        </w:rPr>
        <w:t xml:space="preserve">https://eur-lex.europa.eu/ | SPARQL: https://publications.europa.eu/webapi/rdf/sparql | CELLAR: https://op.europa.eu/en/web/cellar/cellar-data</w:t>
      </w:r>
    </w:p>
    <w:p>
      <w:pPr>
        <w:spacing w:after="80"/>
      </w:pPr>
      <w:r>
        <w:rPr>
          <w:rFonts w:ascii="Arial" w:cs="Arial" w:eastAsia="Arial" w:hAnsi="Arial"/>
          <w:b/>
          <w:bCs/>
          <w:sz w:val="22"/>
          <w:szCs w:val="22"/>
        </w:rPr>
        <w:t xml:space="preserve">Volume: </w:t>
      </w:r>
      <w:r>
        <w:rPr>
          <w:rFonts w:ascii="Arial" w:cs="Arial" w:eastAsia="Arial" w:hAnsi="Arial"/>
          <w:sz w:val="22"/>
          <w:szCs w:val="22"/>
        </w:rPr>
        <w:t xml:space="preserve">Thousands of consolidated acts/directives/regulations; 20,000+ CJEU decisions; hundreds of thousands of national case law references</w:t>
      </w:r>
    </w:p>
    <w:p>
      <w:pPr>
        <w:spacing w:after="80"/>
      </w:pPr>
      <w:r>
        <w:rPr>
          <w:rFonts w:ascii="Arial" w:cs="Arial" w:eastAsia="Arial" w:hAnsi="Arial"/>
          <w:b/>
          <w:bCs/>
          <w:sz w:val="22"/>
          <w:szCs w:val="22"/>
        </w:rPr>
        <w:t xml:space="preserve">Access Method: </w:t>
      </w:r>
      <w:r>
        <w:rPr>
          <w:rFonts w:ascii="Arial" w:cs="Arial" w:eastAsia="Arial" w:hAnsi="Arial"/>
          <w:sz w:val="22"/>
          <w:szCs w:val="22"/>
        </w:rPr>
        <w:t xml:space="preserve">Web search (free); SPARQL queries via CELLAR; RESTful API; RSS/Atom feeds</w:t>
      </w:r>
    </w:p>
    <w:p>
      <w:pPr>
        <w:spacing w:after="80"/>
      </w:pPr>
      <w:r>
        <w:rPr>
          <w:rFonts w:ascii="Arial" w:cs="Arial" w:eastAsia="Arial" w:hAnsi="Arial"/>
          <w:b/>
          <w:bCs/>
          <w:sz w:val="22"/>
          <w:szCs w:val="22"/>
        </w:rPr>
        <w:t xml:space="preserve">Data Format: </w:t>
      </w:r>
      <w:r>
        <w:rPr>
          <w:rFonts w:ascii="Arial" w:cs="Arial" w:eastAsia="Arial" w:hAnsi="Arial"/>
          <w:sz w:val="22"/>
          <w:szCs w:val="22"/>
        </w:rPr>
        <w:t xml:space="preserve">RDF (primary), XML, JSON, HTML. Semantic model: CDM (Common Data Model, FRBR-compliant OWL ontology).</w:t>
      </w:r>
    </w:p>
    <w:p>
      <w:pPr>
        <w:spacing w:after="80"/>
      </w:pPr>
      <w:r>
        <w:rPr>
          <w:rFonts w:ascii="Arial" w:cs="Arial" w:eastAsia="Arial" w:hAnsi="Arial"/>
          <w:b/>
          <w:bCs/>
          <w:sz w:val="22"/>
          <w:szCs w:val="22"/>
        </w:rPr>
        <w:t xml:space="preserve">Update Frequency: </w:t>
      </w:r>
      <w:r>
        <w:rPr>
          <w:rFonts w:ascii="Arial" w:cs="Arial" w:eastAsia="Arial" w:hAnsi="Arial"/>
          <w:sz w:val="22"/>
          <w:szCs w:val="22"/>
        </w:rPr>
        <w:t xml:space="preserve">Real-time for official journal. SPARQL index regularly updated.</w:t>
      </w:r>
    </w:p>
    <w:p>
      <w:pPr>
        <w:spacing w:after="80"/>
      </w:pPr>
      <w:r>
        <w:rPr>
          <w:rFonts w:ascii="Arial" w:cs="Arial" w:eastAsia="Arial" w:hAnsi="Arial"/>
          <w:b/>
          <w:bCs/>
          <w:sz w:val="22"/>
          <w:szCs w:val="22"/>
        </w:rPr>
        <w:t xml:space="preserve">Cost: </w:t>
      </w:r>
      <w:r>
        <w:rPr>
          <w:rFonts w:ascii="Arial" w:cs="Arial" w:eastAsia="Arial" w:hAnsi="Arial"/>
          <w:sz w:val="22"/>
          <w:szCs w:val="22"/>
        </w:rPr>
        <w:t xml:space="preserve">Free (all access methods)</w:t>
      </w:r>
    </w:p>
    <w:p>
      <w:pPr>
        <w:spacing w:after="80"/>
      </w:pPr>
      <w:r>
        <w:rPr>
          <w:rFonts w:ascii="Arial" w:cs="Arial" w:eastAsia="Arial" w:hAnsi="Arial"/>
          <w:b/>
          <w:bCs/>
          <w:sz w:val="22"/>
          <w:szCs w:val="22"/>
        </w:rPr>
        <w:t xml:space="preserve">Language: </w:t>
      </w:r>
      <w:r>
        <w:rPr>
          <w:rFonts w:ascii="Arial" w:cs="Arial" w:eastAsia="Arial" w:hAnsi="Arial"/>
          <w:sz w:val="22"/>
          <w:szCs w:val="22"/>
        </w:rPr>
        <w:t xml:space="preserve">All 24 official EU languages</w:t>
      </w:r>
    </w:p>
    <w:p>
      <w:pPr>
        <w:spacing w:after="80"/>
      </w:pPr>
      <w:r>
        <w:rPr>
          <w:rFonts w:ascii="Arial" w:cs="Arial" w:eastAsia="Arial" w:hAnsi="Arial"/>
          <w:b/>
          <w:bCs/>
          <w:sz w:val="22"/>
          <w:szCs w:val="22"/>
        </w:rPr>
        <w:t xml:space="preserve">Legal Analysis: </w:t>
      </w:r>
      <w:r>
        <w:rPr>
          <w:rFonts w:ascii="Arial" w:cs="Arial" w:eastAsia="Arial" w:hAnsi="Arial"/>
          <w:sz w:val="22"/>
          <w:szCs w:val="22"/>
        </w:rPr>
        <w:t xml:space="preserve">Official EU legislation (public domain). No GDPR concerns for legislation. National case law subject to respective national laws.</w:t>
      </w:r>
    </w:p>
    <w:p>
      <w:pPr>
        <w:spacing w:after="80"/>
      </w:pPr>
      <w:r>
        <w:rPr>
          <w:rFonts w:ascii="Arial" w:cs="Arial" w:eastAsia="Arial" w:hAnsi="Arial"/>
          <w:b/>
          <w:bCs/>
          <w:sz w:val="22"/>
          <w:szCs w:val="22"/>
        </w:rPr>
        <w:t xml:space="preserve">Technical Complexity: </w:t>
      </w:r>
      <w:r>
        <w:rPr>
          <w:rFonts w:ascii="Arial" w:cs="Arial" w:eastAsia="Arial" w:hAnsi="Arial"/>
          <w:sz w:val="22"/>
          <w:szCs w:val="22"/>
        </w:rPr>
        <w:t xml:space="preserve">Medium (SPARQL for semantic searches; REST API standard HTTP)</w:t>
      </w:r>
    </w:p>
    <w:p>
      <w:pPr>
        <w:spacing w:after="200"/>
      </w:pPr>
    </w:p>
    <w:p>
      <w:pPr>
        <w:pStyle w:val="Heading3"/>
      </w:pPr>
      <w:r>
        <w:t xml:space="preserve">ECLI / CURIA (EU Court Decisions)</w:t>
      </w:r>
    </w:p>
    <w:p>
      <w:pPr>
        <w:spacing w:after="80"/>
      </w:pPr>
      <w:r>
        <w:rPr>
          <w:rFonts w:ascii="Arial" w:cs="Arial" w:eastAsia="Arial" w:hAnsi="Arial"/>
          <w:b/>
          <w:bCs/>
          <w:sz w:val="22"/>
          <w:szCs w:val="22"/>
        </w:rPr>
        <w:t xml:space="preserve">URL: </w:t>
      </w:r>
      <w:r>
        <w:rPr>
          <w:rFonts w:ascii="Arial" w:cs="Arial" w:eastAsia="Arial" w:hAnsi="Arial"/>
          <w:sz w:val="22"/>
          <w:szCs w:val="22"/>
        </w:rPr>
        <w:t xml:space="preserve">CURIA: https://curia.europa.eu/ | ECLI Portal: https://e-justice.europa.eu/topics/legislation-and-case-law/european-case-law-identifier-ecli/</w:t>
      </w:r>
    </w:p>
    <w:p>
      <w:pPr>
        <w:spacing w:after="80"/>
      </w:pPr>
      <w:r>
        <w:rPr>
          <w:rFonts w:ascii="Arial" w:cs="Arial" w:eastAsia="Arial" w:hAnsi="Arial"/>
          <w:b/>
          <w:bCs/>
          <w:sz w:val="22"/>
          <w:szCs w:val="22"/>
        </w:rPr>
        <w:t xml:space="preserve">Volume: </w:t>
      </w:r>
      <w:r>
        <w:rPr>
          <w:rFonts w:ascii="Arial" w:cs="Arial" w:eastAsia="Arial" w:hAnsi="Arial"/>
          <w:sz w:val="22"/>
          <w:szCs w:val="22"/>
        </w:rPr>
        <w:t xml:space="preserve">20,000+ published CJEU decisions (1954-present); Advocate General Opinions included</w:t>
      </w:r>
    </w:p>
    <w:p>
      <w:pPr>
        <w:spacing w:after="80"/>
      </w:pPr>
      <w:r>
        <w:rPr>
          <w:rFonts w:ascii="Arial" w:cs="Arial" w:eastAsia="Arial" w:hAnsi="Arial"/>
          <w:b/>
          <w:bCs/>
          <w:sz w:val="22"/>
          <w:szCs w:val="22"/>
        </w:rPr>
        <w:t xml:space="preserve">Access Method: </w:t>
      </w:r>
      <w:r>
        <w:rPr>
          <w:rFonts w:ascii="Arial" w:cs="Arial" w:eastAsia="Arial" w:hAnsi="Arial"/>
          <w:sz w:val="22"/>
          <w:szCs w:val="22"/>
        </w:rPr>
        <w:t xml:space="preserve">CURIA web search (free); ECLI-based linking; EUR-Lex integration; direct court website searches</w:t>
      </w:r>
    </w:p>
    <w:p>
      <w:pPr>
        <w:spacing w:after="80"/>
      </w:pPr>
      <w:r>
        <w:rPr>
          <w:rFonts w:ascii="Arial" w:cs="Arial" w:eastAsia="Arial" w:hAnsi="Arial"/>
          <w:b/>
          <w:bCs/>
          <w:sz w:val="22"/>
          <w:szCs w:val="22"/>
        </w:rPr>
        <w:t xml:space="preserve">Data Format: </w:t>
      </w:r>
      <w:r>
        <w:rPr>
          <w:rFonts w:ascii="Arial" w:cs="Arial" w:eastAsia="Arial" w:hAnsi="Arial"/>
          <w:sz w:val="22"/>
          <w:szCs w:val="22"/>
        </w:rPr>
        <w:t xml:space="preserve">HTML, PDF downloadable judgments; ECLI structured format; RDF/XML via EUR-Lex</w:t>
      </w:r>
    </w:p>
    <w:p>
      <w:pPr>
        <w:spacing w:after="80"/>
      </w:pPr>
      <w:r>
        <w:rPr>
          <w:rFonts w:ascii="Arial" w:cs="Arial" w:eastAsia="Arial" w:hAnsi="Arial"/>
          <w:b/>
          <w:bCs/>
          <w:sz w:val="22"/>
          <w:szCs w:val="22"/>
        </w:rPr>
        <w:t xml:space="preserve">Update Frequency: </w:t>
      </w:r>
      <w:r>
        <w:rPr>
          <w:rFonts w:ascii="Arial" w:cs="Arial" w:eastAsia="Arial" w:hAnsi="Arial"/>
          <w:sz w:val="22"/>
          <w:szCs w:val="22"/>
        </w:rPr>
        <w:t xml:space="preserve">Real-time publication; ECLI assigned at publication</w:t>
      </w:r>
    </w:p>
    <w:p>
      <w:pPr>
        <w:spacing w:after="80"/>
      </w:pPr>
      <w:r>
        <w:rPr>
          <w:rFonts w:ascii="Arial" w:cs="Arial" w:eastAsia="Arial" w:hAnsi="Arial"/>
          <w:b/>
          <w:bCs/>
          <w:sz w:val="22"/>
          <w:szCs w:val="22"/>
        </w:rPr>
        <w:t xml:space="preserve">Cost: </w:t>
      </w:r>
      <w:r>
        <w:rPr>
          <w:rFonts w:ascii="Arial" w:cs="Arial" w:eastAsia="Arial" w:hAnsi="Arial"/>
          <w:sz w:val="22"/>
          <w:szCs w:val="22"/>
        </w:rPr>
        <w:t xml:space="preserve">Free</w:t>
      </w:r>
    </w:p>
    <w:p>
      <w:pPr>
        <w:spacing w:after="80"/>
      </w:pPr>
      <w:r>
        <w:rPr>
          <w:rFonts w:ascii="Arial" w:cs="Arial" w:eastAsia="Arial" w:hAnsi="Arial"/>
          <w:b/>
          <w:bCs/>
          <w:sz w:val="22"/>
          <w:szCs w:val="22"/>
        </w:rPr>
        <w:t xml:space="preserve">Language: </w:t>
      </w:r>
      <w:r>
        <w:rPr>
          <w:rFonts w:ascii="Arial" w:cs="Arial" w:eastAsia="Arial" w:hAnsi="Arial"/>
          <w:sz w:val="22"/>
          <w:szCs w:val="22"/>
        </w:rPr>
        <w:t xml:space="preserve">Decision language of proceedings; multiple official language versions for major cases</w:t>
      </w:r>
    </w:p>
    <w:p>
      <w:pPr>
        <w:spacing w:after="80"/>
      </w:pPr>
      <w:r>
        <w:rPr>
          <w:rFonts w:ascii="Arial" w:cs="Arial" w:eastAsia="Arial" w:hAnsi="Arial"/>
          <w:b/>
          <w:bCs/>
          <w:sz w:val="22"/>
          <w:szCs w:val="22"/>
        </w:rPr>
        <w:t xml:space="preserve">Legal Analysis: </w:t>
      </w:r>
      <w:r>
        <w:rPr>
          <w:rFonts w:ascii="Arial" w:cs="Arial" w:eastAsia="Arial" w:hAnsi="Arial"/>
          <w:sz w:val="22"/>
          <w:szCs w:val="22"/>
        </w:rPr>
        <w:t xml:space="preserve">Public domain legal documents. No GDPR concerns. Re-use permitted under conditions.</w:t>
      </w:r>
    </w:p>
    <w:p>
      <w:pPr>
        <w:spacing w:after="80"/>
      </w:pPr>
      <w:r>
        <w:rPr>
          <w:rFonts w:ascii="Arial" w:cs="Arial" w:eastAsia="Arial" w:hAnsi="Arial"/>
          <w:b/>
          <w:bCs/>
          <w:sz w:val="22"/>
          <w:szCs w:val="22"/>
        </w:rPr>
        <w:t xml:space="preserve">Technical Complexity: </w:t>
      </w:r>
      <w:r>
        <w:rPr>
          <w:rFonts w:ascii="Arial" w:cs="Arial" w:eastAsia="Arial" w:hAnsi="Arial"/>
          <w:sz w:val="22"/>
          <w:szCs w:val="22"/>
        </w:rPr>
        <w:t xml:space="preserve">Low (web search simple); Medium (programmatic via EUR-Lex SPARQL)</w:t>
      </w:r>
    </w:p>
    <w:p>
      <w:pPr>
        <w:spacing w:after="200"/>
      </w:pPr>
    </w:p>
    <w:p>
      <w:r>
        <w:br w:type="page"/>
      </w:r>
    </w:p>
    <w:p>
      <w:pPr>
        <w:pStyle w:val="Heading1"/>
      </w:pPr>
      <w:r>
        <w:t xml:space="preserve">Chapter 7: Middle East</w:t>
      </w:r>
    </w:p>
    <w:p>
      <w:pPr>
        <w:spacing w:after="120"/>
      </w:pPr>
      <w:r>
        <w:rPr>
          <w:rFonts w:ascii="Arial" w:cs="Arial" w:eastAsia="Arial" w:hAnsi="Arial"/>
          <w:sz w:val="22"/>
          <w:szCs w:val="22"/>
        </w:rPr>
        <w:t xml:space="preserve">The Middle East offers emerging data infrastructure with notable free zone registries (DIFC, ADGM) that are more digitally mature than mainland registries. The UAE Personal Data Protection Law (Federal Law No. 45 of 2021) and Saudi PDPL (effective September 2023) create modern regulatory frameworks. IP registries remain largely manual with limited digital access.</w:t>
      </w:r>
    </w:p>
    <w:p>
      <w:pPr>
        <w:pStyle w:val="Heading2"/>
      </w:pPr>
      <w:r>
        <w:t xml:space="preserve">UAE (United Arab Emirates)</w:t>
      </w:r>
    </w:p>
    <w:p>
      <w:pPr>
        <w:pStyle w:val="Heading3"/>
      </w:pPr>
      <w:r>
        <w:t xml:space="preserve">DIFC (Dubai International Financial Centre)</w:t>
      </w:r>
    </w:p>
    <w:p>
      <w:pPr>
        <w:spacing w:after="80"/>
      </w:pPr>
      <w:r>
        <w:rPr>
          <w:rFonts w:ascii="Arial" w:cs="Arial" w:eastAsia="Arial" w:hAnsi="Arial"/>
          <w:b/>
          <w:bCs/>
          <w:sz w:val="22"/>
          <w:szCs w:val="22"/>
        </w:rPr>
        <w:t xml:space="preserve">URL: </w:t>
      </w:r>
      <w:r>
        <w:rPr>
          <w:rFonts w:ascii="Arial" w:cs="Arial" w:eastAsia="Arial" w:hAnsi="Arial"/>
          <w:sz w:val="22"/>
          <w:szCs w:val="22"/>
        </w:rPr>
        <w:t xml:space="preserve">https://www.difc.com/business/public-register | API via Dubai Pulse: https://www.dubaipulse.gov.ae/data/difc-licenses/</w:t>
      </w:r>
    </w:p>
    <w:p>
      <w:pPr>
        <w:spacing w:after="80"/>
      </w:pPr>
      <w:r>
        <w:rPr>
          <w:rFonts w:ascii="Arial" w:cs="Arial" w:eastAsia="Arial" w:hAnsi="Arial"/>
          <w:b/>
          <w:bCs/>
          <w:sz w:val="22"/>
          <w:szCs w:val="22"/>
        </w:rPr>
        <w:t xml:space="preserve">Volume: </w:t>
      </w:r>
      <w:r>
        <w:rPr>
          <w:rFonts w:ascii="Arial" w:cs="Arial" w:eastAsia="Arial" w:hAnsi="Arial"/>
          <w:sz w:val="22"/>
          <w:szCs w:val="22"/>
        </w:rPr>
        <w:t xml:space="preserve">2,900+ active registered companies; ~27,000 professionals employed</w:t>
      </w:r>
    </w:p>
    <w:p>
      <w:pPr>
        <w:spacing w:after="80"/>
      </w:pPr>
      <w:r>
        <w:rPr>
          <w:rFonts w:ascii="Arial" w:cs="Arial" w:eastAsia="Arial" w:hAnsi="Arial"/>
          <w:b/>
          <w:bCs/>
          <w:sz w:val="22"/>
          <w:szCs w:val="22"/>
        </w:rPr>
        <w:t xml:space="preserve">Access Method: </w:t>
      </w:r>
      <w:r>
        <w:rPr>
          <w:rFonts w:ascii="Arial" w:cs="Arial" w:eastAsia="Arial" w:hAnsi="Arial"/>
          <w:sz w:val="22"/>
          <w:szCs w:val="22"/>
        </w:rPr>
        <w:t xml:space="preserve">Web public register search (free); Dubai Pulse API (OAuth2 client credentials); DIFC Client Portal</w:t>
      </w:r>
    </w:p>
    <w:p>
      <w:pPr>
        <w:spacing w:after="80"/>
      </w:pPr>
      <w:r>
        <w:rPr>
          <w:rFonts w:ascii="Arial" w:cs="Arial" w:eastAsia="Arial" w:hAnsi="Arial"/>
          <w:b/>
          <w:bCs/>
          <w:sz w:val="22"/>
          <w:szCs w:val="22"/>
        </w:rPr>
        <w:t xml:space="preserve">Data Format: </w:t>
      </w:r>
      <w:r>
        <w:rPr>
          <w:rFonts w:ascii="Arial" w:cs="Arial" w:eastAsia="Arial" w:hAnsi="Arial"/>
          <w:sz w:val="22"/>
          <w:szCs w:val="22"/>
        </w:rPr>
        <w:t xml:space="preserve">JSON (via API)</w:t>
      </w:r>
    </w:p>
    <w:p>
      <w:pPr>
        <w:spacing w:after="80"/>
      </w:pPr>
      <w:r>
        <w:rPr>
          <w:rFonts w:ascii="Arial" w:cs="Arial" w:eastAsia="Arial" w:hAnsi="Arial"/>
          <w:b/>
          <w:bCs/>
          <w:sz w:val="22"/>
          <w:szCs w:val="22"/>
        </w:rPr>
        <w:t xml:space="preserve">Update Frequency: </w:t>
      </w:r>
      <w:r>
        <w:rPr>
          <w:rFonts w:ascii="Arial" w:cs="Arial" w:eastAsia="Arial" w:hAnsi="Arial"/>
          <w:sz w:val="22"/>
          <w:szCs w:val="22"/>
        </w:rPr>
        <w:t xml:space="preserve">Real-time for licensed activities; regular registration updates</w:t>
      </w:r>
    </w:p>
    <w:p>
      <w:pPr>
        <w:spacing w:after="80"/>
      </w:pPr>
      <w:r>
        <w:rPr>
          <w:rFonts w:ascii="Arial" w:cs="Arial" w:eastAsia="Arial" w:hAnsi="Arial"/>
          <w:b/>
          <w:bCs/>
          <w:sz w:val="22"/>
          <w:szCs w:val="22"/>
        </w:rPr>
        <w:t xml:space="preserve">Cost: </w:t>
      </w:r>
      <w:r>
        <w:rPr>
          <w:rFonts w:ascii="Arial" w:cs="Arial" w:eastAsia="Arial" w:hAnsi="Arial"/>
          <w:sz w:val="22"/>
          <w:szCs w:val="22"/>
        </w:rPr>
        <w:t xml:space="preserve">Public register: free. API: free (requires Dubai Pulse registration).</w:t>
      </w:r>
    </w:p>
    <w:p>
      <w:pPr>
        <w:spacing w:after="80"/>
      </w:pPr>
      <w:r>
        <w:rPr>
          <w:rFonts w:ascii="Arial" w:cs="Arial" w:eastAsia="Arial" w:hAnsi="Arial"/>
          <w:b/>
          <w:bCs/>
          <w:sz w:val="22"/>
          <w:szCs w:val="22"/>
        </w:rPr>
        <w:t xml:space="preserve">Language: </w:t>
      </w:r>
      <w:r>
        <w:rPr>
          <w:rFonts w:ascii="Arial" w:cs="Arial" w:eastAsia="Arial" w:hAnsi="Arial"/>
          <w:sz w:val="22"/>
          <w:szCs w:val="22"/>
        </w:rPr>
        <w:t xml:space="preserve">English, Arabic</w:t>
      </w:r>
    </w:p>
    <w:p>
      <w:pPr>
        <w:spacing w:after="80"/>
      </w:pPr>
      <w:r>
        <w:rPr>
          <w:rFonts w:ascii="Arial" w:cs="Arial" w:eastAsia="Arial" w:hAnsi="Arial"/>
          <w:b/>
          <w:bCs/>
          <w:sz w:val="22"/>
          <w:szCs w:val="22"/>
        </w:rPr>
        <w:t xml:space="preserve">Legal Analysis: </w:t>
      </w:r>
      <w:r>
        <w:rPr>
          <w:rFonts w:ascii="Arial" w:cs="Arial" w:eastAsia="Arial" w:hAnsi="Arial"/>
          <w:sz w:val="22"/>
          <w:szCs w:val="22"/>
        </w:rPr>
        <w:t xml:space="preserve">UAE Federal Law No. 45/2021 (PDPL). DIFC has own stricter data protection regime (all controllers must register with Commissioner). Regulator: DFSA.</w:t>
      </w:r>
    </w:p>
    <w:p>
      <w:pPr>
        <w:spacing w:after="80"/>
      </w:pPr>
      <w:r>
        <w:rPr>
          <w:rFonts w:ascii="Arial" w:cs="Arial" w:eastAsia="Arial" w:hAnsi="Arial"/>
          <w:b/>
          <w:bCs/>
          <w:sz w:val="22"/>
          <w:szCs w:val="22"/>
        </w:rPr>
        <w:t xml:space="preserve">Technical Complexity: </w:t>
      </w:r>
      <w:r>
        <w:rPr>
          <w:rFonts w:ascii="Arial" w:cs="Arial" w:eastAsia="Arial" w:hAnsi="Arial"/>
          <w:sz w:val="22"/>
          <w:szCs w:val="22"/>
        </w:rPr>
        <w:t xml:space="preserve">Medium (OAuth2, token refresh, query filtering)</w:t>
      </w:r>
    </w:p>
    <w:p>
      <w:pPr>
        <w:spacing w:after="200"/>
      </w:pPr>
    </w:p>
    <w:p>
      <w:pPr>
        <w:pStyle w:val="Heading3"/>
      </w:pPr>
      <w:r>
        <w:t xml:space="preserve">ADGM (Abu Dhabi Global Market)</w:t>
      </w:r>
    </w:p>
    <w:p>
      <w:pPr>
        <w:spacing w:after="80"/>
      </w:pPr>
      <w:r>
        <w:rPr>
          <w:rFonts w:ascii="Arial" w:cs="Arial" w:eastAsia="Arial" w:hAnsi="Arial"/>
          <w:b/>
          <w:bCs/>
          <w:sz w:val="22"/>
          <w:szCs w:val="22"/>
        </w:rPr>
        <w:t xml:space="preserve">URL: </w:t>
      </w:r>
      <w:r>
        <w:rPr>
          <w:rFonts w:ascii="Arial" w:cs="Arial" w:eastAsia="Arial" w:hAnsi="Arial"/>
          <w:sz w:val="22"/>
          <w:szCs w:val="22"/>
        </w:rPr>
        <w:t xml:space="preserve">https://www.adgm.com/public-registers | Registry: Foster Moore Catalyst software</w:t>
      </w:r>
    </w:p>
    <w:p>
      <w:pPr>
        <w:spacing w:after="80"/>
      </w:pPr>
      <w:r>
        <w:rPr>
          <w:rFonts w:ascii="Arial" w:cs="Arial" w:eastAsia="Arial" w:hAnsi="Arial"/>
          <w:b/>
          <w:bCs/>
          <w:sz w:val="22"/>
          <w:szCs w:val="22"/>
        </w:rPr>
        <w:t xml:space="preserve">Volume: </w:t>
      </w:r>
      <w:r>
        <w:rPr>
          <w:rFonts w:ascii="Arial" w:cs="Arial" w:eastAsia="Arial" w:hAnsi="Arial"/>
          <w:sz w:val="22"/>
          <w:szCs w:val="22"/>
        </w:rPr>
        <w:t xml:space="preserve">2,200+ active registered companies (2024, +31% YoY); 4,400+ new employees added</w:t>
      </w:r>
    </w:p>
    <w:p>
      <w:pPr>
        <w:spacing w:after="80"/>
      </w:pPr>
      <w:r>
        <w:rPr>
          <w:rFonts w:ascii="Arial" w:cs="Arial" w:eastAsia="Arial" w:hAnsi="Arial"/>
          <w:b/>
          <w:bCs/>
          <w:sz w:val="22"/>
          <w:szCs w:val="22"/>
        </w:rPr>
        <w:t xml:space="preserve">Access Method: </w:t>
      </w:r>
      <w:r>
        <w:rPr>
          <w:rFonts w:ascii="Arial" w:cs="Arial" w:eastAsia="Arial" w:hAnsi="Arial"/>
          <w:sz w:val="22"/>
          <w:szCs w:val="22"/>
        </w:rPr>
        <w:t xml:space="preserve">Web public register search (free). Online registration portal. FSRA regulatory guidance on APIs (2024, developing).</w:t>
      </w:r>
    </w:p>
    <w:p>
      <w:pPr>
        <w:spacing w:after="80"/>
      </w:pPr>
      <w:r>
        <w:rPr>
          <w:rFonts w:ascii="Arial" w:cs="Arial" w:eastAsia="Arial" w:hAnsi="Arial"/>
          <w:b/>
          <w:bCs/>
          <w:sz w:val="22"/>
          <w:szCs w:val="22"/>
        </w:rPr>
        <w:t xml:space="preserve">Data Format: </w:t>
      </w:r>
      <w:r>
        <w:rPr>
          <w:rFonts w:ascii="Arial" w:cs="Arial" w:eastAsia="Arial" w:hAnsi="Arial"/>
          <w:sz w:val="22"/>
          <w:szCs w:val="22"/>
        </w:rPr>
        <w:t xml:space="preserve">HTML (web). Machine-readable format not yet detailed.</w:t>
      </w:r>
    </w:p>
    <w:p>
      <w:pPr>
        <w:spacing w:after="80"/>
      </w:pPr>
      <w:r>
        <w:rPr>
          <w:rFonts w:ascii="Arial" w:cs="Arial" w:eastAsia="Arial" w:hAnsi="Arial"/>
          <w:b/>
          <w:bCs/>
          <w:sz w:val="22"/>
          <w:szCs w:val="22"/>
        </w:rPr>
        <w:t xml:space="preserve">Update Frequency: </w:t>
      </w:r>
      <w:r>
        <w:rPr>
          <w:rFonts w:ascii="Arial" w:cs="Arial" w:eastAsia="Arial" w:hAnsi="Arial"/>
          <w:sz w:val="22"/>
          <w:szCs w:val="22"/>
        </w:rPr>
        <w:t xml:space="preserve">Real-time registrations. Indexing frequency not published.</w:t>
      </w:r>
    </w:p>
    <w:p>
      <w:pPr>
        <w:spacing w:after="80"/>
      </w:pPr>
      <w:r>
        <w:rPr>
          <w:rFonts w:ascii="Arial" w:cs="Arial" w:eastAsia="Arial" w:hAnsi="Arial"/>
          <w:b/>
          <w:bCs/>
          <w:sz w:val="22"/>
          <w:szCs w:val="22"/>
        </w:rPr>
        <w:t xml:space="preserve">Cost: </w:t>
      </w:r>
      <w:r>
        <w:rPr>
          <w:rFonts w:ascii="Arial" w:cs="Arial" w:eastAsia="Arial" w:hAnsi="Arial"/>
          <w:sz w:val="22"/>
          <w:szCs w:val="22"/>
        </w:rPr>
        <w:t xml:space="preserve">Public register: free. Company registration: fees vary by entity type. API: not yet priced.</w:t>
      </w:r>
    </w:p>
    <w:p>
      <w:pPr>
        <w:spacing w:after="80"/>
      </w:pPr>
      <w:r>
        <w:rPr>
          <w:rFonts w:ascii="Arial" w:cs="Arial" w:eastAsia="Arial" w:hAnsi="Arial"/>
          <w:b/>
          <w:bCs/>
          <w:sz w:val="22"/>
          <w:szCs w:val="22"/>
        </w:rPr>
        <w:t xml:space="preserve">Language: </w:t>
      </w:r>
      <w:r>
        <w:rPr>
          <w:rFonts w:ascii="Arial" w:cs="Arial" w:eastAsia="Arial" w:hAnsi="Arial"/>
          <w:sz w:val="22"/>
          <w:szCs w:val="22"/>
        </w:rPr>
        <w:t xml:space="preserve">English, Arabic</w:t>
      </w:r>
    </w:p>
    <w:p>
      <w:pPr>
        <w:spacing w:after="80"/>
      </w:pPr>
      <w:r>
        <w:rPr>
          <w:rFonts w:ascii="Arial" w:cs="Arial" w:eastAsia="Arial" w:hAnsi="Arial"/>
          <w:b/>
          <w:bCs/>
          <w:sz w:val="22"/>
          <w:szCs w:val="22"/>
        </w:rPr>
        <w:t xml:space="preserve">Legal Analysis: </w:t>
      </w:r>
      <w:r>
        <w:rPr>
          <w:rFonts w:ascii="Arial" w:cs="Arial" w:eastAsia="Arial" w:hAnsi="Arial"/>
          <w:sz w:val="22"/>
          <w:szCs w:val="22"/>
        </w:rPr>
        <w:t xml:space="preserve">UAE PDPL applies. ADGM: no mandatory data controller registration (unlike DIFC). Free zone regulations apply.</w:t>
      </w:r>
    </w:p>
    <w:p>
      <w:pPr>
        <w:spacing w:after="80"/>
      </w:pPr>
      <w:r>
        <w:rPr>
          <w:rFonts w:ascii="Arial" w:cs="Arial" w:eastAsia="Arial" w:hAnsi="Arial"/>
          <w:b/>
          <w:bCs/>
          <w:sz w:val="22"/>
          <w:szCs w:val="22"/>
        </w:rPr>
        <w:t xml:space="preserve">Technical Complexity: </w:t>
      </w:r>
      <w:r>
        <w:rPr>
          <w:rFonts w:ascii="Arial" w:cs="Arial" w:eastAsia="Arial" w:hAnsi="Arial"/>
          <w:sz w:val="22"/>
          <w:szCs w:val="22"/>
        </w:rPr>
        <w:t xml:space="preserve">Low-Medium (web register straightforward; API guidance in development)</w:t>
      </w:r>
    </w:p>
    <w:p>
      <w:pPr>
        <w:spacing w:after="200"/>
      </w:pPr>
    </w:p>
    <w:p>
      <w:pPr>
        <w:pStyle w:val="Heading3"/>
      </w:pPr>
      <w:r>
        <w:t xml:space="preserve">Emirates IP (Ministry of Economy)</w:t>
      </w:r>
    </w:p>
    <w:p>
      <w:pPr>
        <w:spacing w:after="80"/>
      </w:pPr>
      <w:r>
        <w:rPr>
          <w:rFonts w:ascii="Arial" w:cs="Arial" w:eastAsia="Arial" w:hAnsi="Arial"/>
          <w:b/>
          <w:bCs/>
          <w:sz w:val="22"/>
          <w:szCs w:val="22"/>
        </w:rPr>
        <w:t xml:space="preserve">URL: </w:t>
      </w:r>
      <w:r>
        <w:rPr>
          <w:rFonts w:ascii="Arial" w:cs="Arial" w:eastAsia="Arial" w:hAnsi="Arial"/>
          <w:sz w:val="22"/>
          <w:szCs w:val="22"/>
        </w:rPr>
        <w:t xml:space="preserve">https://www.moet.gov.ae/en/intellectual-property | Contact: indpro@economy.ae</w:t>
      </w:r>
    </w:p>
    <w:p>
      <w:pPr>
        <w:spacing w:after="80"/>
      </w:pPr>
      <w:r>
        <w:rPr>
          <w:rFonts w:ascii="Arial" w:cs="Arial" w:eastAsia="Arial" w:hAnsi="Arial"/>
          <w:b/>
          <w:bCs/>
          <w:sz w:val="22"/>
          <w:szCs w:val="22"/>
        </w:rPr>
        <w:t xml:space="preserve">Volume: </w:t>
      </w:r>
      <w:r>
        <w:rPr>
          <w:rFonts w:ascii="Arial" w:cs="Arial" w:eastAsia="Arial" w:hAnsi="Arial"/>
          <w:sz w:val="22"/>
          <w:szCs w:val="22"/>
        </w:rPr>
        <w:t xml:space="preserve">1,884 new IP registrations (Jan-Sep 2024, +34% vs 2023); 1,402 (Jan-Sep 2023)</w:t>
      </w:r>
    </w:p>
    <w:p>
      <w:pPr>
        <w:spacing w:after="80"/>
      </w:pPr>
      <w:r>
        <w:rPr>
          <w:rFonts w:ascii="Arial" w:cs="Arial" w:eastAsia="Arial" w:hAnsi="Arial"/>
          <w:b/>
          <w:bCs/>
          <w:sz w:val="22"/>
          <w:szCs w:val="22"/>
        </w:rPr>
        <w:t xml:space="preserve">Access Method: </w:t>
      </w:r>
      <w:r>
        <w:rPr>
          <w:rFonts w:ascii="Arial" w:cs="Arial" w:eastAsia="Arial" w:hAnsi="Arial"/>
          <w:sz w:val="22"/>
          <w:szCs w:val="22"/>
        </w:rPr>
        <w:t xml:space="preserve">Ministry portal; physical office; email inquiries. No documented API.</w:t>
      </w:r>
    </w:p>
    <w:p>
      <w:pPr>
        <w:spacing w:after="80"/>
      </w:pPr>
      <w:r>
        <w:rPr>
          <w:rFonts w:ascii="Arial" w:cs="Arial" w:eastAsia="Arial" w:hAnsi="Arial"/>
          <w:b/>
          <w:bCs/>
          <w:sz w:val="22"/>
          <w:szCs w:val="22"/>
        </w:rPr>
        <w:t xml:space="preserve">Data Format: </w:t>
      </w:r>
      <w:r>
        <w:rPr>
          <w:rFonts w:ascii="Arial" w:cs="Arial" w:eastAsia="Arial" w:hAnsi="Arial"/>
          <w:sz w:val="22"/>
          <w:szCs w:val="22"/>
        </w:rPr>
        <w:t xml:space="preserve">Document-based (traditional); web portal where available; physical records</w:t>
      </w:r>
    </w:p>
    <w:p>
      <w:pPr>
        <w:spacing w:after="80"/>
      </w:pPr>
      <w:r>
        <w:rPr>
          <w:rFonts w:ascii="Arial" w:cs="Arial" w:eastAsia="Arial" w:hAnsi="Arial"/>
          <w:b/>
          <w:bCs/>
          <w:sz w:val="22"/>
          <w:szCs w:val="22"/>
        </w:rPr>
        <w:t xml:space="preserve">Update Frequency: </w:t>
      </w:r>
      <w:r>
        <w:rPr>
          <w:rFonts w:ascii="Arial" w:cs="Arial" w:eastAsia="Arial" w:hAnsi="Arial"/>
          <w:sz w:val="22"/>
          <w:szCs w:val="22"/>
        </w:rPr>
        <w:t xml:space="preserve">Regular as applications processed; typical gov timeline (weeks-months)</w:t>
      </w:r>
    </w:p>
    <w:p>
      <w:pPr>
        <w:spacing w:after="80"/>
      </w:pPr>
      <w:r>
        <w:rPr>
          <w:rFonts w:ascii="Arial" w:cs="Arial" w:eastAsia="Arial" w:hAnsi="Arial"/>
          <w:b/>
          <w:bCs/>
          <w:sz w:val="22"/>
          <w:szCs w:val="22"/>
        </w:rPr>
        <w:t xml:space="preserve">Cost: </w:t>
      </w:r>
      <w:r>
        <w:rPr>
          <w:rFonts w:ascii="Arial" w:cs="Arial" w:eastAsia="Arial" w:hAnsi="Arial"/>
          <w:sz w:val="22"/>
          <w:szCs w:val="22"/>
        </w:rPr>
        <w:t xml:space="preserve">Application/registration fees apply (variable by IP type)</w:t>
      </w:r>
    </w:p>
    <w:p>
      <w:pPr>
        <w:spacing w:after="80"/>
      </w:pPr>
      <w:r>
        <w:rPr>
          <w:rFonts w:ascii="Arial" w:cs="Arial" w:eastAsia="Arial" w:hAnsi="Arial"/>
          <w:b/>
          <w:bCs/>
          <w:sz w:val="22"/>
          <w:szCs w:val="22"/>
        </w:rPr>
        <w:t xml:space="preserve">Language: </w:t>
      </w:r>
      <w:r>
        <w:rPr>
          <w:rFonts w:ascii="Arial" w:cs="Arial" w:eastAsia="Arial" w:hAnsi="Arial"/>
          <w:sz w:val="22"/>
          <w:szCs w:val="22"/>
        </w:rPr>
        <w:t xml:space="preserve">Arabic (primary), English</w:t>
      </w:r>
    </w:p>
    <w:p>
      <w:pPr>
        <w:spacing w:after="80"/>
      </w:pPr>
      <w:r>
        <w:rPr>
          <w:rFonts w:ascii="Arial" w:cs="Arial" w:eastAsia="Arial" w:hAnsi="Arial"/>
          <w:b/>
          <w:bCs/>
          <w:sz w:val="22"/>
          <w:szCs w:val="22"/>
        </w:rPr>
        <w:t xml:space="preserve">Legal Analysis: </w:t>
      </w:r>
      <w:r>
        <w:rPr>
          <w:rFonts w:ascii="Arial" w:cs="Arial" w:eastAsia="Arial" w:hAnsi="Arial"/>
          <w:sz w:val="22"/>
          <w:szCs w:val="22"/>
        </w:rPr>
        <w:t xml:space="preserve">UAE PDPL applies. MOU with US PTO (2024). New IP Ecosystem launched Feb 2024.</w:t>
      </w:r>
    </w:p>
    <w:p>
      <w:pPr>
        <w:spacing w:after="80"/>
      </w:pPr>
      <w:r>
        <w:rPr>
          <w:rFonts w:ascii="Arial" w:cs="Arial" w:eastAsia="Arial" w:hAnsi="Arial"/>
          <w:b/>
          <w:bCs/>
          <w:sz w:val="22"/>
          <w:szCs w:val="22"/>
        </w:rPr>
        <w:t xml:space="preserve">Technical Complexity: </w:t>
      </w:r>
      <w:r>
        <w:rPr>
          <w:rFonts w:ascii="Arial" w:cs="Arial" w:eastAsia="Arial" w:hAnsi="Arial"/>
          <w:sz w:val="22"/>
          <w:szCs w:val="22"/>
        </w:rPr>
        <w:t xml:space="preserve">Low (limited digital infrastructure; manual/email processes)</w:t>
      </w:r>
    </w:p>
    <w:p>
      <w:pPr>
        <w:spacing w:after="200"/>
      </w:pPr>
    </w:p>
    <w:p>
      <w:pPr>
        <w:pStyle w:val="Heading2"/>
      </w:pPr>
      <w:r>
        <w:t xml:space="preserve">Saudi Arabia</w:t>
      </w:r>
    </w:p>
    <w:p>
      <w:pPr>
        <w:pStyle w:val="Heading3"/>
      </w:pPr>
      <w:r>
        <w:t xml:space="preserve">Tadawul / Saudi Exchange (Listed Companies)</w:t>
      </w:r>
    </w:p>
    <w:p>
      <w:pPr>
        <w:spacing w:after="80"/>
      </w:pPr>
      <w:r>
        <w:rPr>
          <w:rFonts w:ascii="Arial" w:cs="Arial" w:eastAsia="Arial" w:hAnsi="Arial"/>
          <w:b/>
          <w:bCs/>
          <w:sz w:val="22"/>
          <w:szCs w:val="22"/>
        </w:rPr>
        <w:t xml:space="preserve">URL: </w:t>
      </w:r>
      <w:r>
        <w:rPr>
          <w:rFonts w:ascii="Arial" w:cs="Arial" w:eastAsia="Arial" w:hAnsi="Arial"/>
          <w:sz w:val="22"/>
          <w:szCs w:val="22"/>
        </w:rPr>
        <w:t xml:space="preserve">https://www.saudiexchange.sa/ | https://200listedsecurities.saudiexchange.sa/ | Third-party APIs on RapidAPI, Twelve Data, ICE</w:t>
      </w:r>
    </w:p>
    <w:p>
      <w:pPr>
        <w:spacing w:after="80"/>
      </w:pPr>
      <w:r>
        <w:rPr>
          <w:rFonts w:ascii="Arial" w:cs="Arial" w:eastAsia="Arial" w:hAnsi="Arial"/>
          <w:b/>
          <w:bCs/>
          <w:sz w:val="22"/>
          <w:szCs w:val="22"/>
        </w:rPr>
        <w:t xml:space="preserve">Volume: </w:t>
      </w:r>
      <w:r>
        <w:rPr>
          <w:rFonts w:ascii="Arial" w:cs="Arial" w:eastAsia="Arial" w:hAnsi="Arial"/>
          <w:sz w:val="22"/>
          <w:szCs w:val="22"/>
        </w:rPr>
        <w:t xml:space="preserve">200+ listed securities; continuous market data</w:t>
      </w:r>
    </w:p>
    <w:p>
      <w:pPr>
        <w:spacing w:after="80"/>
      </w:pPr>
      <w:r>
        <w:rPr>
          <w:rFonts w:ascii="Arial" w:cs="Arial" w:eastAsia="Arial" w:hAnsi="Arial"/>
          <w:b/>
          <w:bCs/>
          <w:sz w:val="22"/>
          <w:szCs w:val="22"/>
        </w:rPr>
        <w:t xml:space="preserve">Access Method: </w:t>
      </w:r>
      <w:r>
        <w:rPr>
          <w:rFonts w:ascii="Arial" w:cs="Arial" w:eastAsia="Arial" w:hAnsi="Arial"/>
          <w:sz w:val="22"/>
          <w:szCs w:val="22"/>
        </w:rPr>
        <w:t xml:space="preserve">Web company information portal (free). Third-party market data APIs (RapidAPI, Twelve Data, ICE Consolidated Feed).</w:t>
      </w:r>
    </w:p>
    <w:p>
      <w:pPr>
        <w:spacing w:after="80"/>
      </w:pPr>
      <w:r>
        <w:rPr>
          <w:rFonts w:ascii="Arial" w:cs="Arial" w:eastAsia="Arial" w:hAnsi="Arial"/>
          <w:b/>
          <w:bCs/>
          <w:sz w:val="22"/>
          <w:szCs w:val="22"/>
        </w:rPr>
        <w:t xml:space="preserve">Data Format: </w:t>
      </w:r>
      <w:r>
        <w:rPr>
          <w:rFonts w:ascii="Arial" w:cs="Arial" w:eastAsia="Arial" w:hAnsi="Arial"/>
          <w:sz w:val="22"/>
          <w:szCs w:val="22"/>
        </w:rPr>
        <w:t xml:space="preserve">JSON (via APIs)</w:t>
      </w:r>
    </w:p>
    <w:p>
      <w:pPr>
        <w:spacing w:after="80"/>
      </w:pPr>
      <w:r>
        <w:rPr>
          <w:rFonts w:ascii="Arial" w:cs="Arial" w:eastAsia="Arial" w:hAnsi="Arial"/>
          <w:b/>
          <w:bCs/>
          <w:sz w:val="22"/>
          <w:szCs w:val="22"/>
        </w:rPr>
        <w:t xml:space="preserve">Update Frequency: </w:t>
      </w:r>
      <w:r>
        <w:rPr>
          <w:rFonts w:ascii="Arial" w:cs="Arial" w:eastAsia="Arial" w:hAnsi="Arial"/>
          <w:sz w:val="22"/>
          <w:szCs w:val="22"/>
        </w:rPr>
        <w:t xml:space="preserve">Real-time (trading hours); daily company updates</w:t>
      </w:r>
    </w:p>
    <w:p>
      <w:pPr>
        <w:spacing w:after="80"/>
      </w:pPr>
      <w:r>
        <w:rPr>
          <w:rFonts w:ascii="Arial" w:cs="Arial" w:eastAsia="Arial" w:hAnsi="Arial"/>
          <w:b/>
          <w:bCs/>
          <w:sz w:val="22"/>
          <w:szCs w:val="22"/>
        </w:rPr>
        <w:t xml:space="preserve">Cost: </w:t>
      </w:r>
      <w:r>
        <w:rPr>
          <w:rFonts w:ascii="Arial" w:cs="Arial" w:eastAsia="Arial" w:hAnsi="Arial"/>
          <w:sz w:val="22"/>
          <w:szCs w:val="22"/>
        </w:rPr>
        <w:t xml:space="preserve">Web portal: free. APIs: freemium (RapidAPI), subscription (Twelve Data), enterprise (ICE).</w:t>
      </w:r>
    </w:p>
    <w:p>
      <w:pPr>
        <w:spacing w:after="80"/>
      </w:pPr>
      <w:r>
        <w:rPr>
          <w:rFonts w:ascii="Arial" w:cs="Arial" w:eastAsia="Arial" w:hAnsi="Arial"/>
          <w:b/>
          <w:bCs/>
          <w:sz w:val="22"/>
          <w:szCs w:val="22"/>
        </w:rPr>
        <w:t xml:space="preserve">Language: </w:t>
      </w:r>
      <w:r>
        <w:rPr>
          <w:rFonts w:ascii="Arial" w:cs="Arial" w:eastAsia="Arial" w:hAnsi="Arial"/>
          <w:sz w:val="22"/>
          <w:szCs w:val="22"/>
        </w:rPr>
        <w:t xml:space="preserve">Arabic (primary), English</w:t>
      </w:r>
    </w:p>
    <w:p>
      <w:pPr>
        <w:spacing w:after="80"/>
      </w:pPr>
      <w:r>
        <w:rPr>
          <w:rFonts w:ascii="Arial" w:cs="Arial" w:eastAsia="Arial" w:hAnsi="Arial"/>
          <w:b/>
          <w:bCs/>
          <w:sz w:val="22"/>
          <w:szCs w:val="22"/>
        </w:rPr>
        <w:t xml:space="preserve">Legal Analysis: </w:t>
      </w:r>
      <w:r>
        <w:rPr>
          <w:rFonts w:ascii="Arial" w:cs="Arial" w:eastAsia="Arial" w:hAnsi="Arial"/>
          <w:sz w:val="22"/>
          <w:szCs w:val="22"/>
        </w:rPr>
        <w:t xml:space="preserve">Saudi PDPL effective Sep 2023 (full compliance Sep 2024). Controllers must register on National Data Governance Platform if public entity or primary activity involves personal data. Supervisory: SDAIA.</w:t>
      </w:r>
    </w:p>
    <w:p>
      <w:pPr>
        <w:spacing w:after="80"/>
      </w:pPr>
      <w:r>
        <w:rPr>
          <w:rFonts w:ascii="Arial" w:cs="Arial" w:eastAsia="Arial" w:hAnsi="Arial"/>
          <w:b/>
          <w:bCs/>
          <w:sz w:val="22"/>
          <w:szCs w:val="22"/>
        </w:rPr>
        <w:t xml:space="preserve">Technical Complexity: </w:t>
      </w:r>
      <w:r>
        <w:rPr>
          <w:rFonts w:ascii="Arial" w:cs="Arial" w:eastAsia="Arial" w:hAnsi="Arial"/>
          <w:sz w:val="22"/>
          <w:szCs w:val="22"/>
        </w:rPr>
        <w:t xml:space="preserve">Medium (third-party REST APIs; API key or OAuth2 provider-dependent)</w:t>
      </w:r>
    </w:p>
    <w:p>
      <w:pPr>
        <w:spacing w:after="200"/>
      </w:pPr>
    </w:p>
    <w:p>
      <w:pPr>
        <w:pStyle w:val="Heading3"/>
      </w:pPr>
      <w:r>
        <w:t xml:space="preserve">SAIP (IP Authority)</w:t>
      </w:r>
    </w:p>
    <w:p>
      <w:pPr>
        <w:spacing w:after="80"/>
      </w:pPr>
      <w:r>
        <w:rPr>
          <w:rFonts w:ascii="Arial" w:cs="Arial" w:eastAsia="Arial" w:hAnsi="Arial"/>
          <w:b/>
          <w:bCs/>
          <w:sz w:val="22"/>
          <w:szCs w:val="22"/>
        </w:rPr>
        <w:t xml:space="preserve">URL: </w:t>
      </w:r>
      <w:r>
        <w:rPr>
          <w:rFonts w:ascii="Arial" w:cs="Arial" w:eastAsia="Arial" w:hAnsi="Arial"/>
          <w:sz w:val="22"/>
          <w:szCs w:val="22"/>
        </w:rPr>
        <w:t xml:space="preserve">https://www.saip.gov.sa/en/ | Portal: https://my.gov.sa/en/agencies/17807</w:t>
      </w:r>
    </w:p>
    <w:p>
      <w:pPr>
        <w:spacing w:after="80"/>
      </w:pPr>
      <w:r>
        <w:rPr>
          <w:rFonts w:ascii="Arial" w:cs="Arial" w:eastAsia="Arial" w:hAnsi="Arial"/>
          <w:b/>
          <w:bCs/>
          <w:sz w:val="22"/>
          <w:szCs w:val="22"/>
        </w:rPr>
        <w:t xml:space="preserve">Volume: </w:t>
      </w:r>
      <w:r>
        <w:rPr>
          <w:rFonts w:ascii="Arial" w:cs="Arial" w:eastAsia="Arial" w:hAnsi="Arial"/>
          <w:sz w:val="22"/>
          <w:szCs w:val="22"/>
        </w:rPr>
        <w:t xml:space="preserve">National registrations (volume unpublished); 21 regional centers across 5 regions</w:t>
      </w:r>
    </w:p>
    <w:p>
      <w:pPr>
        <w:spacing w:after="80"/>
      </w:pPr>
      <w:r>
        <w:rPr>
          <w:rFonts w:ascii="Arial" w:cs="Arial" w:eastAsia="Arial" w:hAnsi="Arial"/>
          <w:b/>
          <w:bCs/>
          <w:sz w:val="22"/>
          <w:szCs w:val="22"/>
        </w:rPr>
        <w:t xml:space="preserve">Access Method: </w:t>
      </w:r>
      <w:r>
        <w:rPr>
          <w:rFonts w:ascii="Arial" w:cs="Arial" w:eastAsia="Arial" w:hAnsi="Arial"/>
          <w:sz w:val="22"/>
          <w:szCs w:val="22"/>
        </w:rPr>
        <w:t xml:space="preserve">Ministry portal; 21 regional centers; email/phone inquiry; in-person registration. No documented API.</w:t>
      </w:r>
    </w:p>
    <w:p>
      <w:pPr>
        <w:spacing w:after="80"/>
      </w:pPr>
      <w:r>
        <w:rPr>
          <w:rFonts w:ascii="Arial" w:cs="Arial" w:eastAsia="Arial" w:hAnsi="Arial"/>
          <w:b/>
          <w:bCs/>
          <w:sz w:val="22"/>
          <w:szCs w:val="22"/>
        </w:rPr>
        <w:t xml:space="preserve">Data Format: </w:t>
      </w:r>
      <w:r>
        <w:rPr>
          <w:rFonts w:ascii="Arial" w:cs="Arial" w:eastAsia="Arial" w:hAnsi="Arial"/>
          <w:sz w:val="22"/>
          <w:szCs w:val="22"/>
        </w:rPr>
        <w:t xml:space="preserve">Traditional document-based; web portal where available; physical records</w:t>
      </w:r>
    </w:p>
    <w:p>
      <w:pPr>
        <w:spacing w:after="80"/>
      </w:pPr>
      <w:r>
        <w:rPr>
          <w:rFonts w:ascii="Arial" w:cs="Arial" w:eastAsia="Arial" w:hAnsi="Arial"/>
          <w:b/>
          <w:bCs/>
          <w:sz w:val="22"/>
          <w:szCs w:val="22"/>
        </w:rPr>
        <w:t xml:space="preserve">Update Frequency: </w:t>
      </w:r>
      <w:r>
        <w:rPr>
          <w:rFonts w:ascii="Arial" w:cs="Arial" w:eastAsia="Arial" w:hAnsi="Arial"/>
          <w:sz w:val="22"/>
          <w:szCs w:val="22"/>
        </w:rPr>
        <w:t xml:space="preserve">Variable (government office processing times, typically weeks-months)</w:t>
      </w:r>
    </w:p>
    <w:p>
      <w:pPr>
        <w:spacing w:after="80"/>
      </w:pPr>
      <w:r>
        <w:rPr>
          <w:rFonts w:ascii="Arial" w:cs="Arial" w:eastAsia="Arial" w:hAnsi="Arial"/>
          <w:b/>
          <w:bCs/>
          <w:sz w:val="22"/>
          <w:szCs w:val="22"/>
        </w:rPr>
        <w:t xml:space="preserve">Cost: </w:t>
      </w:r>
      <w:r>
        <w:rPr>
          <w:rFonts w:ascii="Arial" w:cs="Arial" w:eastAsia="Arial" w:hAnsi="Arial"/>
          <w:sz w:val="22"/>
          <w:szCs w:val="22"/>
        </w:rPr>
        <w:t xml:space="preserve">Application/registration fees apply (variable by IP type)</w:t>
      </w:r>
    </w:p>
    <w:p>
      <w:pPr>
        <w:spacing w:after="80"/>
      </w:pPr>
      <w:r>
        <w:rPr>
          <w:rFonts w:ascii="Arial" w:cs="Arial" w:eastAsia="Arial" w:hAnsi="Arial"/>
          <w:b/>
          <w:bCs/>
          <w:sz w:val="22"/>
          <w:szCs w:val="22"/>
        </w:rPr>
        <w:t xml:space="preserve">Language: </w:t>
      </w:r>
      <w:r>
        <w:rPr>
          <w:rFonts w:ascii="Arial" w:cs="Arial" w:eastAsia="Arial" w:hAnsi="Arial"/>
          <w:sz w:val="22"/>
          <w:szCs w:val="22"/>
        </w:rPr>
        <w:t xml:space="preserve">Arabic (primary), English support</w:t>
      </w:r>
    </w:p>
    <w:p>
      <w:pPr>
        <w:spacing w:after="80"/>
      </w:pPr>
      <w:r>
        <w:rPr>
          <w:rFonts w:ascii="Arial" w:cs="Arial" w:eastAsia="Arial" w:hAnsi="Arial"/>
          <w:b/>
          <w:bCs/>
          <w:sz w:val="22"/>
          <w:szCs w:val="22"/>
        </w:rPr>
        <w:t xml:space="preserve">Legal Analysis: </w:t>
      </w:r>
      <w:r>
        <w:rPr>
          <w:rFonts w:ascii="Arial" w:cs="Arial" w:eastAsia="Arial" w:hAnsi="Arial"/>
          <w:sz w:val="22"/>
          <w:szCs w:val="22"/>
        </w:rPr>
        <w:t xml:space="preserve">Saudi PDPL applies. SDAIA supervisory authority. Applicant personal data protected.</w:t>
      </w:r>
    </w:p>
    <w:p>
      <w:pPr>
        <w:spacing w:after="80"/>
      </w:pPr>
      <w:r>
        <w:rPr>
          <w:rFonts w:ascii="Arial" w:cs="Arial" w:eastAsia="Arial" w:hAnsi="Arial"/>
          <w:b/>
          <w:bCs/>
          <w:sz w:val="22"/>
          <w:szCs w:val="22"/>
        </w:rPr>
        <w:t xml:space="preserve">Technical Complexity: </w:t>
      </w:r>
      <w:r>
        <w:rPr>
          <w:rFonts w:ascii="Arial" w:cs="Arial" w:eastAsia="Arial" w:hAnsi="Arial"/>
          <w:sz w:val="22"/>
          <w:szCs w:val="22"/>
        </w:rPr>
        <w:t xml:space="preserve">Low (limited digital infrastructure; manual processes)</w:t>
      </w:r>
    </w:p>
    <w:p>
      <w:pPr>
        <w:spacing w:after="200"/>
      </w:pPr>
    </w:p>
    <w:p>
      <w:r>
        <w:br w:type="page"/>
      </w:r>
    </w:p>
    <w:p>
      <w:pPr>
        <w:pStyle w:val="Heading1"/>
      </w:pPr>
      <w:r>
        <w:t xml:space="preserve">Technical Architecture Notes</w:t>
      </w:r>
    </w:p>
    <w:p>
      <w:pPr>
        <w:pStyle w:val="Heading2"/>
      </w:pPr>
      <w:r>
        <w:t xml:space="preserve">Multilingual Challenges</w:t>
      </w:r>
    </w:p>
    <w:p>
      <w:pPr>
        <w:spacing w:after="80"/>
      </w:pPr>
      <w:r>
        <w:rPr>
          <w:rFonts w:ascii="Arial" w:cs="Arial" w:eastAsia="Arial" w:hAnsi="Arial"/>
          <w:b/>
          <w:bCs/>
          <w:sz w:val="22"/>
          <w:szCs w:val="22"/>
        </w:rPr>
        <w:t xml:space="preserve">CJK Character Encoding: </w:t>
      </w:r>
      <w:r>
        <w:rPr>
          <w:rFonts w:ascii="Arial" w:cs="Arial" w:eastAsia="Arial" w:hAnsi="Arial"/>
          <w:sz w:val="22"/>
          <w:szCs w:val="22"/>
        </w:rPr>
        <w:t xml:space="preserve">Japanese (EDINET uses UTF-16), Chinese (GB2312/UTF-8), Korean require specialized text processing pipelines. EDINET XBRL_TO_CSV uses tab-delimited UTF-16 encoding.</w:t>
      </w:r>
    </w:p>
    <w:p>
      <w:pPr>
        <w:spacing w:after="80"/>
      </w:pPr>
      <w:r>
        <w:rPr>
          <w:rFonts w:ascii="Arial" w:cs="Arial" w:eastAsia="Arial" w:hAnsi="Arial"/>
          <w:b/>
          <w:bCs/>
          <w:sz w:val="22"/>
          <w:szCs w:val="22"/>
        </w:rPr>
        <w:t xml:space="preserve">Arabic Script: </w:t>
      </w:r>
      <w:r>
        <w:rPr>
          <w:rFonts w:ascii="Arial" w:cs="Arial" w:eastAsia="Arial" w:hAnsi="Arial"/>
          <w:sz w:val="22"/>
          <w:szCs w:val="22"/>
        </w:rPr>
        <w:t xml:space="preserve">Right-to-left rendering, Arabic numeral variants. UAE and Saudi sources use Arabic as primary language with varying English availability.</w:t>
      </w:r>
    </w:p>
    <w:p>
      <w:pPr>
        <w:spacing w:after="80"/>
      </w:pPr>
      <w:r>
        <w:rPr>
          <w:rFonts w:ascii="Arial" w:cs="Arial" w:eastAsia="Arial" w:hAnsi="Arial"/>
          <w:b/>
          <w:bCs/>
          <w:sz w:val="22"/>
          <w:szCs w:val="22"/>
        </w:rPr>
        <w:t xml:space="preserve">Latin American Portuguese/Spanish: </w:t>
      </w:r>
      <w:r>
        <w:rPr>
          <w:rFonts w:ascii="Arial" w:cs="Arial" w:eastAsia="Arial" w:hAnsi="Arial"/>
          <w:sz w:val="22"/>
          <w:szCs w:val="22"/>
        </w:rPr>
        <w:t xml:space="preserve">Accent characters (diacritics) in entity names require UTF-8 normalization. Brazilian INPI uses Portuguese-only interfaces.</w:t>
      </w:r>
    </w:p>
    <w:p>
      <w:pPr>
        <w:spacing w:after="80"/>
      </w:pPr>
      <w:r>
        <w:rPr>
          <w:rFonts w:ascii="Arial" w:cs="Arial" w:eastAsia="Arial" w:hAnsi="Arial"/>
          <w:b/>
          <w:bCs/>
          <w:sz w:val="22"/>
          <w:szCs w:val="22"/>
        </w:rPr>
        <w:t xml:space="preserve">European Multilingual: </w:t>
      </w:r>
      <w:r>
        <w:rPr>
          <w:rFonts w:ascii="Arial" w:cs="Arial" w:eastAsia="Arial" w:hAnsi="Arial"/>
          <w:sz w:val="22"/>
          <w:szCs w:val="22"/>
        </w:rPr>
        <w:t xml:space="preserve">EUR-Lex available in 24 languages. EUIPO supports all EU languages. Character encoding standardized to UTF-8.</w:t>
      </w:r>
    </w:p>
    <w:p>
      <w:pPr>
        <w:pStyle w:val="Heading2"/>
      </w:pPr>
      <w:r>
        <w:t xml:space="preserve">Scraping Infrastructure Needs</w:t>
      </w:r>
    </w:p>
    <w:p>
      <w:pPr>
        <w:spacing w:after="120"/>
      </w:pPr>
      <w:r>
        <w:rPr>
          <w:rFonts w:ascii="Arial" w:cs="Arial" w:eastAsia="Arial" w:hAnsi="Arial"/>
          <w:sz w:val="22"/>
          <w:szCs w:val="22"/>
        </w:rPr>
        <w:t xml:space="preserve">For jurisdictions without APIs (majority of IP offices, court databases, and African registries), a scraping infrastructure is needed. Key considerations:</w:t>
      </w:r>
    </w:p>
    <w:p>
      <w:pPr>
        <w:pStyle w:val="ListParagraph"/>
        <w:numPr>
          <w:ilvl w:val="0"/>
          <w:numId w:val="2"/>
        </w:numPr>
        <w:spacing w:after="60"/>
      </w:pPr>
      <w:r>
        <w:rPr>
          <w:rFonts w:ascii="Arial" w:cs="Arial" w:eastAsia="Arial" w:hAnsi="Arial"/>
          <w:sz w:val="22"/>
          <w:szCs w:val="22"/>
        </w:rPr>
        <w:t xml:space="preserve">Headless browser infrastructure (Playwright/Puppeteer) for JavaScript-rendered pages</w:t>
      </w:r>
    </w:p>
    <w:p>
      <w:pPr>
        <w:pStyle w:val="ListParagraph"/>
        <w:numPr>
          <w:ilvl w:val="0"/>
          <w:numId w:val="2"/>
        </w:numPr>
        <w:spacing w:after="60"/>
      </w:pPr>
      <w:r>
        <w:rPr>
          <w:rFonts w:ascii="Arial" w:cs="Arial" w:eastAsia="Arial" w:hAnsi="Arial"/>
          <w:sz w:val="22"/>
          <w:szCs w:val="22"/>
        </w:rPr>
        <w:t xml:space="preserve">Rotating proxy infrastructure per jurisdiction to avoid IP blocks</w:t>
      </w:r>
    </w:p>
    <w:p>
      <w:pPr>
        <w:pStyle w:val="ListParagraph"/>
        <w:numPr>
          <w:ilvl w:val="0"/>
          <w:numId w:val="2"/>
        </w:numPr>
        <w:spacing w:after="60"/>
      </w:pPr>
      <w:r>
        <w:rPr>
          <w:rFonts w:ascii="Arial" w:cs="Arial" w:eastAsia="Arial" w:hAnsi="Arial"/>
          <w:sz w:val="22"/>
          <w:szCs w:val="22"/>
        </w:rPr>
        <w:t xml:space="preserve">CAPTCHA handling for Indian Patent Office, some Chinese databases</w:t>
      </w:r>
    </w:p>
    <w:p>
      <w:pPr>
        <w:pStyle w:val="ListParagraph"/>
        <w:numPr>
          <w:ilvl w:val="0"/>
          <w:numId w:val="2"/>
        </w:numPr>
        <w:spacing w:after="60"/>
      </w:pPr>
      <w:r>
        <w:rPr>
          <w:rFonts w:ascii="Arial" w:cs="Arial" w:eastAsia="Arial" w:hAnsi="Arial"/>
          <w:sz w:val="22"/>
          <w:szCs w:val="22"/>
        </w:rPr>
        <w:t xml:space="preserve">Rate limiting compliance: EDINET mandates 3-5s intervals; Companies House 600 req/5min</w:t>
      </w:r>
    </w:p>
    <w:p>
      <w:pPr>
        <w:pStyle w:val="ListParagraph"/>
        <w:numPr>
          <w:ilvl w:val="0"/>
          <w:numId w:val="2"/>
        </w:numPr>
        <w:spacing w:after="60"/>
      </w:pPr>
      <w:r>
        <w:rPr>
          <w:rFonts w:ascii="Arial" w:cs="Arial" w:eastAsia="Arial" w:hAnsi="Arial"/>
          <w:sz w:val="22"/>
          <w:szCs w:val="22"/>
        </w:rPr>
        <w:t xml:space="preserve">Session management for authenticated portals (ACRA BizFile, INPI Brazil BuscaWeb, MCA21)</w:t>
      </w:r>
    </w:p>
    <w:p>
      <w:pPr>
        <w:pStyle w:val="ListParagraph"/>
        <w:numPr>
          <w:ilvl w:val="0"/>
          <w:numId w:val="2"/>
        </w:numPr>
        <w:spacing w:after="60"/>
      </w:pPr>
      <w:r>
        <w:rPr>
          <w:rFonts w:ascii="Arial" w:cs="Arial" w:eastAsia="Arial" w:hAnsi="Arial"/>
          <w:sz w:val="22"/>
          <w:szCs w:val="22"/>
        </w:rPr>
        <w:t xml:space="preserve">PDF parsing pipeline for court decisions (OCR for scanned documents in older jurisdictions)</w:t>
      </w:r>
    </w:p>
    <w:p>
      <w:pPr>
        <w:pStyle w:val="Heading2"/>
      </w:pPr>
      <w:r>
        <w:t xml:space="preserve">Authentication Patterns</w:t>
      </w:r>
    </w:p>
    <w:p>
      <w:pPr>
        <w:pStyle w:val="ListParagraph"/>
        <w:numPr>
          <w:ilvl w:val="0"/>
          <w:numId w:val="2"/>
        </w:numPr>
        <w:spacing w:after="60"/>
      </w:pPr>
      <w:r>
        <w:rPr>
          <w:rFonts w:ascii="Arial" w:cs="Arial" w:eastAsia="Arial" w:hAnsi="Arial"/>
          <w:sz w:val="22"/>
          <w:szCs w:val="22"/>
        </w:rPr>
        <w:t xml:space="preserve">OAuth 2.0: ASIC, IP Australia, EUIPO, EPO OPS, DIFC Dubai Pulse</w:t>
      </w:r>
    </w:p>
    <w:p>
      <w:pPr>
        <w:pStyle w:val="ListParagraph"/>
        <w:numPr>
          <w:ilvl w:val="0"/>
          <w:numId w:val="2"/>
        </w:numPr>
        <w:spacing w:after="60"/>
      </w:pPr>
      <w:r>
        <w:rPr>
          <w:rFonts w:ascii="Arial" w:cs="Arial" w:eastAsia="Arial" w:hAnsi="Arial"/>
          <w:sz w:val="22"/>
          <w:szCs w:val="22"/>
        </w:rPr>
        <w:t xml:space="preserve">API Key: Companies House, EDINET, DART, FCA, CMF Chile, CanLII</w:t>
      </w:r>
    </w:p>
    <w:p>
      <w:pPr>
        <w:pStyle w:val="ListParagraph"/>
        <w:numPr>
          <w:ilvl w:val="0"/>
          <w:numId w:val="2"/>
        </w:numPr>
        <w:spacing w:after="60"/>
      </w:pPr>
      <w:r>
        <w:rPr>
          <w:rFonts w:ascii="Arial" w:cs="Arial" w:eastAsia="Arial" w:hAnsi="Arial"/>
          <w:sz w:val="22"/>
          <w:szCs w:val="22"/>
        </w:rPr>
        <w:t xml:space="preserve">SOAP/HTTP: ABR (Australian Business Register)</w:t>
      </w:r>
    </w:p>
    <w:p>
      <w:pPr>
        <w:pStyle w:val="ListParagraph"/>
        <w:numPr>
          <w:ilvl w:val="0"/>
          <w:numId w:val="2"/>
        </w:numPr>
        <w:spacing w:after="60"/>
      </w:pPr>
      <w:r>
        <w:rPr>
          <w:rFonts w:ascii="Arial" w:cs="Arial" w:eastAsia="Arial" w:hAnsi="Arial"/>
          <w:sz w:val="22"/>
          <w:szCs w:val="22"/>
        </w:rPr>
        <w:t xml:space="preserve">SPARQL: EUR-Lex CELLAR endpoint</w:t>
      </w:r>
    </w:p>
    <w:p>
      <w:pPr>
        <w:pStyle w:val="ListParagraph"/>
        <w:numPr>
          <w:ilvl w:val="0"/>
          <w:numId w:val="2"/>
        </w:numPr>
        <w:spacing w:after="60"/>
      </w:pPr>
      <w:r>
        <w:rPr>
          <w:rFonts w:ascii="Arial" w:cs="Arial" w:eastAsia="Arial" w:hAnsi="Arial"/>
          <w:sz w:val="22"/>
          <w:szCs w:val="22"/>
        </w:rPr>
        <w:t xml:space="preserve">No auth (web scraping): Most court databases, IP offices, African registries</w:t>
      </w:r>
    </w:p>
    <w:p>
      <w:r>
        <w:br w:type="page"/>
      </w:r>
    </w:p>
    <w:p>
      <w:pPr>
        <w:pStyle w:val="Heading1"/>
      </w:pPr>
      <w:r>
        <w:t xml:space="preserve">Estimated Timeline and Cost by Region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600"/>
        <w:gridCol w:w="1600"/>
        <w:gridCol w:w="1600"/>
        <w:gridCol w:w="1200"/>
        <w:gridCol w:w="1760"/>
      </w:tblGrid>
      <w:tr>
        <w:tc>
          <w:tcPr>
            <w:tcW w:type="dxa" w:w="16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r>
              <w:rPr>
                <w:rFonts w:ascii="Arial" w:cs="Arial" w:eastAsia="Arial" w:hAnsi="Arial"/>
                <w:b/>
                <w:bCs/>
                <w:color w:val="FFFFFF"/>
                <w:sz w:val="18"/>
                <w:szCs w:val="18"/>
              </w:rPr>
              <w:t xml:space="preserve">Region</w:t>
            </w:r>
          </w:p>
        </w:tc>
        <w:tc>
          <w:tcPr>
            <w:tcW w:type="dxa" w:w="16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r>
              <w:rPr>
                <w:rFonts w:ascii="Arial" w:cs="Arial" w:eastAsia="Arial" w:hAnsi="Arial"/>
                <w:b/>
                <w:bCs/>
                <w:color w:val="FFFFFF"/>
                <w:sz w:val="18"/>
                <w:szCs w:val="18"/>
              </w:rPr>
              <w:t xml:space="preserve">Sources</w:t>
            </w:r>
          </w:p>
        </w:tc>
        <w:tc>
          <w:tcPr>
            <w:tcW w:type="dxa" w:w="16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r>
              <w:rPr>
                <w:rFonts w:ascii="Arial" w:cs="Arial" w:eastAsia="Arial" w:hAnsi="Arial"/>
                <w:b/>
                <w:bCs/>
                <w:color w:val="FFFFFF"/>
                <w:sz w:val="18"/>
                <w:szCs w:val="18"/>
              </w:rPr>
              <w:t xml:space="preserve">Build Time</w:t>
            </w:r>
          </w:p>
        </w:tc>
        <w:tc>
          <w:tcPr>
            <w:tcW w:type="dxa" w:w="16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r>
              <w:rPr>
                <w:rFonts w:ascii="Arial" w:cs="Arial" w:eastAsia="Arial" w:hAnsi="Arial"/>
                <w:b/>
                <w:bCs/>
                <w:color w:val="FFFFFF"/>
                <w:sz w:val="18"/>
                <w:szCs w:val="18"/>
              </w:rPr>
              <w:t xml:space="preserve">Data License</w:t>
            </w:r>
          </w:p>
        </w:tc>
        <w:tc>
          <w:tcPr>
            <w:tcW w:type="dxa" w:w="12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r>
              <w:rPr>
                <w:rFonts w:ascii="Arial" w:cs="Arial" w:eastAsia="Arial" w:hAnsi="Arial"/>
                <w:b/>
                <w:bCs/>
                <w:color w:val="FFFFFF"/>
                <w:sz w:val="18"/>
                <w:szCs w:val="18"/>
              </w:rPr>
              <w:t xml:space="preserve">Infra Cost</w:t>
            </w:r>
          </w:p>
        </w:tc>
        <w:tc>
          <w:tcPr>
            <w:tcW w:type="dxa" w:w="176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r>
              <w:rPr>
                <w:rFonts w:ascii="Arial" w:cs="Arial" w:eastAsia="Arial" w:hAnsi="Arial"/>
                <w:b/>
                <w:bCs/>
                <w:color w:val="FFFFFF"/>
                <w:sz w:val="18"/>
                <w:szCs w:val="18"/>
              </w:rPr>
              <w:t xml:space="preserve">Key Blocker</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UK/EU</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8 sources</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4-6 weeks</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Free-GBP20K</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Low</w:t>
            </w:r>
          </w:p>
        </w:tc>
        <w:tc>
          <w:tcPr>
            <w:tcW w:type="dxa" w:w="1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GDPR compliance</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Australia</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6 sources</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3-4 weeks</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Free</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Low</w:t>
            </w:r>
          </w:p>
        </w:tc>
        <w:tc>
          <w:tcPr>
            <w:tcW w:type="dxa" w:w="1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AustLII licensing</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Canada</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5 sources</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4-6 weeks</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Free-$500/mo</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Medium</w:t>
            </w:r>
          </w:p>
        </w:tc>
        <w:tc>
          <w:tcPr>
            <w:tcW w:type="dxa" w:w="1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Provincial fragmentation</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Japan/Korea</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5 sources</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4-6 weeks</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Free</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Medium</w:t>
            </w:r>
          </w:p>
        </w:tc>
        <w:tc>
          <w:tcPr>
            <w:tcW w:type="dxa" w:w="1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CJK encoding/NLP</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Singapore/HK</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6 sources</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3-4 weeks</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Mixed</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Low</w:t>
            </w:r>
          </w:p>
        </w:tc>
        <w:tc>
          <w:tcPr>
            <w:tcW w:type="dxa" w:w="1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ACRA pricing</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India</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4 sources</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4-6 weeks</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INR 5-100/q</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Low</w:t>
            </w:r>
          </w:p>
        </w:tc>
        <w:tc>
          <w:tcPr>
            <w:tcW w:type="dxa" w:w="1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MCA21 reliability</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China</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3 sources</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8-12 weeks</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Licensed</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High</w:t>
            </w:r>
          </w:p>
        </w:tc>
        <w:tc>
          <w:tcPr>
            <w:tcW w:type="dxa" w:w="1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PIPL/localization</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Brazil</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4 sources</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4-6 weeks</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Free</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Low</w:t>
            </w:r>
          </w:p>
        </w:tc>
        <w:tc>
          <w:tcPr>
            <w:tcW w:type="dxa" w:w="1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Portuguese NLP</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LatAm (other)</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10 sources</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8-12 weeks</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Free-Low</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Medium</w:t>
            </w:r>
          </w:p>
        </w:tc>
        <w:tc>
          <w:tcPr>
            <w:tcW w:type="dxa" w:w="1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No APIs, Spanish</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Kenya</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5 sources</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4-6 weeks</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Free-Licensed</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Low</w:t>
            </w:r>
          </w:p>
        </w:tc>
        <w:tc>
          <w:tcPr>
            <w:tcW w:type="dxa" w:w="1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No APIs</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South Africa</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4 sources</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4-6 weeks</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Free-Licensed</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Low</w:t>
            </w:r>
          </w:p>
        </w:tc>
        <w:tc>
          <w:tcPr>
            <w:tcW w:type="dxa" w:w="1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CIPC no bulk API</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Nigeria/Ghana</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5 sources</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6-8 weeks</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Mixed</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Medium</w:t>
            </w:r>
          </w:p>
        </w:tc>
        <w:tc>
          <w:tcPr>
            <w:tcW w:type="dxa" w:w="1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Limited digital infra</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UAE</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3 sources</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2-3 weeks</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Free</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Low</w:t>
            </w:r>
          </w:p>
        </w:tc>
        <w:tc>
          <w:tcPr>
            <w:tcW w:type="dxa" w:w="1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Small registries</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Saudi Arabia</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2 sources</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2-3 weeks</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Mixed</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Low</w:t>
            </w:r>
          </w:p>
        </w:tc>
        <w:tc>
          <w:tcPr>
            <w:tcW w:type="dxa" w:w="1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Manual processes</w:t>
            </w:r>
          </w:p>
        </w:tc>
      </w:tr>
    </w:tbl>
    <w:p>
      <w:r>
        <w:br w:type="page"/>
      </w:r>
    </w:p>
    <w:p>
      <w:pPr>
        <w:pStyle w:val="Heading1"/>
      </w:pPr>
      <w:r>
        <w:t xml:space="preserve">Legal Risk Summary by Region</w:t>
      </w:r>
    </w:p>
    <w:p>
      <w:pPr>
        <w:pStyle w:val="Heading2"/>
      </w:pPr>
      <w:r>
        <w:t xml:space="preserve">High-Risk Jurisdictions (Strict Enforcement)</w:t>
      </w:r>
    </w:p>
    <w:p>
      <w:pPr>
        <w:spacing w:after="80"/>
      </w:pPr>
      <w:r>
        <w:rPr>
          <w:rFonts w:ascii="Arial" w:cs="Arial" w:eastAsia="Arial" w:hAnsi="Arial"/>
          <w:b/>
          <w:bCs/>
          <w:sz w:val="22"/>
          <w:szCs w:val="22"/>
        </w:rPr>
        <w:t xml:space="preserve">EU/UK (GDPR): </w:t>
      </w:r>
      <w:r>
        <w:rPr>
          <w:rFonts w:ascii="Arial" w:cs="Arial" w:eastAsia="Arial" w:hAnsi="Arial"/>
          <w:sz w:val="22"/>
          <w:szCs w:val="22"/>
        </w:rPr>
        <w:t xml:space="preserve">Fines up to 4% global annual turnover. Strictest enforcement globally. Requires DPIA, DPO appointment, lawful basis documentation. PSC data at Companies House contains personal information requiring careful handling.</w:t>
      </w:r>
    </w:p>
    <w:p>
      <w:pPr>
        <w:spacing w:after="80"/>
      </w:pPr>
      <w:r>
        <w:rPr>
          <w:rFonts w:ascii="Arial" w:cs="Arial" w:eastAsia="Arial" w:hAnsi="Arial"/>
          <w:b/>
          <w:bCs/>
          <w:sz w:val="22"/>
          <w:szCs w:val="22"/>
        </w:rPr>
        <w:t xml:space="preserve">China (PIPL/Cybersecurity Law): </w:t>
      </w:r>
      <w:r>
        <w:rPr>
          <w:rFonts w:ascii="Arial" w:cs="Arial" w:eastAsia="Arial" w:hAnsi="Arial"/>
          <w:sz w:val="22"/>
          <w:szCs w:val="22"/>
        </w:rPr>
        <w:t xml:space="preserve">Data localization mandatory for financial institutions. Cross-border transfer restrictions. CSRC oversight for overseas listing data. Encryption requirements for sensitive financial data.</w:t>
      </w:r>
    </w:p>
    <w:p>
      <w:pPr>
        <w:pStyle w:val="Heading2"/>
      </w:pPr>
      <w:r>
        <w:t xml:space="preserve">Medium-Risk Jurisdictions</w:t>
      </w:r>
    </w:p>
    <w:p>
      <w:pPr>
        <w:spacing w:after="80"/>
      </w:pPr>
      <w:r>
        <w:rPr>
          <w:rFonts w:ascii="Arial" w:cs="Arial" w:eastAsia="Arial" w:hAnsi="Arial"/>
          <w:b/>
          <w:bCs/>
          <w:sz w:val="22"/>
          <w:szCs w:val="22"/>
        </w:rPr>
        <w:t xml:space="preserve">Brazil (LGPD): </w:t>
      </w:r>
      <w:r>
        <w:rPr>
          <w:rFonts w:ascii="Arial" w:cs="Arial" w:eastAsia="Arial" w:hAnsi="Arial"/>
          <w:sz w:val="22"/>
          <w:szCs w:val="22"/>
        </w:rPr>
        <w:t xml:space="preserve">Fines up to 2% annual revenue. ANPD enforcement. Consent-based processing with exceptions. Data subject rights including anonymization and portability.</w:t>
      </w:r>
    </w:p>
    <w:p>
      <w:pPr>
        <w:spacing w:after="80"/>
      </w:pPr>
      <w:r>
        <w:rPr>
          <w:rFonts w:ascii="Arial" w:cs="Arial" w:eastAsia="Arial" w:hAnsi="Arial"/>
          <w:b/>
          <w:bCs/>
          <w:sz w:val="22"/>
          <w:szCs w:val="22"/>
        </w:rPr>
        <w:t xml:space="preserve">South Africa (POPIA): </w:t>
      </w:r>
      <w:r>
        <w:rPr>
          <w:rFonts w:ascii="Arial" w:cs="Arial" w:eastAsia="Arial" w:hAnsi="Arial"/>
          <w:sz w:val="22"/>
          <w:szCs w:val="22"/>
        </w:rPr>
        <w:t xml:space="preserve">Max penalty 10% turnover or ZAR 10M. Information Officer appointment mandatory. Strict data accuracy requirements.</w:t>
      </w:r>
    </w:p>
    <w:p>
      <w:pPr>
        <w:spacing w:after="80"/>
      </w:pPr>
      <w:r>
        <w:rPr>
          <w:rFonts w:ascii="Arial" w:cs="Arial" w:eastAsia="Arial" w:hAnsi="Arial"/>
          <w:b/>
          <w:bCs/>
          <w:sz w:val="22"/>
          <w:szCs w:val="22"/>
        </w:rPr>
        <w:t xml:space="preserve">Kenya (DPA 2019): </w:t>
      </w:r>
      <w:r>
        <w:rPr>
          <w:rFonts w:ascii="Arial" w:cs="Arial" w:eastAsia="Arial" w:hAnsi="Arial"/>
          <w:sz w:val="22"/>
          <w:szCs w:val="22"/>
        </w:rPr>
        <w:t xml:space="preserve">Penalties up to KES 5M or 1% turnover. DPIA required. ODPC registration. Particularly relevant given Arkova's Kenya legal engagement.</w:t>
      </w:r>
    </w:p>
    <w:p>
      <w:pPr>
        <w:spacing w:after="80"/>
      </w:pPr>
      <w:r>
        <w:rPr>
          <w:rFonts w:ascii="Arial" w:cs="Arial" w:eastAsia="Arial" w:hAnsi="Arial"/>
          <w:b/>
          <w:bCs/>
          <w:sz w:val="22"/>
          <w:szCs w:val="22"/>
        </w:rPr>
        <w:t xml:space="preserve">Nigeria (NDPR): </w:t>
      </w:r>
      <w:r>
        <w:rPr>
          <w:rFonts w:ascii="Arial" w:cs="Arial" w:eastAsia="Arial" w:hAnsi="Arial"/>
          <w:sz w:val="22"/>
          <w:szCs w:val="22"/>
        </w:rPr>
        <w:t xml:space="preserve">2% annual revenue fines for entities with 10,000+ data subjects. DPO certification required.</w:t>
      </w:r>
    </w:p>
    <w:p>
      <w:pPr>
        <w:spacing w:after="80"/>
      </w:pPr>
      <w:r>
        <w:rPr>
          <w:rFonts w:ascii="Arial" w:cs="Arial" w:eastAsia="Arial" w:hAnsi="Arial"/>
          <w:b/>
          <w:bCs/>
          <w:sz w:val="22"/>
          <w:szCs w:val="22"/>
        </w:rPr>
        <w:t xml:space="preserve">Singapore (PDPA): </w:t>
      </w:r>
      <w:r>
        <w:rPr>
          <w:rFonts w:ascii="Arial" w:cs="Arial" w:eastAsia="Arial" w:hAnsi="Arial"/>
          <w:sz w:val="22"/>
          <w:szCs w:val="22"/>
        </w:rPr>
        <w:t xml:space="preserve">Up to 10% annual turnover penalties (if exceeding SGD 10M). 3-day breach notification.</w:t>
      </w:r>
    </w:p>
    <w:p>
      <w:pPr>
        <w:spacing w:after="80"/>
      </w:pPr>
      <w:r>
        <w:rPr>
          <w:rFonts w:ascii="Arial" w:cs="Arial" w:eastAsia="Arial" w:hAnsi="Arial"/>
          <w:b/>
          <w:bCs/>
          <w:sz w:val="22"/>
          <w:szCs w:val="22"/>
        </w:rPr>
        <w:t xml:space="preserve">India (IT Act/SPDI): </w:t>
      </w:r>
      <w:r>
        <w:rPr>
          <w:rFonts w:ascii="Arial" w:cs="Arial" w:eastAsia="Arial" w:hAnsi="Arial"/>
          <w:sz w:val="22"/>
          <w:szCs w:val="22"/>
        </w:rPr>
        <w:t xml:space="preserve">ISO 27001 or annual audit required for significant systems. Grievance Officer mandatory. Consent and privacy policy disclosure required.</w:t>
      </w:r>
    </w:p>
    <w:p>
      <w:pPr>
        <w:pStyle w:val="Heading2"/>
      </w:pPr>
      <w:r>
        <w:t xml:space="preserve">Lower-Risk Jurisdictions</w:t>
      </w:r>
    </w:p>
    <w:p>
      <w:pPr>
        <w:spacing w:after="80"/>
      </w:pPr>
      <w:r>
        <w:rPr>
          <w:rFonts w:ascii="Arial" w:cs="Arial" w:eastAsia="Arial" w:hAnsi="Arial"/>
          <w:b/>
          <w:bCs/>
          <w:sz w:val="22"/>
          <w:szCs w:val="22"/>
        </w:rPr>
        <w:t xml:space="preserve">Australia: </w:t>
      </w:r>
      <w:r>
        <w:rPr>
          <w:rFonts w:ascii="Arial" w:cs="Arial" w:eastAsia="Arial" w:hAnsi="Arial"/>
          <w:sz w:val="22"/>
          <w:szCs w:val="22"/>
        </w:rPr>
        <w:t xml:space="preserve">Privacy Act 1988 with 13 APPs. Moderate enforcement. ABR data freely available. ASIC residential address restrictions (Feb 2026) manageable.</w:t>
      </w:r>
    </w:p>
    <w:p>
      <w:pPr>
        <w:spacing w:after="80"/>
      </w:pPr>
      <w:r>
        <w:rPr>
          <w:rFonts w:ascii="Arial" w:cs="Arial" w:eastAsia="Arial" w:hAnsi="Arial"/>
          <w:b/>
          <w:bCs/>
          <w:sz w:val="22"/>
          <w:szCs w:val="22"/>
        </w:rPr>
        <w:t xml:space="preserve">Canada: </w:t>
      </w:r>
      <w:r>
        <w:rPr>
          <w:rFonts w:ascii="Arial" w:cs="Arial" w:eastAsia="Arial" w:hAnsi="Arial"/>
          <w:sz w:val="22"/>
          <w:szCs w:val="22"/>
        </w:rPr>
        <w:t xml:space="preserve">PIPEDA federal, plus provincial laws. Bilingual requirements. Open Government initiative supports access.</w:t>
      </w:r>
    </w:p>
    <w:p>
      <w:pPr>
        <w:spacing w:after="80"/>
      </w:pPr>
      <w:r>
        <w:rPr>
          <w:rFonts w:ascii="Arial" w:cs="Arial" w:eastAsia="Arial" w:hAnsi="Arial"/>
          <w:b/>
          <w:bCs/>
          <w:sz w:val="22"/>
          <w:szCs w:val="22"/>
        </w:rPr>
        <w:t xml:space="preserve">Japan/Korea: </w:t>
      </w:r>
      <w:r>
        <w:rPr>
          <w:rFonts w:ascii="Arial" w:cs="Arial" w:eastAsia="Arial" w:hAnsi="Arial"/>
          <w:sz w:val="22"/>
          <w:szCs w:val="22"/>
        </w:rPr>
        <w:t xml:space="preserve">APPI has GDPR adequacy. DART/EDINET free and well-documented. Fair use oriented.</w:t>
      </w:r>
    </w:p>
    <w:p>
      <w:pPr>
        <w:spacing w:after="80"/>
      </w:pPr>
      <w:r>
        <w:rPr>
          <w:rFonts w:ascii="Arial" w:cs="Arial" w:eastAsia="Arial" w:hAnsi="Arial"/>
          <w:b/>
          <w:bCs/>
          <w:sz w:val="22"/>
          <w:szCs w:val="22"/>
        </w:rPr>
        <w:t xml:space="preserve">UAE/Saudi: </w:t>
      </w:r>
      <w:r>
        <w:rPr>
          <w:rFonts w:ascii="Arial" w:cs="Arial" w:eastAsia="Arial" w:hAnsi="Arial"/>
          <w:sz w:val="22"/>
          <w:szCs w:val="22"/>
        </w:rPr>
        <w:t xml:space="preserve">PDPL frameworks developing. DIFC has stricter regime than mainland UAE. Saudi PDPL compliance deadline passed (Sep 2024).</w:t>
      </w:r>
    </w:p>
    <w:p>
      <w:pPr>
        <w:pStyle w:val="Heading2"/>
      </w:pPr>
      <w:r>
        <w:t xml:space="preserve">Scraping Legality by Region</w:t>
      </w:r>
    </w:p>
    <w:p>
      <w:pPr>
        <w:spacing w:after="120"/>
      </w:pPr>
      <w:r>
        <w:rPr>
          <w:rFonts w:ascii="Arial" w:cs="Arial" w:eastAsia="Arial" w:hAnsi="Arial"/>
          <w:sz w:val="22"/>
          <w:szCs w:val="22"/>
        </w:rPr>
        <w:t xml:space="preserve">Web scraping legality varies significantly by jurisdiction and must be assessed per-source:</w:t>
      </w:r>
    </w:p>
    <w:p>
      <w:pPr>
        <w:pStyle w:val="ListParagraph"/>
        <w:numPr>
          <w:ilvl w:val="0"/>
          <w:numId w:val="2"/>
        </w:numPr>
        <w:spacing w:after="60"/>
      </w:pPr>
      <w:r>
        <w:rPr>
          <w:rFonts w:ascii="Arial" w:cs="Arial" w:eastAsia="Arial" w:hAnsi="Arial"/>
          <w:sz w:val="22"/>
          <w:szCs w:val="22"/>
        </w:rPr>
        <w:t xml:space="preserve">UK/EU: Generally permissible for public data under legitimate interest; GDPR limits on personal data. AustLII and BAILII explicitly prohibit scraping.</w:t>
      </w:r>
    </w:p>
    <w:p>
      <w:pPr>
        <w:pStyle w:val="ListParagraph"/>
        <w:numPr>
          <w:ilvl w:val="0"/>
          <w:numId w:val="2"/>
        </w:numPr>
        <w:spacing w:after="60"/>
      </w:pPr>
      <w:r>
        <w:rPr>
          <w:rFonts w:ascii="Arial" w:cs="Arial" w:eastAsia="Arial" w:hAnsi="Arial"/>
          <w:sz w:val="22"/>
          <w:szCs w:val="22"/>
        </w:rPr>
        <w:t xml:space="preserve">US-influence jurisdictions (Singapore, India, Philippines): Courts generally permit scraping of public data; TOS violations are civil, not criminal.</w:t>
      </w:r>
    </w:p>
    <w:p>
      <w:pPr>
        <w:pStyle w:val="ListParagraph"/>
        <w:numPr>
          <w:ilvl w:val="0"/>
          <w:numId w:val="2"/>
        </w:numPr>
        <w:spacing w:after="60"/>
      </w:pPr>
      <w:r>
        <w:rPr>
          <w:rFonts w:ascii="Arial" w:cs="Arial" w:eastAsia="Arial" w:hAnsi="Arial"/>
          <w:sz w:val="22"/>
          <w:szCs w:val="22"/>
        </w:rPr>
        <w:t xml:space="preserve">China: Anti-unfair competition law and PIPL create significant risk. Government databases may restrict automated access.</w:t>
      </w:r>
    </w:p>
    <w:p>
      <w:pPr>
        <w:pStyle w:val="ListParagraph"/>
        <w:numPr>
          <w:ilvl w:val="0"/>
          <w:numId w:val="2"/>
        </w:numPr>
        <w:spacing w:after="60"/>
      </w:pPr>
      <w:r>
        <w:rPr>
          <w:rFonts w:ascii="Arial" w:cs="Arial" w:eastAsia="Arial" w:hAnsi="Arial"/>
          <w:sz w:val="22"/>
          <w:szCs w:val="22"/>
        </w:rPr>
        <w:t xml:space="preserve">Brazil/LatAm: LGPD and local competition laws apply. Official gazettes (DOU, DOF) are public domain.</w:t>
      </w:r>
    </w:p>
    <w:p>
      <w:pPr>
        <w:pStyle w:val="ListParagraph"/>
        <w:numPr>
          <w:ilvl w:val="0"/>
          <w:numId w:val="2"/>
        </w:numPr>
        <w:spacing w:after="60"/>
      </w:pPr>
      <w:r>
        <w:rPr>
          <w:rFonts w:ascii="Arial" w:cs="Arial" w:eastAsia="Arial" w:hAnsi="Arial"/>
          <w:sz w:val="22"/>
          <w:szCs w:val="22"/>
        </w:rPr>
        <w:t xml:space="preserve">Africa: Limited case law on scraping. Government data generally treated as public domain. Kenya Law is explicitly public.</w:t>
      </w:r>
    </w:p>
    <w:p>
      <w:pPr>
        <w:pStyle w:val="ListParagraph"/>
        <w:numPr>
          <w:ilvl w:val="0"/>
          <w:numId w:val="2"/>
        </w:numPr>
        <w:spacing w:after="60"/>
      </w:pPr>
      <w:r>
        <w:rPr>
          <w:rFonts w:ascii="Arial" w:cs="Arial" w:eastAsia="Arial" w:hAnsi="Arial"/>
          <w:sz w:val="22"/>
          <w:szCs w:val="22"/>
        </w:rPr>
        <w:t xml:space="preserve">Middle East: UAE/Saudi digital laws are new; scraping TOS may be enforced under computer fraud statutes.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2" w:space="1"/>
      </w:pBdr>
      <w:jc w:val="center"/>
    </w:pPr>
    <w:r>
      <w:rPr>
        <w:rFonts w:ascii="Arial" w:cs="Arial" w:eastAsia="Arial" w:hAnsi="Arial"/>
        <w:color w:val="888888"/>
        <w:sz w:val="16"/>
        <w:szCs w:val="16"/>
      </w:rPr>
      <w:t xml:space="preserve">CONFIDENTIAL — Arkova Inc. — Page </w:t>
    </w:r>
    <w:r>
      <w:rPr>
        <w:rFonts w:ascii="Arial" w:cs="Arial" w:eastAsia="Arial" w:hAnsi="Arial"/>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4F72" w:sz="4" w:space="1"/>
      </w:pBdr>
    </w:pPr>
    <w:r>
      <w:rPr>
        <w:rFonts w:ascii="Arial" w:cs="Arial" w:eastAsia="Arial" w:hAnsi="Arial"/>
        <w:i/>
        <w:iCs/>
        <w:color w:val="888888"/>
        <w:sz w:val="18"/>
        <w:szCs w:val="18"/>
      </w:rPr>
      <w:t xml:space="preserve">Arkova — Global Data Source Registry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360"/>
      <w:outlineLvl w:val="0"/>
    </w:pPr>
    <w:rPr>
      <w:rFonts w:ascii="Arial" w:cs="Arial" w:eastAsia="Arial" w:hAnsi="Arial"/>
      <w:b/>
      <w:bCs/>
      <w:color w:val="1B4F72"/>
      <w:sz w:val="36"/>
      <w:szCs w:val="36"/>
    </w:rPr>
  </w:style>
  <w:style w:type="paragraph" w:styleId="Heading2">
    <w:name w:val="Heading 2"/>
    <w:basedOn w:val="Normal"/>
    <w:next w:val="Normal"/>
    <w:qFormat/>
    <w:pPr>
      <w:spacing w:after="180" w:before="240"/>
      <w:outlineLvl w:val="1"/>
    </w:pPr>
    <w:rPr>
      <w:rFonts w:ascii="Arial" w:cs="Arial" w:eastAsia="Arial" w:hAnsi="Arial"/>
      <w:b/>
      <w:bCs/>
      <w:color w:val="2E86C1"/>
      <w:sz w:val="30"/>
      <w:szCs w:val="30"/>
    </w:rPr>
  </w:style>
  <w:style w:type="paragraph" w:styleId="Heading3">
    <w:name w:val="Heading 3"/>
    <w:basedOn w:val="Normal"/>
    <w:next w:val="Normal"/>
    <w:qFormat/>
    <w:pPr>
      <w:spacing w:after="120" w:before="200"/>
      <w:outlineLvl w:val="2"/>
    </w:pPr>
    <w:rPr>
      <w:rFonts w:ascii="Arial" w:cs="Arial" w:eastAsia="Arial" w:hAnsi="Arial"/>
      <w:b/>
      <w:bCs/>
      <w:color w:val="2C3E5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2026-03-21T20:57:16.294Z</dcterms:created>
  <dcterms:modified xsi:type="dcterms:W3CDTF">2026-03-21T20:57:16.294Z</dcterms:modified>
</cp:coreProperties>
</file>

<file path=docProps/custom.xml><?xml version="1.0" encoding="utf-8"?>
<Properties xmlns="http://schemas.openxmlformats.org/officeDocument/2006/custom-properties" xmlns:vt="http://schemas.openxmlformats.org/officeDocument/2006/docPropsVTypes"/>
</file>