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ARKOVA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Autonomous Compliance Infrastructure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1B3A5C"/>
          <w:sz w:val="26"/>
          <w:szCs w:val="26"/>
        </w:rPr>
        <w:t xml:space="preserve">Powered by Nessie — The Verified Intelligence Engine</w:t>
      </w:r>
    </w:p>
    <w:p>
      <w:pPr>
        <w:pBdr>
          <w:bottom w:val="single" w:color="2E75B6" w:sz="6" w:space="1"/>
        </w:pBdr>
        <w:spacing w:after="6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color w:val="1B3A5C"/>
          <w:sz w:val="32"/>
          <w:szCs w:val="32"/>
        </w:rPr>
        <w:t xml:space="preserve">Strategic Roadmap &amp; Implementation Plan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2.0 | March 2026</w:t>
      </w:r>
    </w:p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DRAFT — CONFIDENTIAL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Arkova is building autonomous compliance infrastructure to replace manual compliance processes with AI-powered, cryptographically verified automation that operates 24/7 across every jurisdiction. Every verification is backed by Bitcoin-anchored evidence, providing immutable proof of regulatory status.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platform rests on three strategic pillars: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Anchored Verification: </w:t>
      </w:r>
      <w:r>
        <w:rPr>
          <w:rFonts w:ascii="Arial" w:cs="Arial" w:eastAsia="Arial" w:hAnsi="Arial"/>
          <w:sz w:val="24"/>
          <w:szCs w:val="24"/>
        </w:rPr>
        <w:t xml:space="preserve">Bitcoin-timestamped proof of document existence and regulatory filings, providing a tamper-proof foundation for compliance evidence.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Verified Intelligence (Nessie): </w:t>
      </w:r>
      <w:r>
        <w:rPr>
          <w:rFonts w:ascii="Arial" w:cs="Arial" w:eastAsia="Arial" w:hAnsi="Arial"/>
          <w:sz w:val="24"/>
          <w:szCs w:val="24"/>
        </w:rPr>
        <w:t xml:space="preserve">Arkova’s domain-specific language model trained on cryptographically verified data — the only language model with provably authentic training data. Nessie enables regulatory reasoning, compliance checking, and multi-jurisdiction intelligence.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Global Regulatory Coverage: </w:t>
      </w:r>
      <w:r>
        <w:rPr>
          <w:rFonts w:ascii="Arial" w:cs="Arial" w:eastAsia="Arial" w:hAnsi="Arial"/>
          <w:sz w:val="24"/>
          <w:szCs w:val="24"/>
        </w:rPr>
        <w:t xml:space="preserve">Systematic ingestion and anchoring of regulatory documents from 30+ jurisdictions, creating the world’s most comprehensive verified regulatory corpus.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Revenue 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Per-verification API: </w:t>
      </w:r>
      <w:r>
        <w:rPr>
          <w:rFonts w:ascii="Arial" w:cs="Arial" w:eastAsia="Arial" w:hAnsi="Arial"/>
          <w:sz w:val="24"/>
          <w:szCs w:val="24"/>
        </w:rPr>
        <w:t xml:space="preserve">$0.002 per verification via x402 micropayments (agent-to-agent autonomous payments).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Compliance SaaS: </w:t>
      </w:r>
      <w:r>
        <w:rPr>
          <w:rFonts w:ascii="Arial" w:cs="Arial" w:eastAsia="Arial" w:hAnsi="Arial"/>
          <w:sz w:val="24"/>
          <w:szCs w:val="24"/>
        </w:rPr>
        <w:t xml:space="preserve">$2,000–$10,000/month for automated compliance monitoring, regulatory intelligence, and audit trail management.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Enterprise Licensing: </w:t>
      </w:r>
      <w:r>
        <w:rPr>
          <w:rFonts w:ascii="Arial" w:cs="Arial" w:eastAsia="Arial" w:hAnsi="Arial"/>
          <w:sz w:val="24"/>
          <w:szCs w:val="24"/>
        </w:rPr>
        <w:t xml:space="preserve">Custom pricing for platform licensing, dedicated SLM instances, and full CCO replacement suites.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Market Opportunity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Global compliance spend exceeds $50B annually and is growing at 15% per year. Regulatory complexity is accelerating across jurisdictions, creating an urgent need for automated, AI-driven compliance solutions. Arkova’s combination of cryptographic proof, verified AI, and global coverage creates a defensible moat in a market ripe for disruption.</w:t>
      </w:r>
    </w:p>
    <w:p>
      <w:r>
        <w:br w:type="page"/>
      </w:r>
    </w:p>
    <w:p>
      <w:pPr>
        <w:pStyle w:val="Heading1"/>
      </w:pPr>
      <w:r>
        <w:t xml:space="preserve">Part 1: x402 Payment Protocol — Implementation Plan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x402 protocol is the payment backbone for Arkova’s autonomous compliance infrastructure. It enables machine-to-machine micropayments, allowing AI agents to autonomously pay for verification and compliance services without human intervention.</w:t>
      </w:r>
    </w:p>
    <w:p>
      <w:pPr>
        <w:pStyle w:val="Heading2"/>
      </w:pPr>
      <w:r>
        <w:t xml:space="preserve">1.1 Protocol Overview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x402 implements HTTP 402 (Payment Required) as a native payment layer. When an agent requests a verification, the server responds with a 402 status and payment requirements. The agent’s facilitator negotiates payment, and the verification proceeds automatically.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Self-hosted facilitator: </w:t>
      </w:r>
      <w:r>
        <w:rPr>
          <w:rFonts w:ascii="Arial" w:cs="Arial" w:eastAsia="Arial" w:hAnsi="Arial"/>
          <w:sz w:val="24"/>
          <w:szCs w:val="24"/>
        </w:rPr>
        <w:t xml:space="preserve">Production deployments use a self-hosted facilitator (not Coinbase-hosted) for full control over payment routing, fee management, and compliance with financial regulations.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Agent-to-agent compliance checking: </w:t>
      </w:r>
      <w:r>
        <w:rPr>
          <w:rFonts w:ascii="Arial" w:cs="Arial" w:eastAsia="Arial" w:hAnsi="Arial"/>
          <w:sz w:val="24"/>
          <w:szCs w:val="24"/>
        </w:rPr>
        <w:t xml:space="preserve">AI agents autonomously pay to verify the regulatory status of counterparties, documents, or transactions in real time.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Compliance-specific API endpoints: </w:t>
      </w:r>
      <w:r>
        <w:rPr>
          <w:rFonts w:ascii="Arial" w:cs="Arial" w:eastAsia="Arial" w:hAnsi="Arial"/>
          <w:sz w:val="24"/>
          <w:szCs w:val="24"/>
        </w:rPr>
        <w:t xml:space="preserve">Alongside standard verification endpoints, dedicated compliance endpoints enable regulatory document lookup, jurisdiction-specific checks, and audit trail generation.</w:t>
      </w:r>
    </w:p>
    <w:p>
      <w:pPr>
        <w:pStyle w:val="Heading2"/>
      </w:pPr>
      <w:r>
        <w:t xml:space="preserve">1.2 Implementation Architecture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x402 implementation consists of four core components: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Payment Gateway: Receives 402 responses and negotiates payment terms with the facilitator.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Self-Hosted Facilitator: Manages USDC/stablecoin settlements on Base L2, handles fee splitting, and maintains transaction logs.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Verification Engine: Processes the paid request — document anchoring, regulatory lookup, or compliance check.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Audit Logger: Records every transaction with Bitcoin-anchored timestamps for immutable audit trails.</w:t>
      </w:r>
    </w:p>
    <w:p>
      <w:pPr>
        <w:pStyle w:val="Heading2"/>
      </w:pPr>
      <w:r>
        <w:t xml:space="preserve">1.3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416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/verify/document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Anchor and verify a document 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/verify/entity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entity regulatory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/compliance/check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compliance check against regulatory corpus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/compliance/monitor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 to regulatory change monitoring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$0.05/day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/regulatory/lookup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 up specific regulatory filing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/attestation/create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signed attestation certificate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/nessie/query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Nessie for verified regulatory intelligence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$0.01</w:t>
            </w:r>
          </w:p>
        </w:tc>
      </w:tr>
    </w:tbl>
    <w:p>
      <w:pPr>
        <w:pStyle w:val="Heading2"/>
      </w:pPr>
      <w:r>
        <w:t xml:space="preserve">1.4 Integration Targets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Agent framework integrations are prioritized by adoption and alignment with autonomous compliance use cases: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MCP Server (Primary): </w:t>
      </w:r>
      <w:r>
        <w:rPr>
          <w:rFonts w:ascii="Arial" w:cs="Arial" w:eastAsia="Arial" w:hAnsi="Arial"/>
          <w:sz w:val="24"/>
          <w:szCs w:val="24"/>
        </w:rPr>
        <w:t xml:space="preserve">Model Context Protocol integration enables Claude, GPT, and other LLM agents to natively access Arkova verification and compliance tools.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LangChain: </w:t>
      </w:r>
      <w:r>
        <w:rPr>
          <w:rFonts w:ascii="Arial" w:cs="Arial" w:eastAsia="Arial" w:hAnsi="Arial"/>
          <w:sz w:val="24"/>
          <w:szCs w:val="24"/>
        </w:rPr>
        <w:t xml:space="preserve">Tool and chain integrations for verification-in-the-loop workflows.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CrewAI: </w:t>
      </w:r>
      <w:r>
        <w:rPr>
          <w:rFonts w:ascii="Arial" w:cs="Arial" w:eastAsia="Arial" w:hAnsi="Arial"/>
          <w:sz w:val="24"/>
          <w:szCs w:val="24"/>
        </w:rPr>
        <w:t xml:space="preserve">Multi-agent compliance workflows where specialized agents handle different regulatory domains.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Custom REST API: </w:t>
      </w:r>
      <w:r>
        <w:rPr>
          <w:rFonts w:ascii="Arial" w:cs="Arial" w:eastAsia="Arial" w:hAnsi="Arial"/>
          <w:sz w:val="24"/>
          <w:szCs w:val="24"/>
        </w:rPr>
        <w:t xml:space="preserve">Direct HTTP integration for any agent framework or application.</w:t>
      </w:r>
    </w:p>
    <w:p>
      <w:r>
        <w:br w:type="page"/>
      </w:r>
    </w:p>
    <w:p>
      <w:pPr>
        <w:pStyle w:val="Heading1"/>
      </w:pPr>
      <w:r>
        <w:t xml:space="preserve">Part 2: Strategic Roadmap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roadmap is organized into three phases that build upon each other — from foundational infrastructure to market dominance. Each phase includes specific deliverables, user stories with acceptance criteria, and measurable targets.</w:t>
      </w:r>
    </w:p>
    <w:p>
      <w:pPr>
        <w:pStyle w:val="Heading2"/>
      </w:pPr>
      <w:r>
        <w:t xml:space="preserve">Phase 1.5: Foundation — API + Data + Nessie (Months 0–6)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Phase 1.5 establishes the technical foundation: a production-ready API with x402 micropayments, global data ingestion pipelines, and the first Nessie prototype trained on verified data.</w:t>
      </w:r>
    </w:p>
    <w:p>
      <w:pPr>
        <w:pStyle w:val="Heading3"/>
      </w:pPr>
      <w:r>
        <w:t xml:space="preserve">Key Deliverables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Public REST API with x402 micropayment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Global data ingestion pipeline (EDGAR first, expanding to all jurisdictions)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Nessie training: LoRA fine-tune on EDGAR filings (first model in 2–3 weeks)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Dataset preparation infrastructure for multi-jurisdiction corpus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Agent framework integrations (MCP server primary, LangChain, CrewAI)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Free tier: 10,000 verifications/month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Developer documentation, sandbox environment, and API playground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Compliance checking endpoint (regulatory document lookup + verification)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Multi-jurisdiction regulatory document anchoring begins</w:t>
      </w:r>
    </w:p>
    <w:p>
      <w:pPr>
        <w:pStyle w:val="Heading3"/>
      </w:pPr>
      <w:r>
        <w:t xml:space="preserve">Targets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1M+ anchored documents across initial jurisdictions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Working Nessie prototype with EDGAR domain expertise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MCP server available in agent marketplaces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First paying API customers</w:t>
      </w:r>
    </w:p>
    <w:p>
      <w:pPr>
        <w:pStyle w:val="Heading3"/>
      </w:pPr>
      <w:r>
        <w:t xml:space="preserve">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AI agent, I can pay $0.002 to verify a document hash via x402 without human intervention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receives 402 response, facilitator processes payment, verification completes in &lt;2s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developer, I can integrate Arkova verification into my agent via MCP server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 installable from marketplace, tools documented, sandbox available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compliance analyst, I can look up SEC filings with cryptographic proof of authenticity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EDGAR filings searchable by CIK/ticker, each result includes Bitcoin anchor proof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developer, I can test the API for free with 10K verifications/month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auto-provisions on signup, usage dashboard shows remaining quota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regulatory researcher, I can query Nessie about SEC filing content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Nessie returns accurate answers with citations to specific anchored filings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agent, I can check regulatory compliance status for a given entity and jurisdiction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endpoint returns status, relevant regulations, and attestation certificate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Phase II: Scale — Compliance Intelligence (Months 6–18)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Phase II deploys the SLM in production, scales to 10+ jurisdictions, and launches compliance-as-a-service. The platform transitions from verification infrastructure to full compliance intelligence.</w:t>
      </w:r>
    </w:p>
    <w:p>
      <w:pPr>
        <w:pStyle w:val="Heading3"/>
      </w:pPr>
      <w:r>
        <w:t xml:space="preserve">Key Deliverables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Nessie deployed in production (RAG + fine-tuned Llama 3.1 8B model)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Multi-jurisdiction regulatory intelligence with automated monitoring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Compliance-as-a-service: automated checks against anchored regulatory corpus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Agent identity verification and compliance certificates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Real-time regulatory change detection across jurisdictions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Attestation types: regulatory compliance, identity, credential, audit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Multi-tenant compliance dashboards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10+ jurisdictions fully covered with anchored regulatory data</w:t>
      </w:r>
    </w:p>
    <w:p>
      <w:pPr>
        <w:pStyle w:val="Heading3"/>
      </w:pPr>
      <w:r>
        <w:t xml:space="preserve">Targets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$500K–$1.2M ARR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10M+ anchored documents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10+ jurisdictions with complete regulatory coverage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Nessie handling majority of compliance queries</w:t>
      </w:r>
    </w:p>
    <w:p>
      <w:pPr>
        <w:pStyle w:val="Heading3"/>
      </w:pPr>
      <w:r>
        <w:t xml:space="preserve">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compliance officer, I receive real-time alerts when regulations change in my jurisdictions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Alerts delivered within 1 hour of regulatory publication, with diff analysis and impact assessment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AI agent, I can verify the identity and compliance status of another agent before transacting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identity endpoint returns compliance certificates with cryptographic proof chain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fintech company, I can run automated compliance checks across multiple jurisdictions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accepts entity + jurisdictions, returns comprehensive compliance report in &lt;10s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enterprise customer, I can view compliance status across my organization in a 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 dashboard shows real-time compliance status, alerts, and audit trails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legal team, I can query Nessie for regulatory analysis with verified citations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Nessie provides analysis with links to anchored source documents and confidence scores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regtech company, I can build products on top of Arkova’s compliance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portal with comprehensive docs, SDKs in 3+ languages, partner tier pricing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Phase III: Dominance — Full CCO Replacement (Months 18–36)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Phase III delivers on Arkova’s ultimate vision: autonomous compliance agents that monitor, flag, and remediate regulatory issues without human intervention. The platform becomes the operating system for global compliance.</w:t>
      </w:r>
    </w:p>
    <w:p>
      <w:pPr>
        <w:pStyle w:val="Heading3"/>
      </w:pPr>
      <w:r>
        <w:t xml:space="preserve">Key Deliverables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Autonomous compliance agents that monitor, flag, and remediate issues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E-signatures with eIDAS and jurisdiction-specific legal recognition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QTSP partnership (partner with existing providers, not become one)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Platform licensing: other companies build compliance products on Arkova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Enterprise compliance suite replacing manual CCO workflows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Continuous audit trails with Bitcoin-anchored proof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Full legal defensibility across 30+ jurisdictions</w:t>
      </w:r>
    </w:p>
    <w:p>
      <w:pPr>
        <w:pStyle w:val="Heading3"/>
      </w:pPr>
      <w:r>
        <w:t xml:space="preserve">Targets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$3M+ ARR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100M+ anchored documents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Nessie generating majority of revenue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30+ jurisdictions with full coverage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Platform licensing contributing 20%+ of revenue</w:t>
      </w:r>
    </w:p>
    <w:p>
      <w:pPr>
        <w:pStyle w:val="Heading3"/>
      </w:pPr>
      <w:r>
        <w:t xml:space="preserve">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CEO, I can replace manual CCO workflows with autonomous compliance monitoring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handles end-to-end compliance: monitoring, alerting, remediation, and audit trail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legal executive, I can execute e-signatures with full legal recognition across jurisdictions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eIDAS-compliant signatures with QTSP partner integration, jurisdiction-specific validity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platform partner, I can build and sell compliance products on Arkova’s infrastructure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SDK, revenue sharing model, white-label capabilities, partner compliance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auditor, I can verify the complete compliance history of any entity with cryptographic proof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audit trail queryable by entity, jurisdiction, time range; every entry Bitcoin-anchored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multinational corporation, I can manage compliance across 30+ jurisdictions in one platform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dashboard for global compliance, per-jurisdiction drill-down, cross-jurisdiction conflict detection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3: Nessie — SLM Training Roadmap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Nessie is Arkova’s domain-specific language model and the platform’s core intelligence product. It is the only language model with cryptographically verified training data — every document in its training corpus is Bitcoin-anchored and provably authentic. This creates an unprecedented trust guarantee for regulatory and compliance AI.</w:t>
      </w:r>
    </w:p>
    <w:p>
      <w:pPr>
        <w:pStyle w:val="Heading2"/>
      </w:pPr>
      <w:r>
        <w:t xml:space="preserve">3.1 Architecture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Base Model: </w:t>
      </w:r>
      <w:r>
        <w:rPr>
          <w:rFonts w:ascii="Arial" w:cs="Arial" w:eastAsia="Arial" w:hAnsi="Arial"/>
          <w:sz w:val="24"/>
          <w:szCs w:val="24"/>
        </w:rPr>
        <w:t xml:space="preserve">Llama 3.1 8B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Nessie is built on Llama 3.1 8B. The 8B parameter size strikes the optimal balance between capability and deployability — large enough for sophisticated regulatory reasoning while small enough for client-side inference via WebLLM, preserving Arkova’s privacy guarantee.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Fine-Tuning Approach: </w:t>
      </w:r>
      <w:r>
        <w:rPr>
          <w:rFonts w:ascii="Arial" w:cs="Arial" w:eastAsia="Arial" w:hAnsi="Arial"/>
          <w:sz w:val="24"/>
          <w:szCs w:val="24"/>
        </w:rPr>
        <w:t xml:space="preserve">LoRA adapters per domain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Rather than a single monolithic fine-tune, Nessie uses domain-specific LoRA adapters (SEC filings, patents, academic papers, regulatory documents per jurisdiction). This enables modular deployment and targeted updates without retraining the entire model.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Inference Strategy: </w:t>
      </w:r>
      <w:r>
        <w:rPr>
          <w:rFonts w:ascii="Arial" w:cs="Arial" w:eastAsia="Arial" w:hAnsi="Arial"/>
          <w:sz w:val="24"/>
          <w:szCs w:val="24"/>
        </w:rPr>
        <w:t xml:space="preserve">RAG-first, then fine-tuning (hybrid approach)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RAG (Retrieval-Augmented Generation) against the anchored corpus provides Nessie’s primary knowledge layer. Fine-tuned LoRA adapters improve reasoning quality and reduce hallucination. The hybrid approach maximizes accuracy while minimizing training costs.</w:t>
      </w:r>
    </w:p>
    <w:p>
      <w:pPr>
        <w:pStyle w:val="Heading2"/>
      </w:pPr>
      <w:r>
        <w:t xml:space="preserve">3.2 Training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800"/>
        <w:gridCol w:w="1760"/>
        <w:gridCol w:w="2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Docs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 Filings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EDGAR (US)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1–4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500K+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USPTO, IP Australia, EPO, CIPO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2–4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/ Legal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AustLII, CanLII, SAFLII, Kenya Law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3–6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2M+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(Wave 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 Companies House, ACRA, ASIC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4–8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3M+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(Wave 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EU, India, Japan, South Korea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6–12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5M+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(Wave 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LatAm, Africa, Middle East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10–18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10M+</w:t>
            </w:r>
          </w:p>
        </w:tc>
      </w:tr>
    </w:tbl>
    <w:p>
      <w:pPr>
        <w:pStyle w:val="Heading2"/>
      </w:pPr>
      <w:r>
        <w:t xml:space="preserve">3.3 Nessie Infrastructure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Initial Training: </w:t>
      </w:r>
      <w:r>
        <w:rPr>
          <w:rFonts w:ascii="Arial" w:cs="Arial" w:eastAsia="Arial" w:hAnsi="Arial"/>
          <w:sz w:val="24"/>
          <w:szCs w:val="24"/>
        </w:rPr>
        <w:t xml:space="preserve">Together AI managed infrastructure for rapid prototyping and first Nessie LoRA adapters.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Production Training: </w:t>
      </w:r>
      <w:r>
        <w:rPr>
          <w:rFonts w:ascii="Arial" w:cs="Arial" w:eastAsia="Arial" w:hAnsi="Arial"/>
          <w:sz w:val="24"/>
          <w:szCs w:val="24"/>
        </w:rPr>
        <w:t xml:space="preserve">Self-hosted GPU cluster (A100/H100) for ongoing Nessie fine-tuning and model updates.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Client-Side Inference: </w:t>
      </w:r>
      <w:r>
        <w:rPr>
          <w:rFonts w:ascii="Arial" w:cs="Arial" w:eastAsia="Arial" w:hAnsi="Arial"/>
          <w:sz w:val="24"/>
          <w:szCs w:val="24"/>
        </w:rPr>
        <w:t xml:space="preserve">WebLLM enables browser-based Nessie inference, ensuring user data never leaves the client device. This preserves Arkova’s privacy guarantee and enables use cases in regulated industries where data residency is critical.</w:t>
      </w:r>
    </w:p>
    <w:p>
      <w:pPr>
        <w:pStyle w:val="Heading2"/>
      </w:pPr>
      <w:r>
        <w:t xml:space="preserve">3.4 Cost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Compute (Training)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$200K–$350K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$150K–$250K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$100K–$200K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Compute (Inference)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$80K–$150K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$200K–$400K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$300K–$500K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Pipeline Engineering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$200K–$300K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$150K–$200K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$100K–$150K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Engineering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$100K–$120K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$200K–$300K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$300K–$400K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$580K–$920K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$700K–$1.15M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$800K–$1.25M</w:t>
            </w:r>
          </w:p>
        </w:tc>
      </w:tr>
    </w:tbl>
    <w:p>
      <w:pPr>
        <w:pStyle w:val="Heading2"/>
      </w:pPr>
      <w:r>
        <w:t xml:space="preserve">3.5 Revenue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Nessie API Queries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$200K–$800K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$1M–$3M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$3M–$8M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SaaS (Nessie-powered)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$500K–$2M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$2M–$5M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$5M–$15M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Nessie Licensing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$500K–$5.5M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$2M–$10M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$5M–$20M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Projected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$1.2M–$8.3M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$5M–$18M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$13M–$43M</w:t>
            </w:r>
          </w:p>
        </w:tc>
      </w:tr>
    </w:tbl>
    <w:p>
      <w:pPr>
        <w:pStyle w:val="Heading2"/>
      </w:pPr>
      <w:r>
        <w:t xml:space="preserve">3.6 The Nessie Moat: Verified Training Data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Every document in Nessie’s training corpus has a Bitcoin-anchored timestamp proving when it was ingested and that it has not been altered. This creates a unique competitive advantage: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Provenance: </w:t>
      </w:r>
      <w:r>
        <w:rPr>
          <w:rFonts w:ascii="Arial" w:cs="Arial" w:eastAsia="Arial" w:hAnsi="Arial"/>
          <w:sz w:val="24"/>
          <w:szCs w:val="24"/>
        </w:rPr>
        <w:t xml:space="preserve">Users can trace any Nessie output back to its verified source documents.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Auditability: </w:t>
      </w:r>
      <w:r>
        <w:rPr>
          <w:rFonts w:ascii="Arial" w:cs="Arial" w:eastAsia="Arial" w:hAnsi="Arial"/>
          <w:sz w:val="24"/>
          <w:szCs w:val="24"/>
        </w:rPr>
        <w:t xml:space="preserve">Regulators can independently verify the training data’s authenticity.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Legal defensibility: </w:t>
      </w:r>
      <w:r>
        <w:rPr>
          <w:rFonts w:ascii="Arial" w:cs="Arial" w:eastAsia="Arial" w:hAnsi="Arial"/>
          <w:sz w:val="24"/>
          <w:szCs w:val="24"/>
        </w:rPr>
        <w:t xml:space="preserve">Outputs carry the same evidentiary weight as the underlying anchored documents.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Anti-hallucination: </w:t>
      </w:r>
      <w:r>
        <w:rPr>
          <w:rFonts w:ascii="Arial" w:cs="Arial" w:eastAsia="Arial" w:hAnsi="Arial"/>
          <w:sz w:val="24"/>
          <w:szCs w:val="24"/>
        </w:rPr>
        <w:t xml:space="preserve">RAG against verified corpus with provenance tracking dramatically reduces hallucination risk.</w:t>
      </w:r>
    </w:p>
    <w:p>
      <w:pPr>
        <w:pStyle w:val="Heading2"/>
      </w:pPr>
      <w:r>
        <w:t xml:space="preserve">3.7 Multi-Lingual Training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Global jurisdiction coverage requires multi-lingual capability. The training pipeline processes documents in their original language and produces LoRA adapters with language-specific fine-tuning: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Wave 1 (English): </w:t>
      </w:r>
      <w:r>
        <w:rPr>
          <w:rFonts w:ascii="Arial" w:cs="Arial" w:eastAsia="Arial" w:hAnsi="Arial"/>
          <w:sz w:val="24"/>
          <w:szCs w:val="24"/>
        </w:rPr>
        <w:t xml:space="preserve">US, UK, Australia, Canada, Singapore, Kenya, South Africa, Nigeria, Ghana, India, Hong Kong.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Wave 2 (European): </w:t>
      </w:r>
      <w:r>
        <w:rPr>
          <w:rFonts w:ascii="Arial" w:cs="Arial" w:eastAsia="Arial" w:hAnsi="Arial"/>
          <w:sz w:val="24"/>
          <w:szCs w:val="24"/>
        </w:rPr>
        <w:t xml:space="preserve">French, German, Dutch, Italian via EUR-Lex and national registries.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Wave 3 (Asian): </w:t>
      </w:r>
      <w:r>
        <w:rPr>
          <w:rFonts w:ascii="Arial" w:cs="Arial" w:eastAsia="Arial" w:hAnsi="Arial"/>
          <w:sz w:val="24"/>
          <w:szCs w:val="24"/>
        </w:rPr>
        <w:t xml:space="preserve">Japanese (EDINET), Korean (DART), Simplified Chinese (CNINFO).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Wave 4 (Latin American): </w:t>
      </w:r>
      <w:r>
        <w:rPr>
          <w:rFonts w:ascii="Arial" w:cs="Arial" w:eastAsia="Arial" w:hAnsi="Arial"/>
          <w:sz w:val="24"/>
          <w:szCs w:val="24"/>
        </w:rPr>
        <w:t xml:space="preserve">Portuguese (Brazil CVM, INPI), Spanish (Mexico, Colombia, Chile, Argentina, Peru).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Wave 5 (Middle Eastern): </w:t>
      </w:r>
      <w:r>
        <w:rPr>
          <w:rFonts w:ascii="Arial" w:cs="Arial" w:eastAsia="Arial" w:hAnsi="Arial"/>
          <w:sz w:val="24"/>
          <w:szCs w:val="24"/>
        </w:rPr>
        <w:t xml:space="preserve">Arabic (UAE DIFC/ADGM, Saudi Tadawul).</w:t>
      </w:r>
    </w:p>
    <w:p>
      <w:r>
        <w:br w:type="page"/>
      </w:r>
    </w:p>
    <w:p>
      <w:pPr>
        <w:pStyle w:val="Heading1"/>
      </w:pPr>
      <w:r>
        <w:t xml:space="preserve">Part 4: Global Data Bootstrap Strategy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Arkova’s competitive moat depends on building the world’s most comprehensive corpus of Bitcoin-anchored regulatory documents. This section details the prioritized jurisdiction rollout, balancing commercial value, data accessibility, and legal feasibility.</w:t>
      </w:r>
    </w:p>
    <w:p>
      <w:pPr>
        <w:pStyle w:val="Heading2"/>
      </w:pPr>
      <w:r>
        <w:t xml:space="preserve">4.1 Jurisdiction Priority Framework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Jurisdictions are ranked by a composite score of three factors: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Commercial Value: </w:t>
      </w:r>
      <w:r>
        <w:rPr>
          <w:rFonts w:ascii="Arial" w:cs="Arial" w:eastAsia="Arial" w:hAnsi="Arial"/>
          <w:sz w:val="24"/>
          <w:szCs w:val="24"/>
        </w:rPr>
        <w:t xml:space="preserve">Market size, willingness to pay, regulatory complexity.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Data Accessibility: </w:t>
      </w:r>
      <w:r>
        <w:rPr>
          <w:rFonts w:ascii="Arial" w:cs="Arial" w:eastAsia="Arial" w:hAnsi="Arial"/>
          <w:sz w:val="24"/>
          <w:szCs w:val="24"/>
        </w:rPr>
        <w:t xml:space="preserve">Quality of public APIs, structured data availability, language barriers.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Legal Feasibility: </w:t>
      </w:r>
      <w:r>
        <w:rPr>
          <w:rFonts w:ascii="Arial" w:cs="Arial" w:eastAsia="Arial" w:hAnsi="Arial"/>
          <w:sz w:val="24"/>
          <w:szCs w:val="24"/>
        </w:rPr>
        <w:t xml:space="preserve">Data licensing, scraping legality, privacy regulations.</w:t>
      </w:r>
    </w:p>
    <w:p>
      <w:pPr>
        <w:pStyle w:val="Heading2"/>
      </w:pPr>
      <w:r>
        <w:t xml:space="preserve">4.2 Wave 1: English-Speaking, Structured APIs (Months 0–6)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400"/>
        <w:gridCol w:w="1100"/>
        <w:gridCol w:w="15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Jurisdiction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Types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Volume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Method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EDGAR, USPTO, Federal Register, PACER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 filings, patents, regulations, court records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5M+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+ bulk download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United Kingdom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Companies House, IPO, legislation.gov.uk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filings, patents, legislation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2M+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Australia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ASIC, AustLII, IP Australia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filings, case law, patents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+ scraping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SEDAR+, CIPO, CanLII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Securities filings, patents, case law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+ bulk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Singapore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ACRA, SGX, IPOS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filings, exchange filings, IP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500K+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</w:tr>
    </w:tbl>
    <w:p>
      <w:pPr>
        <w:pStyle w:val="Heading2"/>
      </w:pPr>
      <w:r>
        <w:t xml:space="preserve">4.3 Wave 2: Mixed Language, Good APIs (Months 4–12)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000"/>
        <w:gridCol w:w="1400"/>
        <w:gridCol w:w="20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Jurisdiction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Volume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European Union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EUIPO, EPO, EUR-Lex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 (EN/FR/DE)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3M+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MCA, SEBI, Controller General of Patents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+ Hindi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2M+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Japan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EDINET, JPO, e-Gov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Japanese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2M+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 Korea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DART, KIPO, Korean Law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1M+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Hong Kong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CR, HKEX, HKIPO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+ Chinese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500K+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</w:pPr>
      <w:r>
        <w:t xml:space="preserve">4.4 Wave 3: Emerging Markets (Months 8–18)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800"/>
        <w:gridCol w:w="20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Jurisdictions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 Level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Latin America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Brazil (CVM, INPI), Mexico (BMV, IMPI), Colombia, Chile, Argentina, Peru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Securities commissions, IP offices, legal databases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varied APIs, scraping heavy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Africa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Kenya (Gazette, eCitizen, Kenya Law), South Africa (CIPC, SAFLII), Nigeria, Ghana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Government gazettes, company registries, case law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limited digital infrastructure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 East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UAE (DIFC, ADGM), Saudi Arabia (Tadawul)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zone registries, exchanges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English available in free zones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CNINFO, CNIPA, China Judgments Online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filings, patents, court decisions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 — language, access restrictions</w:t>
            </w:r>
          </w:p>
        </w:tc>
      </w:tr>
    </w:tbl>
    <w:p>
      <w:pPr>
        <w:pStyle w:val="Heading2"/>
      </w:pPr>
      <w:r>
        <w:t xml:space="preserve">4.5 Technical Architecture for Multi-Jurisdiction Ingestion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ingestion pipeline is designed for maximum flexibility across diverse data sources: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Source Adapters: Pluggable adapters per data source (API client, web scraper, bulk download handler). Each adapter normalizes documents into a common schema.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Document Processor: Extracts text, metadata, and structure. Handles multi-language content with language detection and translation where needed.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Anchoring Engine: Bitcoin-timestamps every document upon ingestion. Creates merkle trees for batch anchoring efficiency.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Index Builder: Builds searchable indices per jurisdiction, document type, and language. Feeds the RAG pipeline for SLM queries.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Quality Assurance: Automated validation of document completeness, deduplication, and cross-referencing against known filing databases.</w:t>
      </w:r>
    </w:p>
    <w:p>
      <w:pPr>
        <w:pStyle w:val="Heading2"/>
      </w:pPr>
      <w:r>
        <w:t xml:space="preserve">4.6 Legal Analysis by Region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Data collection legality varies significantly by jurisdiction. Key considerations: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US/UK/Australia/Canada: </w:t>
      </w:r>
      <w:r>
        <w:rPr>
          <w:rFonts w:ascii="Arial" w:cs="Arial" w:eastAsia="Arial" w:hAnsi="Arial"/>
          <w:sz w:val="24"/>
          <w:szCs w:val="24"/>
        </w:rPr>
        <w:t xml:space="preserve">Public records are freely available for commercial use. Government data is generally not copyrightable.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EU: </w:t>
      </w:r>
      <w:r>
        <w:rPr>
          <w:rFonts w:ascii="Arial" w:cs="Arial" w:eastAsia="Arial" w:hAnsi="Arial"/>
          <w:sz w:val="24"/>
          <w:szCs w:val="24"/>
        </w:rPr>
        <w:t xml:space="preserve">Database Directive applies. Scraping may trigger sui generis database rights. Use official APIs and bulk download programs where available.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Japan/Korea: </w:t>
      </w:r>
      <w:r>
        <w:rPr>
          <w:rFonts w:ascii="Arial" w:cs="Arial" w:eastAsia="Arial" w:hAnsi="Arial"/>
          <w:sz w:val="24"/>
          <w:szCs w:val="24"/>
        </w:rPr>
        <w:t xml:space="preserve">Copyright on government works varies. Japan allows reproduction for informational use; Korea requires case-by-case analysis.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Kenya/South Africa: </w:t>
      </w:r>
      <w:r>
        <w:rPr>
          <w:rFonts w:ascii="Arial" w:cs="Arial" w:eastAsia="Arial" w:hAnsi="Arial"/>
          <w:sz w:val="24"/>
          <w:szCs w:val="24"/>
        </w:rPr>
        <w:t xml:space="preserve">Carson is actively working with local counsel in Kenya. Government gazettes are public domain. Case law databases require licensing review.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China: </w:t>
      </w:r>
      <w:r>
        <w:rPr>
          <w:rFonts w:ascii="Arial" w:cs="Arial" w:eastAsia="Arial" w:hAnsi="Arial"/>
          <w:sz w:val="24"/>
          <w:szCs w:val="24"/>
        </w:rPr>
        <w:t xml:space="preserve">Significant access restrictions. Data localization requirements may necessitate in-country infrastructure.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UAE/Saudi: </w:t>
      </w:r>
      <w:r>
        <w:rPr>
          <w:rFonts w:ascii="Arial" w:cs="Arial" w:eastAsia="Arial" w:hAnsi="Arial"/>
          <w:sz w:val="24"/>
          <w:szCs w:val="24"/>
        </w:rPr>
        <w:t xml:space="preserve">Free zone data (DIFC, ADGM) is accessible in English. Mainland data requires Arabic processing and local legal review.</w:t>
      </w:r>
    </w:p>
    <w:p>
      <w:pPr>
        <w:pStyle w:val="Heading2"/>
      </w:pPr>
      <w:r>
        <w:t xml:space="preserve">4.7 Timeline and Cost Estimates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800"/>
        <w:gridCol w:w="1800"/>
        <w:gridCol w:w="18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Engineering 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Legal/Licensing Cost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 1 (US, UK, AU, CA, SG)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0–6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$150K–$250K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$20K–$40K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$170K–$290K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 2 (EU, IN, JP, KR, HK)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4–12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$200K–$350K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$40K–$80K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$240K–$430K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 3 (LatAm, Africa, ME, CN)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8–18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$250K–$400K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$60K–$120K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$310K–$520K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months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$600K–$1M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$120K–$240K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$720K–$1.24M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5: Gap Analysis &amp; Risk Assessment</w:t>
      </w:r>
    </w:p>
    <w:p>
      <w:pPr>
        <w:pStyle w:val="Heading2"/>
      </w:pPr>
      <w:r>
        <w:t xml:space="preserve">5.1 Critical Path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8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KMS for Bitcoin mainnet signing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Blocks production mainnet anchoring; testnet only without it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for KMS asymmetric signing access; fallback to self-managed HSM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— application pending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Nessie training infrastructure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Delays Nessie prototype and production deployment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Together AI for initial runs; self-hosted GPU cluster for 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 — EDGAR fetcher building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Self-hosted x402 facilitator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payment processing depends on facilitator stability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Extensive load testing; Coinbase hosted as fallback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development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QTSP partnership for e-signatures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III e-signature functionality blocked without partner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 outreach to European QTSPs in Phase II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</w:tbl>
    <w:p>
      <w:pPr>
        <w:pStyle w:val="Heading2"/>
      </w:pPr>
      <w:r>
        <w:t xml:space="preserve">5.2 Technical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Multi-language NLP quality in Nessie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Language-specific LoRA adapters; human-in-the-loop for low-resource languages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source API instability/changes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Adapter abstraction layer; monitoring and alerting on ingestion failures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WebLLM performance on consumer hardware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Quantization (4-bit/8-bit); progressive model loading; server-side fallback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Bitcoin anchoring costs at scale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Merkle tree batching; anchor once per block with thousands of documents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on government data sources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Respectful scraping; bulk download where available; caching layer</w:t>
            </w:r>
          </w:p>
        </w:tc>
      </w:tr>
    </w:tbl>
    <w:p>
      <w:pPr>
        <w:pStyle w:val="Heading2"/>
      </w:pPr>
      <w:r>
        <w:t xml:space="preserve">5.3 Regulatory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Jurisdiction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(GDPR)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processing of regulatory filings may contain PII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 detection and redaction pipeline; GDPR-compliant processing agreements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localization requirements; CAC approval may be needed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In-country infrastructure; local legal counsel; phased approach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DPDP Act compliance for data processing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only public filings; no personal data retention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Brazil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LGPD compliance; Portuguese language processing quality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data processing; human review for quality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Kenya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Evolving data protection framework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engagement with local counsel (in progress)</w:t>
            </w:r>
          </w:p>
        </w:tc>
      </w:tr>
    </w:tbl>
    <w:p>
      <w:pPr>
        <w:pStyle w:val="Heading2"/>
      </w:pPr>
      <w:r>
        <w:t xml:space="preserve">5.4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Arkova Advantage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Harvey 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AI assistant for law firms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Harvey lacks cryptographic verification; not compliance-focused; no micropayment API for agents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AlphaSense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research and market intelligence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AlphaSense is search-only; no anchoring, no compliance automation, no Nessie-class verified AI, no agent interoperability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Chainalysis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Blockchain analytics and compliance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Chainalysis focuses on crypto transactions; Arkova covers all regulatory domains with verified AI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Thomson Reuters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research and compliance tools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architecture; no AI-native compliance; no micropayment agent economy integration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Compliance.ai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change management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Narrow focus on change tracking; no verified corpus, no Nessie, no Bitcoin anchoring</w:t>
            </w:r>
          </w:p>
        </w:tc>
      </w:tr>
    </w:tbl>
    <w:p>
      <w:pPr>
        <w:pStyle w:val="Heading2"/>
      </w:pPr>
      <w:r>
        <w:t xml:space="preserve">5.5 SOC 2 Timeline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SOC 2 Type II certification is targeted for Month 12. Key milestones: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Month 3: </w:t>
      </w:r>
      <w:r>
        <w:rPr>
          <w:rFonts w:ascii="Arial" w:cs="Arial" w:eastAsia="Arial" w:hAnsi="Arial"/>
          <w:sz w:val="24"/>
          <w:szCs w:val="24"/>
        </w:rPr>
        <w:t xml:space="preserve">Security policies and procedures documented. Access controls implemented.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Month 6: </w:t>
      </w:r>
      <w:r>
        <w:rPr>
          <w:rFonts w:ascii="Arial" w:cs="Arial" w:eastAsia="Arial" w:hAnsi="Arial"/>
          <w:sz w:val="24"/>
          <w:szCs w:val="24"/>
        </w:rPr>
        <w:t xml:space="preserve">SOC 2 Type I audit initiated. Remediation of any findings.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Month 9: </w:t>
      </w:r>
      <w:r>
        <w:rPr>
          <w:rFonts w:ascii="Arial" w:cs="Arial" w:eastAsia="Arial" w:hAnsi="Arial"/>
          <w:sz w:val="24"/>
          <w:szCs w:val="24"/>
        </w:rPr>
        <w:t xml:space="preserve">Observation period begins for Type II.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Month 12: </w:t>
      </w:r>
      <w:r>
        <w:rPr>
          <w:rFonts w:ascii="Arial" w:cs="Arial" w:eastAsia="Arial" w:hAnsi="Arial"/>
          <w:sz w:val="24"/>
          <w:szCs w:val="24"/>
        </w:rPr>
        <w:t xml:space="preserve">SOC 2 Type II report issued.</w:t>
      </w:r>
    </w:p>
    <w:p>
      <w:r>
        <w:br w:type="page"/>
      </w:r>
    </w:p>
    <w:p>
      <w:pPr>
        <w:pStyle w:val="Heading1"/>
      </w:pPr>
      <w:r>
        <w:t xml:space="preserve">Appendix</w:t>
      </w:r>
    </w:p>
    <w:p>
      <w:pPr>
        <w:pStyle w:val="Heading2"/>
      </w:pPr>
      <w:r>
        <w:t xml:space="preserve">A. Open Questions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1200"/>
        <w:gridCol w:w="1400"/>
        <w:gridCol w:w="2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KMS approval timeline for asymmetric signing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 QTSP partners for eIDAS e-signatures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China data localization architecture and 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Kenya legal counsel engagement scope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Nessie/WebLLM performance benchmarks on target hardware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Team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Multi-jurisdiction conflict-of-law implications for compliance attestations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validation for compliance SaaS tiers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Nessie accuracy benchmarks vs. GPT-4/Claude on regulatory tasks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Team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5</w:t>
            </w:r>
          </w:p>
        </w:tc>
      </w:tr>
    </w:tbl>
    <w:p>
      <w:pPr>
        <w:pStyle w:val="Heading2"/>
      </w:pPr>
      <w:r>
        <w:t xml:space="preserve">B. Competitive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520"/>
        <w:gridCol w:w="1520"/>
        <w:gridCol w:w="172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Arkova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Harvey AI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AlphaSense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Chainalysis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Compliance.ai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Cryptographic Verification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Bitcoin Anchoring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Micropayments (x402)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Nessie (Verified SLM)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Multi-Jurisdiction 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Crypto-focused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+ EU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Automation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Inference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Regulatory Monitoring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E-Signature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</w:tbl>
    <w:p>
      <w:pPr>
        <w:pStyle w:val="Heading2"/>
      </w:pPr>
      <w:r>
        <w:t xml:space="preserve">C. Technical Architecture Overview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Arkova platform architecture consists of five primary layers: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Data Ingestion Layer: Source adapters, document processors, and the anchoring engine. Handles multi-jurisdiction, multi-language document intake.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Verification Layer: Bitcoin anchoring via direct OP_RETURN, cryptographic hash verification, and merkle tree management.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Intelligence Layer: Nessie (Llama 3.1 8B + LoRA), RAG pipeline, and compliance reasoning engine.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API Layer: REST API with x402 payment integration, MCP server, and agent framework SDKs.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Application Layer: Compliance dashboards, monitoring tools, and enterprise management console.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Each layer is independently scalable and designed for multi-tenant operation with jurisdiction-level data isolation where required by regulation.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DRAFT — Version 2.0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ARKOVA</w:t>
    </w:r>
    <w:r>
      <w:rPr>
        <w:rFonts w:ascii="Arial" w:cs="Arial" w:eastAsia="Arial" w:hAnsi="Arial"/>
        <w:color w:val="666666"/>
        <w:sz w:val="18"/>
        <w:szCs w:val="18"/>
      </w:rPr>
      <w:t xml:space="preserve">	Strategic Roadmap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2026-03-21T21:01:55.920Z</dcterms:created>
  <dcterms:modified xsi:type="dcterms:W3CDTF">2026-03-21T21:01:55.920Z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