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3.1.2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Lint Warning &amp; Evidence Clean-up Patch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3.1.2 — Lint Warning Clean-up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</w:tbl>
    <w:p>
      <w:pPr>
        <w:pStyle w:val="Heading2"/>
      </w:pPr>
      <w:r>
        <w:t xml:space="preserve">二、Warning 修复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修复方式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openai/client.ts _req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重命名为 _request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deepseek/client.ts _req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重命名为 _request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feishu/client.ts _msg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重命名为 _message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moka/client.ts _jobExternalId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重命名为 _jobId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moka/mapper.ts imports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移除未使用 import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eslint.config.mjs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argsIgnorePattern: "^_"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lint: 0 errors / 0 warnings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</w:tbl>
    <w:p>
      <w:pPr>
        <w:pStyle w:val="Heading2"/>
      </w:pPr>
      <w:r>
        <w:t xml:space="preserve">三、Adapter 隔离确认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外部 Adapter 是否仍为 not_configured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是否真实调用 OpenAI/DeepSeek/Moka/飞书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/jobs 页面是否直接依赖外部 adapter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是否修改 Schema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是否创建候选人页面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是否进入 Phase 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四、Git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bd1a62f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phase-3.1.2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五、结论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3.1.2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0 errors / 0 warnings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等待外部审查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3.1.2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2026-06-25T06:48:54.577Z</dcterms:created>
  <dcterms:modified xsi:type="dcterms:W3CDTF">2026-06-25T06:48:54.577Z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