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line="240" w:lineRule="auto"/>
      </w:pPr>
      <w:r>
        <w:rPr>
          <w:rFonts w:ascii="Calibri" w:hAnsi="Calibri"/>
          <w:b/>
          <w:i w:val="0"/>
          <w:color w:val="2E74B5"/>
          <w:sz w:val="20"/>
        </w:rPr>
        <w:t>FIXED-SCOPE SERVICE PROPOSAL</w:t>
      </w:r>
    </w:p>
    <w:p>
      <w:pPr>
        <w:keepNext w:val="0"/>
        <w:spacing w:before="0" w:after="160" w:line="240" w:lineRule="auto"/>
      </w:pPr>
      <w:r>
        <w:rPr>
          <w:rFonts w:ascii="Calibri" w:hAnsi="Calibri"/>
          <w:b/>
          <w:i w:val="0"/>
          <w:color w:val="0B2545"/>
          <w:sz w:val="58"/>
        </w:rPr>
        <w:t>Recovery Sprint</w:t>
      </w:r>
    </w:p>
    <w:p>
      <w:pPr>
        <w:keepNext w:val="0"/>
        <w:spacing w:before="0" w:after="360" w:line="264" w:lineRule="auto"/>
      </w:pPr>
      <w:r>
        <w:rPr>
          <w:rFonts w:ascii="Calibri" w:hAnsi="Calibri"/>
          <w:b w:val="0"/>
          <w:i w:val="0"/>
          <w:color w:val="5B6573"/>
          <w:sz w:val="26"/>
        </w:rPr>
        <w:t>A focused technical review for an affiliate content site.</w:t>
      </w:r>
    </w:p>
    <w:tbl>
      <w:tblPr>
        <w:tblW w:type="dxa" w:w="9360"/>
        <w:jc w:val="left"/>
        <w:tblLayout w:type="fixed"/>
        <w:tblLook w:firstColumn="1" w:firstRow="1" w:lastColumn="0" w:lastRow="0" w:noHBand="0" w:noVBand="1" w:val="04A0"/>
        <w:tblInd w:w="120" w:type="dxa"/>
        <w:tblBorders>
          <w:top w:val="single" w:sz="4" w:color="D9E2EC"/>
          <w:left w:val="single" w:sz="4" w:color="D9E2EC"/>
          <w:bottom w:val="single" w:sz="4" w:color="D9E2EC"/>
          <w:right w:val="single" w:sz="4" w:color="D9E2EC"/>
          <w:insideH w:val="single" w:sz="4" w:color="D9E2EC"/>
          <w:insideV w:val="single" w:sz="4" w:color="D9E2EC"/>
        </w:tblBorders>
      </w:tblPr>
      <w:tblGrid>
        <w:gridCol w:w="1350"/>
        <w:gridCol w:w="3330"/>
        <w:gridCol w:w="1350"/>
        <w:gridCol w:w="3330"/>
      </w:tblGrid>
      <w:tr>
        <w:trPr>
          <w:tblHeader w:val="true"/>
        </w:trPr>
        <w:tc>
          <w:tcPr>
            <w:tcW w:type="dxa" w:w="135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Field</w:t>
            </w:r>
          </w:p>
        </w:tc>
        <w:tc>
          <w:tcPr>
            <w:tcW w:type="dxa" w:w="333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Details</w:t>
            </w:r>
          </w:p>
        </w:tc>
        <w:tc>
          <w:tcPr>
            <w:tcW w:type="dxa" w:w="135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Field</w:t>
            </w:r>
          </w:p>
        </w:tc>
        <w:tc>
          <w:tcPr>
            <w:tcW w:type="dxa" w:w="333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Details</w:t>
            </w:r>
          </w:p>
        </w:tc>
      </w:tr>
      <w:tr>
        <w:tc>
          <w:tcPr>
            <w:tcW w:type="dxa" w:w="1350"/>
            <w:tcMar>
              <w:top w:w="80" w:type="dxa"/>
              <w:start w:w="120" w:type="dxa"/>
              <w:bottom w:w="80" w:type="dxa"/>
              <w:end w:w="120" w:type="dxa"/>
            </w:tcMar>
            <w:vAlign w:val="center"/>
            <w:shd w:fill="F4F6F9"/>
          </w:tcPr>
          <w:p>
            <w:pPr>
              <w:keepNext w:val="0"/>
              <w:spacing w:before="0" w:after="0" w:line="264" w:lineRule="auto"/>
            </w:pPr>
            <w:r>
              <w:rPr>
                <w:rFonts w:ascii="Calibri" w:hAnsi="Calibri"/>
                <w:b/>
                <w:i w:val="0"/>
                <w:color w:val="5B6573"/>
                <w:sz w:val="19"/>
              </w:rPr>
              <w:t>Prepared for</w:t>
            </w:r>
          </w:p>
        </w:tc>
        <w:tc>
          <w:tcPr>
            <w:tcW w:type="dxa" w:w="3330"/>
            <w:tcMar>
              <w:top w:w="80" w:type="dxa"/>
              <w:start w:w="120" w:type="dxa"/>
              <w:bottom w:w="80" w:type="dxa"/>
              <w:end w:w="120" w:type="dxa"/>
            </w:tcMar>
            <w:vAlign w:val="center"/>
          </w:tcPr>
          <w:p>
            <w:pPr>
              <w:keepNext w:val="0"/>
              <w:spacing w:before="0" w:after="0" w:line="264" w:lineRule="auto"/>
            </w:pPr>
            <w:r>
              <w:rPr>
                <w:rFonts w:ascii="Calibri" w:hAnsi="Calibri"/>
                <w:b w:val="0"/>
                <w:i w:val="0"/>
                <w:color w:val="0B2545"/>
                <w:sz w:val="20"/>
              </w:rPr>
              <w:t>[Client name]</w:t>
            </w:r>
          </w:p>
        </w:tc>
        <w:tc>
          <w:tcPr>
            <w:tcW w:type="dxa" w:w="1350"/>
            <w:tcMar>
              <w:top w:w="80" w:type="dxa"/>
              <w:start w:w="120" w:type="dxa"/>
              <w:bottom w:w="80" w:type="dxa"/>
              <w:end w:w="120" w:type="dxa"/>
            </w:tcMar>
            <w:vAlign w:val="center"/>
            <w:shd w:fill="F4F6F9"/>
          </w:tcPr>
          <w:p>
            <w:pPr>
              <w:keepNext w:val="0"/>
              <w:spacing w:before="0" w:after="0" w:line="264" w:lineRule="auto"/>
            </w:pPr>
            <w:r>
              <w:rPr>
                <w:rFonts w:ascii="Calibri" w:hAnsi="Calibri"/>
                <w:b/>
                <w:i w:val="0"/>
                <w:color w:val="5B6573"/>
                <w:sz w:val="19"/>
              </w:rPr>
              <w:t>Prepared by</w:t>
            </w:r>
          </w:p>
        </w:tc>
        <w:tc>
          <w:tcPr>
            <w:tcW w:type="dxa" w:w="3330"/>
            <w:tcMar>
              <w:top w:w="80" w:type="dxa"/>
              <w:start w:w="120" w:type="dxa"/>
              <w:bottom w:w="80" w:type="dxa"/>
              <w:end w:w="120" w:type="dxa"/>
            </w:tcMar>
            <w:vAlign w:val="center"/>
          </w:tcPr>
          <w:p>
            <w:pPr>
              <w:keepNext w:val="0"/>
              <w:spacing w:before="0" w:after="0" w:line="264" w:lineRule="auto"/>
            </w:pPr>
            <w:r>
              <w:rPr>
                <w:rFonts w:ascii="Calibri" w:hAnsi="Calibri"/>
                <w:b w:val="0"/>
                <w:i w:val="0"/>
                <w:color w:val="0B2545"/>
                <w:sz w:val="20"/>
              </w:rPr>
              <w:t>LinkRescue</w:t>
            </w:r>
          </w:p>
        </w:tc>
      </w:tr>
      <w:tr>
        <w:tc>
          <w:tcPr>
            <w:tcW w:type="dxa" w:w="1350"/>
            <w:tcMar>
              <w:top w:w="80" w:type="dxa"/>
              <w:start w:w="120" w:type="dxa"/>
              <w:bottom w:w="80" w:type="dxa"/>
              <w:end w:w="120" w:type="dxa"/>
            </w:tcMar>
            <w:vAlign w:val="center"/>
            <w:shd w:fill="F4F6F9"/>
          </w:tcPr>
          <w:p>
            <w:pPr>
              <w:keepNext w:val="0"/>
              <w:spacing w:before="0" w:after="0" w:line="264" w:lineRule="auto"/>
            </w:pPr>
            <w:r>
              <w:rPr>
                <w:rFonts w:ascii="Calibri" w:hAnsi="Calibri"/>
                <w:b/>
                <w:i w:val="0"/>
                <w:color w:val="5B6573"/>
                <w:sz w:val="19"/>
              </w:rPr>
              <w:t>Website</w:t>
            </w:r>
          </w:p>
        </w:tc>
        <w:tc>
          <w:tcPr>
            <w:tcW w:type="dxa" w:w="3330"/>
            <w:tcMar>
              <w:top w:w="80" w:type="dxa"/>
              <w:start w:w="120" w:type="dxa"/>
              <w:bottom w:w="80" w:type="dxa"/>
              <w:end w:w="120" w:type="dxa"/>
            </w:tcMar>
            <w:vAlign w:val="center"/>
          </w:tcPr>
          <w:p>
            <w:pPr>
              <w:keepNext w:val="0"/>
              <w:spacing w:before="0" w:after="0" w:line="264" w:lineRule="auto"/>
            </w:pPr>
            <w:r>
              <w:rPr>
                <w:rFonts w:ascii="Calibri" w:hAnsi="Calibri"/>
                <w:b w:val="0"/>
                <w:i w:val="0"/>
                <w:color w:val="0B2545"/>
                <w:sz w:val="20"/>
              </w:rPr>
              <w:t>[client-site.com]</w:t>
            </w:r>
          </w:p>
        </w:tc>
        <w:tc>
          <w:tcPr>
            <w:tcW w:type="dxa" w:w="1350"/>
            <w:tcMar>
              <w:top w:w="80" w:type="dxa"/>
              <w:start w:w="120" w:type="dxa"/>
              <w:bottom w:w="80" w:type="dxa"/>
              <w:end w:w="120" w:type="dxa"/>
            </w:tcMar>
            <w:vAlign w:val="center"/>
            <w:shd w:fill="F4F6F9"/>
          </w:tcPr>
          <w:p>
            <w:pPr>
              <w:keepNext w:val="0"/>
              <w:spacing w:before="0" w:after="0" w:line="264" w:lineRule="auto"/>
            </w:pPr>
            <w:r>
              <w:rPr>
                <w:rFonts w:ascii="Calibri" w:hAnsi="Calibri"/>
                <w:b/>
                <w:i w:val="0"/>
                <w:color w:val="5B6573"/>
                <w:sz w:val="19"/>
              </w:rPr>
              <w:t>Engagement</w:t>
            </w:r>
          </w:p>
        </w:tc>
        <w:tc>
          <w:tcPr>
            <w:tcW w:type="dxa" w:w="3330"/>
            <w:tcMar>
              <w:top w:w="80" w:type="dxa"/>
              <w:start w:w="120" w:type="dxa"/>
              <w:bottom w:w="80" w:type="dxa"/>
              <w:end w:w="120" w:type="dxa"/>
            </w:tcMar>
            <w:vAlign w:val="center"/>
          </w:tcPr>
          <w:p>
            <w:pPr>
              <w:keepNext w:val="0"/>
              <w:spacing w:before="0" w:after="0" w:line="264" w:lineRule="auto"/>
            </w:pPr>
            <w:r>
              <w:rPr>
                <w:rFonts w:ascii="Calibri" w:hAnsi="Calibri"/>
                <w:b w:val="0"/>
                <w:i w:val="0"/>
                <w:color w:val="0B2545"/>
                <w:sz w:val="20"/>
              </w:rPr>
              <w:t>Fixed-scope Recovery Sprint</w:t>
            </w:r>
          </w:p>
        </w:tc>
      </w:tr>
      <w:tr>
        <w:tc>
          <w:tcPr>
            <w:tcW w:type="dxa" w:w="1350"/>
            <w:tcMar>
              <w:top w:w="80" w:type="dxa"/>
              <w:start w:w="120" w:type="dxa"/>
              <w:bottom w:w="80" w:type="dxa"/>
              <w:end w:w="120" w:type="dxa"/>
            </w:tcMar>
            <w:vAlign w:val="center"/>
            <w:shd w:fill="F4F6F9"/>
          </w:tcPr>
          <w:p>
            <w:pPr>
              <w:keepNext w:val="0"/>
              <w:spacing w:before="0" w:after="0" w:line="264" w:lineRule="auto"/>
            </w:pPr>
            <w:r>
              <w:rPr>
                <w:rFonts w:ascii="Calibri" w:hAnsi="Calibri"/>
                <w:b/>
                <w:i w:val="0"/>
                <w:color w:val="5B6573"/>
                <w:sz w:val="19"/>
              </w:rPr>
              <w:t>Date</w:t>
            </w:r>
          </w:p>
        </w:tc>
        <w:tc>
          <w:tcPr>
            <w:tcW w:type="dxa" w:w="3330"/>
            <w:tcMar>
              <w:top w:w="80" w:type="dxa"/>
              <w:start w:w="120" w:type="dxa"/>
              <w:bottom w:w="80" w:type="dxa"/>
              <w:end w:w="120" w:type="dxa"/>
            </w:tcMar>
            <w:vAlign w:val="center"/>
          </w:tcPr>
          <w:p>
            <w:pPr>
              <w:keepNext w:val="0"/>
              <w:spacing w:before="0" w:after="0" w:line="264" w:lineRule="auto"/>
            </w:pPr>
            <w:r>
              <w:rPr>
                <w:rFonts w:ascii="Calibri" w:hAnsi="Calibri"/>
                <w:b w:val="0"/>
                <w:i w:val="0"/>
                <w:color w:val="0B2545"/>
                <w:sz w:val="20"/>
              </w:rPr>
              <w:t>August 12, 2026</w:t>
            </w:r>
          </w:p>
        </w:tc>
        <w:tc>
          <w:tcPr>
            <w:tcW w:type="dxa" w:w="1350"/>
            <w:tcMar>
              <w:top w:w="80" w:type="dxa"/>
              <w:start w:w="120" w:type="dxa"/>
              <w:bottom w:w="80" w:type="dxa"/>
              <w:end w:w="120" w:type="dxa"/>
            </w:tcMar>
            <w:vAlign w:val="center"/>
            <w:shd w:fill="F4F6F9"/>
          </w:tcPr>
          <w:p>
            <w:pPr>
              <w:keepNext w:val="0"/>
              <w:spacing w:before="0" w:after="0" w:line="264" w:lineRule="auto"/>
            </w:pPr>
            <w:r>
              <w:rPr>
                <w:rFonts w:ascii="Calibri" w:hAnsi="Calibri"/>
                <w:b/>
                <w:i w:val="0"/>
                <w:color w:val="5B6573"/>
                <w:sz w:val="19"/>
              </w:rPr>
              <w:t>Investment</w:t>
            </w:r>
          </w:p>
        </w:tc>
        <w:tc>
          <w:tcPr>
            <w:tcW w:type="dxa" w:w="3330"/>
            <w:tcMar>
              <w:top w:w="80" w:type="dxa"/>
              <w:start w:w="120" w:type="dxa"/>
              <w:bottom w:w="80" w:type="dxa"/>
              <w:end w:w="120" w:type="dxa"/>
            </w:tcMar>
            <w:vAlign w:val="center"/>
          </w:tcPr>
          <w:p>
            <w:pPr>
              <w:keepNext w:val="0"/>
              <w:spacing w:before="0" w:after="0" w:line="264" w:lineRule="auto"/>
            </w:pPr>
            <w:r>
              <w:rPr>
                <w:rFonts w:ascii="Calibri" w:hAnsi="Calibri"/>
                <w:b w:val="0"/>
                <w:i w:val="0"/>
                <w:color w:val="0B2545"/>
                <w:sz w:val="20"/>
              </w:rPr>
              <w:t>US $499</w:t>
            </w:r>
          </w:p>
        </w:tc>
      </w:tr>
    </w:tbl>
    <w:p>
      <w:pPr>
        <w:spacing w:after="40"/>
      </w:pPr>
    </w:p>
    <w:tbl>
      <w:tblPr>
        <w:tblW w:type="dxa" w:w="9360"/>
        <w:jc w:val="left"/>
        <w:tblLayout w:type="fixed"/>
        <w:tblLook w:firstColumn="1" w:firstRow="1" w:lastColumn="0" w:lastRow="0" w:noHBand="0" w:noVBand="1" w:val="04A0"/>
        <w:tblInd w:w="120" w:type="dxa"/>
        <w:tblBorders>
          <w:top w:val="single" w:sz="8" w:color="C8D8EA"/>
          <w:left w:val="single" w:sz="8" w:color="C8D8EA"/>
          <w:bottom w:val="single" w:sz="8" w:color="C8D8EA"/>
          <w:right w:val="single" w:sz="8" w:color="C8D8EA"/>
          <w:insideH w:val="single" w:sz="8" w:color="C8D8EA"/>
          <w:insideV w:val="single" w:sz="8" w:color="C8D8EA"/>
        </w:tblBorders>
      </w:tblPr>
      <w:tblGrid>
        <w:gridCol w:w="9360"/>
      </w:tblGrid>
      <w:tr>
        <w:tc>
          <w:tcPr>
            <w:tcW w:type="dxa" w:w="93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20"/>
              </w:rPr>
              <w:t xml:space="preserve">Purpose  </w:t>
            </w:r>
            <w:r>
              <w:rPr>
                <w:rFonts w:ascii="Calibri" w:hAnsi="Calibri"/>
                <w:b w:val="0"/>
                <w:i w:val="0"/>
                <w:color w:val="0B2545"/>
                <w:sz w:val="21"/>
              </w:rPr>
              <w:t>This proposal turns observable link evidence into a prioritized technical repair plan. It does not estimate lost revenue, guarantee commissions, or authorize work beyond the agreed scope.</w:t>
            </w:r>
          </w:p>
        </w:tc>
      </w:tr>
    </w:tbl>
    <w:p>
      <w:pPr>
        <w:spacing w:after="40"/>
      </w:pPr>
    </w:p>
    <w:p>
      <w:pPr>
        <w:pStyle w:val="Heading1"/>
        <w:keepNext/>
        <w:spacing w:before="0" w:after="120" w:line="240" w:lineRule="auto"/>
      </w:pPr>
      <w:r>
        <w:rPr>
          <w:rFonts w:ascii="Calibri" w:hAnsi="Calibri"/>
          <w:b/>
          <w:i w:val="0"/>
          <w:color w:val="2E74B5"/>
          <w:sz w:val="32"/>
        </w:rPr>
        <w:t>1. The engagement</w:t>
      </w:r>
    </w:p>
    <w:p>
      <w:pPr>
        <w:keepNext w:val="0"/>
        <w:spacing w:before="0" w:after="120" w:line="264" w:lineRule="auto"/>
      </w:pPr>
      <w:r>
        <w:rPr>
          <w:rFonts w:ascii="Calibri" w:hAnsi="Calibri"/>
          <w:b w:val="0"/>
          <w:i w:val="0"/>
          <w:color w:val="0B2545"/>
          <w:sz w:val="22"/>
        </w:rPr>
        <w:t>LinkRescue will review the agreed public pages and outbound links for technical issues that can be observed without access to analytics, affiliate dashboards, or private systems. The result is a clear, written repair list for the client's team or developer.</w:t>
      </w:r>
    </w:p>
    <w:p>
      <w:pPr>
        <w:pStyle w:val="Heading1"/>
        <w:keepNext/>
        <w:spacing w:before="0" w:after="120" w:line="240" w:lineRule="auto"/>
      </w:pPr>
      <w:r>
        <w:rPr>
          <w:rFonts w:ascii="Calibri" w:hAnsi="Calibri"/>
          <w:b/>
          <w:i w:val="0"/>
          <w:color w:val="2E74B5"/>
          <w:sz w:val="32"/>
        </w:rPr>
        <w:t>2. Scope of work</w:t>
      </w:r>
    </w:p>
    <w:tbl>
      <w:tblPr>
        <w:tblW w:type="dxa" w:w="9360"/>
        <w:jc w:val="left"/>
        <w:tblLayout w:type="fixed"/>
        <w:tblLook w:firstColumn="1" w:firstRow="1" w:lastColumn="0" w:lastRow="0" w:noHBand="0" w:noVBand="1" w:val="04A0"/>
        <w:tblInd w:w="120" w:type="dxa"/>
        <w:tblBorders>
          <w:top w:val="single" w:sz="6" w:color="D9E2EC"/>
          <w:left w:val="single" w:sz="6" w:color="D9E2EC"/>
          <w:bottom w:val="single" w:sz="6" w:color="D9E2EC"/>
          <w:right w:val="single" w:sz="6" w:color="D9E2EC"/>
          <w:insideH w:val="single" w:sz="6" w:color="D9E2EC"/>
          <w:insideV w:val="single" w:sz="6" w:color="D9E2EC"/>
        </w:tblBorders>
      </w:tblPr>
      <w:tblGrid>
        <w:gridCol w:w="2600"/>
        <w:gridCol w:w="6760"/>
      </w:tblGrid>
      <w:tr>
        <w:trPr>
          <w:tblHeader w:val="true"/>
        </w:trPr>
        <w:tc>
          <w:tcPr>
            <w:tcW w:type="dxa" w:w="260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Included</w:t>
            </w:r>
          </w:p>
        </w:tc>
        <w:tc>
          <w:tcPr>
            <w:tcW w:type="dxa" w:w="67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What LinkRescue will deliver</w:t>
            </w:r>
          </w:p>
        </w:tc>
      </w:tr>
      <w:tr>
        <w:tc>
          <w:tcPr>
            <w:tcW w:type="dxa" w:w="2600"/>
          </w:tcPr>
          <w:p>
            <w:pPr>
              <w:keepNext w:val="0"/>
              <w:spacing w:before="0" w:after="0" w:line="264" w:lineRule="auto"/>
            </w:pPr>
            <w:r>
              <w:rPr>
                <w:rFonts w:ascii="Calibri" w:hAnsi="Calibri"/>
                <w:b w:val="0"/>
                <w:i w:val="0"/>
                <w:color w:val="0B2545"/>
                <w:sz w:val="20"/>
              </w:rPr>
              <w:t>Public-page review</w:t>
            </w:r>
          </w:p>
        </w:tc>
        <w:tc>
          <w:tcPr>
            <w:tcW w:type="dxa" w:w="6760"/>
          </w:tcPr>
          <w:p>
            <w:pPr>
              <w:keepNext w:val="0"/>
              <w:spacing w:before="0" w:after="0" w:line="264" w:lineRule="auto"/>
            </w:pPr>
            <w:r>
              <w:rPr>
                <w:rFonts w:ascii="Calibri" w:hAnsi="Calibri"/>
                <w:b w:val="0"/>
                <w:i w:val="0"/>
                <w:color w:val="0B2545"/>
                <w:sz w:val="20"/>
              </w:rPr>
              <w:t>Review up to [20] agreed public pages or the agreed crawl sample.</w:t>
            </w:r>
          </w:p>
        </w:tc>
      </w:tr>
      <w:tr>
        <w:tc>
          <w:tcPr>
            <w:tcW w:type="dxa" w:w="2600"/>
          </w:tcPr>
          <w:p>
            <w:pPr>
              <w:keepNext w:val="0"/>
              <w:spacing w:before="0" w:after="0" w:line="264" w:lineRule="auto"/>
            </w:pPr>
            <w:r>
              <w:rPr>
                <w:rFonts w:ascii="Calibri" w:hAnsi="Calibri"/>
                <w:b w:val="0"/>
                <w:i w:val="0"/>
                <w:color w:val="0B2545"/>
                <w:sz w:val="20"/>
              </w:rPr>
              <w:t>Outbound-link checks</w:t>
            </w:r>
          </w:p>
        </w:tc>
        <w:tc>
          <w:tcPr>
            <w:tcW w:type="dxa" w:w="6760"/>
          </w:tcPr>
          <w:p>
            <w:pPr>
              <w:keepNext w:val="0"/>
              <w:spacing w:before="0" w:after="0" w:line="264" w:lineRule="auto"/>
            </w:pPr>
            <w:r>
              <w:rPr>
                <w:rFonts w:ascii="Calibri" w:hAnsi="Calibri"/>
                <w:b w:val="0"/>
                <w:i w:val="0"/>
                <w:color w:val="0B2545"/>
                <w:sz w:val="20"/>
              </w:rPr>
              <w:t>Identify observable broken links, non-working destinations, redirect behavior, and visible tracking-parameter risks.</w:t>
            </w:r>
          </w:p>
        </w:tc>
      </w:tr>
      <w:tr>
        <w:tc>
          <w:tcPr>
            <w:tcW w:type="dxa" w:w="2600"/>
          </w:tcPr>
          <w:p>
            <w:pPr>
              <w:keepNext w:val="0"/>
              <w:spacing w:before="0" w:after="0" w:line="264" w:lineRule="auto"/>
            </w:pPr>
            <w:r>
              <w:rPr>
                <w:rFonts w:ascii="Calibri" w:hAnsi="Calibri"/>
                <w:b w:val="0"/>
                <w:i w:val="0"/>
                <w:color w:val="0B2545"/>
                <w:sz w:val="20"/>
              </w:rPr>
              <w:t>Prioritization</w:t>
            </w:r>
          </w:p>
        </w:tc>
        <w:tc>
          <w:tcPr>
            <w:tcW w:type="dxa" w:w="6760"/>
          </w:tcPr>
          <w:p>
            <w:pPr>
              <w:keepNext w:val="0"/>
              <w:spacing w:before="0" w:after="0" w:line="264" w:lineRule="auto"/>
            </w:pPr>
            <w:r>
              <w:rPr>
                <w:rFonts w:ascii="Calibri" w:hAnsi="Calibri"/>
                <w:b w:val="0"/>
                <w:i w:val="0"/>
                <w:color w:val="0B2545"/>
                <w:sz w:val="20"/>
              </w:rPr>
              <w:t>Rank findings by technical severity, affected pages, and practical repair sequence.</w:t>
            </w:r>
          </w:p>
        </w:tc>
      </w:tr>
      <w:tr>
        <w:tc>
          <w:tcPr>
            <w:tcW w:type="dxa" w:w="2600"/>
          </w:tcPr>
          <w:p>
            <w:pPr>
              <w:keepNext w:val="0"/>
              <w:spacing w:before="0" w:after="0" w:line="264" w:lineRule="auto"/>
            </w:pPr>
            <w:r>
              <w:rPr>
                <w:rFonts w:ascii="Calibri" w:hAnsi="Calibri"/>
                <w:b w:val="0"/>
                <w:i w:val="0"/>
                <w:color w:val="0B2545"/>
                <w:sz w:val="20"/>
              </w:rPr>
              <w:t>Implementation notes</w:t>
            </w:r>
          </w:p>
        </w:tc>
        <w:tc>
          <w:tcPr>
            <w:tcW w:type="dxa" w:w="6760"/>
          </w:tcPr>
          <w:p>
            <w:pPr>
              <w:keepNext w:val="0"/>
              <w:spacing w:before="0" w:after="0" w:line="264" w:lineRule="auto"/>
            </w:pPr>
            <w:r>
              <w:rPr>
                <w:rFonts w:ascii="Calibri" w:hAnsi="Calibri"/>
                <w:b w:val="0"/>
                <w:i w:val="0"/>
                <w:color w:val="0B2545"/>
                <w:sz w:val="20"/>
              </w:rPr>
              <w:t>Provide concise notes for the client or developer to repair, replace, redirect, or verify each priority item.</w:t>
            </w:r>
          </w:p>
        </w:tc>
      </w:tr>
      <w:tr>
        <w:tc>
          <w:tcPr>
            <w:tcW w:type="dxa" w:w="2600"/>
          </w:tcPr>
          <w:p>
            <w:pPr>
              <w:keepNext w:val="0"/>
              <w:spacing w:before="0" w:after="0" w:line="264" w:lineRule="auto"/>
            </w:pPr>
            <w:r>
              <w:rPr>
                <w:rFonts w:ascii="Calibri" w:hAnsi="Calibri"/>
                <w:b w:val="0"/>
                <w:i w:val="0"/>
                <w:color w:val="0B2545"/>
                <w:sz w:val="20"/>
              </w:rPr>
              <w:t>Readout</w:t>
            </w:r>
          </w:p>
        </w:tc>
        <w:tc>
          <w:tcPr>
            <w:tcW w:type="dxa" w:w="6760"/>
          </w:tcPr>
          <w:p>
            <w:pPr>
              <w:keepNext w:val="0"/>
              <w:spacing w:before="0" w:after="0" w:line="264" w:lineRule="auto"/>
            </w:pPr>
            <w:r>
              <w:rPr>
                <w:rFonts w:ascii="Calibri" w:hAnsi="Calibri"/>
                <w:b w:val="0"/>
                <w:i w:val="0"/>
                <w:color w:val="0B2545"/>
                <w:sz w:val="20"/>
              </w:rPr>
              <w:t>One written report plus one asynchronous clarification round within five business days of delivery.</w:t>
            </w:r>
          </w:p>
        </w:tc>
      </w:tr>
    </w:tbl>
    <w:p>
      <w:pPr>
        <w:spacing w:after="60"/>
      </w:pPr>
    </w:p>
    <w:p>
      <w:pPr>
        <w:pStyle w:val="Heading1"/>
        <w:keepNext/>
        <w:spacing w:before="0" w:after="120" w:line="240" w:lineRule="auto"/>
      </w:pPr>
      <w:r>
        <w:rPr>
          <w:rFonts w:ascii="Calibri" w:hAnsi="Calibri"/>
          <w:b/>
          <w:i w:val="0"/>
          <w:color w:val="2E74B5"/>
          <w:sz w:val="32"/>
        </w:rPr>
        <w:t>3. Not included</w:t>
      </w:r>
    </w:p>
    <w:p>
      <w:pPr>
        <w:pStyle w:val="ListBullet"/>
        <w:keepNext w:val="0"/>
        <w:spacing w:before="0" w:after="80" w:line="290" w:lineRule="auto"/>
      </w:pPr>
      <w:r>
        <w:rPr>
          <w:rFonts w:ascii="Calibri" w:hAnsi="Calibri"/>
          <w:b w:val="0"/>
          <w:i w:val="0"/>
          <w:color w:val="0B2545"/>
          <w:sz w:val="22"/>
        </w:rPr>
        <w:t>Revenue, commission, traffic, ranking, or conversion forecasts or guarantees.</w:t>
      </w:r>
    </w:p>
    <w:p>
      <w:pPr>
        <w:pStyle w:val="ListBullet"/>
        <w:keepNext w:val="0"/>
        <w:spacing w:before="0" w:after="80" w:line="290" w:lineRule="auto"/>
      </w:pPr>
      <w:r>
        <w:rPr>
          <w:rFonts w:ascii="Calibri" w:hAnsi="Calibri"/>
          <w:b w:val="0"/>
          <w:i w:val="0"/>
          <w:color w:val="0B2545"/>
          <w:sz w:val="22"/>
        </w:rPr>
        <w:t>Changes to the client's website, affiliate accounts, merchant accounts, analytics, or hosting.</w:t>
      </w:r>
    </w:p>
    <w:p>
      <w:pPr>
        <w:pStyle w:val="ListBullet"/>
        <w:keepNext w:val="0"/>
        <w:spacing w:before="0" w:after="80" w:line="290" w:lineRule="auto"/>
      </w:pPr>
      <w:r>
        <w:rPr>
          <w:rFonts w:ascii="Calibri" w:hAnsi="Calibri"/>
          <w:b w:val="0"/>
          <w:i w:val="0"/>
          <w:color w:val="0B2545"/>
          <w:sz w:val="22"/>
        </w:rPr>
        <w:t>Private, logged-in, paywalled, blocked, or inaccessible pages and destinations.</w:t>
      </w:r>
    </w:p>
    <w:p>
      <w:pPr>
        <w:pStyle w:val="ListBullet"/>
        <w:keepNext w:val="0"/>
        <w:spacing w:before="0" w:after="80" w:line="290" w:lineRule="auto"/>
      </w:pPr>
      <w:r>
        <w:rPr>
          <w:rFonts w:ascii="Calibri" w:hAnsi="Calibri"/>
          <w:b w:val="0"/>
          <w:i w:val="0"/>
          <w:color w:val="0B2545"/>
          <w:sz w:val="22"/>
        </w:rPr>
        <w:t>Legal, tax, merchant-program, privacy, security, or compliance advice.</w:t>
      </w:r>
    </w:p>
    <w:p>
      <w:pPr>
        <w:pStyle w:val="ListBullet"/>
        <w:keepNext w:val="0"/>
        <w:spacing w:before="0" w:after="80" w:line="290" w:lineRule="auto"/>
      </w:pPr>
      <w:r>
        <w:rPr>
          <w:rFonts w:ascii="Calibri" w:hAnsi="Calibri"/>
          <w:b w:val="0"/>
          <w:i w:val="0"/>
          <w:color w:val="0B2545"/>
          <w:sz w:val="22"/>
        </w:rPr>
        <w:t>Ongoing monitoring, emergency support, or work beyond the written scope.</w:t>
      </w:r>
    </w:p>
    <w:p>
      <w:pPr>
        <w:pStyle w:val="Heading1"/>
        <w:keepNext/>
        <w:spacing w:before="0" w:after="120" w:line="240" w:lineRule="auto"/>
      </w:pPr>
      <w:r>
        <w:rPr>
          <w:rFonts w:ascii="Calibri" w:hAnsi="Calibri"/>
          <w:b/>
          <w:i w:val="0"/>
          <w:color w:val="2E74B5"/>
          <w:sz w:val="32"/>
        </w:rPr>
        <w:t>4. Client inputs needed</w:t>
      </w:r>
    </w:p>
    <w:p>
      <w:pPr>
        <w:pStyle w:val="ListBullet"/>
        <w:keepNext w:val="0"/>
        <w:spacing w:before="0" w:after="80" w:line="290" w:lineRule="auto"/>
      </w:pPr>
      <w:r>
        <w:rPr>
          <w:rFonts w:ascii="Calibri" w:hAnsi="Calibri"/>
          <w:b w:val="0"/>
          <w:i w:val="0"/>
          <w:color w:val="0B2545"/>
          <w:sz w:val="22"/>
        </w:rPr>
        <w:t>The primary site URL and up to [20] priority pages, if applicable.</w:t>
      </w:r>
    </w:p>
    <w:p>
      <w:pPr>
        <w:pStyle w:val="ListBullet"/>
        <w:keepNext w:val="0"/>
        <w:spacing w:before="0" w:after="80" w:line="290" w:lineRule="auto"/>
      </w:pPr>
      <w:r>
        <w:rPr>
          <w:rFonts w:ascii="Calibri" w:hAnsi="Calibri"/>
          <w:b w:val="0"/>
          <w:i w:val="0"/>
          <w:color w:val="0B2545"/>
          <w:sz w:val="22"/>
        </w:rPr>
        <w:t>The affiliate programmes or merchants that matter most.</w:t>
      </w:r>
    </w:p>
    <w:p>
      <w:pPr>
        <w:pStyle w:val="ListBullet"/>
        <w:keepNext w:val="0"/>
        <w:spacing w:before="0" w:after="80" w:line="290" w:lineRule="auto"/>
      </w:pPr>
      <w:r>
        <w:rPr>
          <w:rFonts w:ascii="Calibri" w:hAnsi="Calibri"/>
          <w:b w:val="0"/>
          <w:i w:val="0"/>
          <w:color w:val="0B2545"/>
          <w:sz w:val="22"/>
        </w:rPr>
        <w:t>Known problem links, recent merchant changes, or priority commercial pages.</w:t>
      </w:r>
    </w:p>
    <w:p>
      <w:pPr>
        <w:pStyle w:val="ListBullet"/>
        <w:keepNext w:val="0"/>
        <w:spacing w:before="0" w:after="80" w:line="290" w:lineRule="auto"/>
      </w:pPr>
      <w:r>
        <w:rPr>
          <w:rFonts w:ascii="Calibri" w:hAnsi="Calibri"/>
          <w:b w:val="0"/>
          <w:i w:val="0"/>
          <w:color w:val="0B2545"/>
          <w:sz w:val="22"/>
        </w:rPr>
        <w:t>The primary audience country or market, where this affects merchant destinations.</w:t>
      </w:r>
    </w:p>
    <w:p>
      <w:pPr>
        <w:pStyle w:val="Heading1"/>
        <w:keepNext/>
        <w:spacing w:before="0" w:after="120" w:line="240" w:lineRule="auto"/>
      </w:pPr>
      <w:r>
        <w:rPr>
          <w:rFonts w:ascii="Calibri" w:hAnsi="Calibri"/>
          <w:b/>
          <w:i w:val="0"/>
          <w:color w:val="2E74B5"/>
          <w:sz w:val="32"/>
        </w:rPr>
        <w:t>5. Timing and delivery</w:t>
      </w:r>
    </w:p>
    <w:tbl>
      <w:tblPr>
        <w:tblW w:type="dxa" w:w="9360"/>
        <w:jc w:val="left"/>
        <w:tblLayout w:type="fixed"/>
        <w:tblLook w:firstColumn="1" w:firstRow="1" w:lastColumn="0" w:lastRow="0" w:noHBand="0" w:noVBand="1" w:val="04A0"/>
        <w:tblInd w:w="120" w:type="dxa"/>
        <w:tblBorders>
          <w:top w:val="single" w:sz="6" w:color="D9E2EC"/>
          <w:left w:val="single" w:sz="6" w:color="D9E2EC"/>
          <w:bottom w:val="single" w:sz="6" w:color="D9E2EC"/>
          <w:right w:val="single" w:sz="6" w:color="D9E2EC"/>
          <w:insideH w:val="single" w:sz="6" w:color="D9E2EC"/>
          <w:insideV w:val="single" w:sz="6" w:color="D9E2EC"/>
        </w:tblBorders>
      </w:tblPr>
      <w:tblGrid>
        <w:gridCol w:w="3200"/>
        <w:gridCol w:w="6160"/>
      </w:tblGrid>
      <w:tr>
        <w:trPr>
          <w:tblHeader w:val="true"/>
        </w:trPr>
        <w:tc>
          <w:tcPr>
            <w:tcW w:type="dxa" w:w="320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Milestone</w:t>
            </w:r>
          </w:p>
        </w:tc>
        <w:tc>
          <w:tcPr>
            <w:tcW w:type="dxa" w:w="6160"/>
            <w:tcMar>
              <w:top w:w="80" w:type="dxa"/>
              <w:start w:w="120" w:type="dxa"/>
              <w:bottom w:w="80" w:type="dxa"/>
              <w:end w:w="120" w:type="dxa"/>
            </w:tcMar>
            <w:vAlign w:val="center"/>
            <w:shd w:fill="E8EEF5"/>
          </w:tcPr>
          <w:p>
            <w:pPr>
              <w:keepNext w:val="0"/>
              <w:spacing w:before="0" w:after="0" w:line="264" w:lineRule="auto"/>
            </w:pPr>
            <w:r>
              <w:rPr>
                <w:rFonts w:ascii="Calibri" w:hAnsi="Calibri"/>
                <w:b/>
                <w:i w:val="0"/>
                <w:color w:val="1F4D78"/>
                <w:sz w:val="19"/>
              </w:rPr>
              <w:t>Timing</w:t>
            </w:r>
          </w:p>
        </w:tc>
      </w:tr>
      <w:tr>
        <w:tc>
          <w:tcPr>
            <w:tcW w:type="dxa" w:w="3200"/>
          </w:tcPr>
          <w:p>
            <w:pPr>
              <w:keepNext w:val="0"/>
              <w:spacing w:before="0" w:after="0" w:line="264" w:lineRule="auto"/>
            </w:pPr>
            <w:r>
              <w:rPr>
                <w:rFonts w:ascii="Calibri" w:hAnsi="Calibri"/>
                <w:b w:val="0"/>
                <w:i w:val="0"/>
                <w:color w:val="0B2545"/>
                <w:sz w:val="20"/>
              </w:rPr>
              <w:t>Scope confirmed</w:t>
            </w:r>
          </w:p>
        </w:tc>
        <w:tc>
          <w:tcPr>
            <w:tcW w:type="dxa" w:w="6160"/>
          </w:tcPr>
          <w:p>
            <w:pPr>
              <w:keepNext w:val="0"/>
              <w:spacing w:before="0" w:after="0" w:line="264" w:lineRule="auto"/>
            </w:pPr>
            <w:r>
              <w:rPr>
                <w:rFonts w:ascii="Calibri" w:hAnsi="Calibri"/>
                <w:b w:val="0"/>
                <w:i w:val="0"/>
                <w:color w:val="0B2545"/>
                <w:sz w:val="20"/>
              </w:rPr>
              <w:t>After written acceptance and the required client inputs.</w:t>
            </w:r>
          </w:p>
        </w:tc>
      </w:tr>
      <w:tr>
        <w:tc>
          <w:tcPr>
            <w:tcW w:type="dxa" w:w="3200"/>
          </w:tcPr>
          <w:p>
            <w:pPr>
              <w:keepNext w:val="0"/>
              <w:spacing w:before="0" w:after="0" w:line="264" w:lineRule="auto"/>
            </w:pPr>
            <w:r>
              <w:rPr>
                <w:rFonts w:ascii="Calibri" w:hAnsi="Calibri"/>
                <w:b w:val="0"/>
                <w:i w:val="0"/>
                <w:color w:val="0B2545"/>
                <w:sz w:val="20"/>
              </w:rPr>
              <w:t>Review begins</w:t>
            </w:r>
          </w:p>
        </w:tc>
        <w:tc>
          <w:tcPr>
            <w:tcW w:type="dxa" w:w="6160"/>
          </w:tcPr>
          <w:p>
            <w:pPr>
              <w:keepNext w:val="0"/>
              <w:spacing w:before="0" w:after="0" w:line="264" w:lineRule="auto"/>
            </w:pPr>
            <w:r>
              <w:rPr>
                <w:rFonts w:ascii="Calibri" w:hAnsi="Calibri"/>
                <w:b w:val="0"/>
                <w:i w:val="0"/>
                <w:color w:val="0B2545"/>
                <w:sz w:val="20"/>
              </w:rPr>
              <w:t>Within two business days after the scope is confirmed.</w:t>
            </w:r>
          </w:p>
        </w:tc>
      </w:tr>
      <w:tr>
        <w:tc>
          <w:tcPr>
            <w:tcW w:type="dxa" w:w="3200"/>
          </w:tcPr>
          <w:p>
            <w:pPr>
              <w:keepNext w:val="0"/>
              <w:spacing w:before="0" w:after="0" w:line="264" w:lineRule="auto"/>
            </w:pPr>
            <w:r>
              <w:rPr>
                <w:rFonts w:ascii="Calibri" w:hAnsi="Calibri"/>
                <w:b w:val="0"/>
                <w:i w:val="0"/>
                <w:color w:val="0B2545"/>
                <w:sz w:val="20"/>
              </w:rPr>
              <w:t>Written delivery</w:t>
            </w:r>
          </w:p>
        </w:tc>
        <w:tc>
          <w:tcPr>
            <w:tcW w:type="dxa" w:w="6160"/>
          </w:tcPr>
          <w:p>
            <w:pPr>
              <w:keepNext w:val="0"/>
              <w:spacing w:before="0" w:after="0" w:line="264" w:lineRule="auto"/>
            </w:pPr>
            <w:r>
              <w:rPr>
                <w:rFonts w:ascii="Calibri" w:hAnsi="Calibri"/>
                <w:b w:val="0"/>
                <w:i w:val="0"/>
                <w:color w:val="0B2545"/>
                <w:sz w:val="20"/>
              </w:rPr>
              <w:t>Within five business days after the review begins.</w:t>
            </w:r>
          </w:p>
        </w:tc>
      </w:tr>
      <w:tr>
        <w:tc>
          <w:tcPr>
            <w:tcW w:type="dxa" w:w="3200"/>
          </w:tcPr>
          <w:p>
            <w:pPr>
              <w:keepNext w:val="0"/>
              <w:spacing w:before="0" w:after="0" w:line="264" w:lineRule="auto"/>
            </w:pPr>
            <w:r>
              <w:rPr>
                <w:rFonts w:ascii="Calibri" w:hAnsi="Calibri"/>
                <w:b w:val="0"/>
                <w:i w:val="0"/>
                <w:color w:val="0B2545"/>
                <w:sz w:val="20"/>
              </w:rPr>
              <w:t>Clarification round</w:t>
            </w:r>
          </w:p>
        </w:tc>
        <w:tc>
          <w:tcPr>
            <w:tcW w:type="dxa" w:w="6160"/>
          </w:tcPr>
          <w:p>
            <w:pPr>
              <w:keepNext w:val="0"/>
              <w:spacing w:before="0" w:after="0" w:line="264" w:lineRule="auto"/>
            </w:pPr>
            <w:r>
              <w:rPr>
                <w:rFonts w:ascii="Calibri" w:hAnsi="Calibri"/>
                <w:b w:val="0"/>
                <w:i w:val="0"/>
                <w:color w:val="0B2545"/>
                <w:sz w:val="20"/>
              </w:rPr>
              <w:t>One asynchronous round within five business days of the written delivery.</w:t>
            </w:r>
          </w:p>
        </w:tc>
      </w:tr>
    </w:tbl>
    <w:p>
      <w:pPr>
        <w:spacing w:after="60"/>
      </w:pPr>
    </w:p>
    <w:p>
      <w:pPr>
        <w:pStyle w:val="Heading1"/>
        <w:keepNext/>
        <w:spacing w:before="0" w:after="120" w:line="240" w:lineRule="auto"/>
      </w:pPr>
      <w:r>
        <w:rPr>
          <w:rFonts w:ascii="Calibri" w:hAnsi="Calibri"/>
          <w:b/>
          <w:i w:val="0"/>
          <w:color w:val="2E74B5"/>
          <w:sz w:val="32"/>
        </w:rPr>
        <w:t>6. Investment and acceptance</w:t>
      </w:r>
    </w:p>
    <w:p>
      <w:pPr>
        <w:keepNext w:val="0"/>
        <w:spacing w:before="0" w:after="120" w:line="264" w:lineRule="auto"/>
      </w:pPr>
      <w:r>
        <w:rPr>
          <w:rFonts w:ascii="Calibri" w:hAnsi="Calibri"/>
          <w:b w:val="0"/>
          <w:i w:val="0"/>
          <w:color w:val="0B2545"/>
          <w:sz w:val="22"/>
        </w:rPr>
        <w:t>Fixed fee: US $499. Payment instructions will be issued only after the client confirms this scope in writing. Work begins after scope and payment timing are agreed. Either party may pause before work begins if the site is not a fit or the scope cannot be confirmed.</w:t>
      </w:r>
    </w:p>
    <w:tbl>
      <w:tblPr>
        <w:tblW w:type="dxa" w:w="9360"/>
        <w:jc w:val="left"/>
        <w:tblLayout w:type="fixed"/>
        <w:tblLook w:firstColumn="1" w:firstRow="1" w:lastColumn="0" w:lastRow="0" w:noHBand="0" w:noVBand="1" w:val="04A0"/>
        <w:tblInd w:w="120" w:type="dxa"/>
        <w:tblBorders>
          <w:top w:val="single" w:sz="8" w:color="C8D8EA"/>
          <w:left w:val="single" w:sz="8" w:color="C8D8EA"/>
          <w:bottom w:val="single" w:sz="8" w:color="C8D8EA"/>
          <w:right w:val="single" w:sz="8" w:color="C8D8EA"/>
          <w:insideH w:val="single" w:sz="8" w:color="C8D8EA"/>
          <w:insideV w:val="single" w:sz="8" w:color="C8D8EA"/>
        </w:tblBorders>
      </w:tblPr>
      <w:tblGrid>
        <w:gridCol w:w="9360"/>
      </w:tblGrid>
      <w:tr>
        <w:tc>
          <w:tcPr>
            <w:tcW w:type="dxa" w:w="9360"/>
            <w:tcMar>
              <w:top w:w="80" w:type="dxa"/>
              <w:start w:w="120" w:type="dxa"/>
              <w:bottom w:w="80" w:type="dxa"/>
              <w:end w:w="120" w:type="dxa"/>
            </w:tcMar>
            <w:vAlign w:val="center"/>
            <w:shd w:fill="EAF4EF"/>
          </w:tcPr>
          <w:p>
            <w:pPr>
              <w:keepNext w:val="0"/>
              <w:spacing w:before="0" w:after="0" w:line="264" w:lineRule="auto"/>
            </w:pPr>
            <w:r>
              <w:rPr>
                <w:rFonts w:ascii="Calibri" w:hAnsi="Calibri"/>
                <w:b/>
                <w:i w:val="0"/>
                <w:color w:val="1F4D78"/>
                <w:sz w:val="20"/>
              </w:rPr>
              <w:t xml:space="preserve">To accept  </w:t>
            </w:r>
            <w:r>
              <w:rPr>
                <w:rFonts w:ascii="Calibri" w:hAnsi="Calibri"/>
                <w:b w:val="0"/>
                <w:i w:val="0"/>
                <w:color w:val="0B2545"/>
                <w:sz w:val="21"/>
              </w:rPr>
              <w:t>Reply by email confirming: “I accept the Recovery Sprint scope for [site] at US $499.” LinkRescue will then send the practical next steps.</w:t>
            </w:r>
          </w:p>
        </w:tc>
      </w:tr>
    </w:tbl>
    <w:p>
      <w:pPr>
        <w:spacing w:after="40"/>
      </w:pPr>
    </w:p>
    <w:p>
      <w:pPr>
        <w:pStyle w:val="Heading1"/>
        <w:keepNext/>
        <w:spacing w:before="0" w:after="120" w:line="240" w:lineRule="auto"/>
      </w:pPr>
      <w:r>
        <w:rPr>
          <w:rFonts w:ascii="Calibri" w:hAnsi="Calibri"/>
          <w:b/>
          <w:i w:val="0"/>
          <w:color w:val="2E74B5"/>
          <w:sz w:val="32"/>
        </w:rPr>
        <w:t>7. Plain-language terms</w:t>
      </w:r>
    </w:p>
    <w:p>
      <w:pPr>
        <w:pStyle w:val="ListBullet"/>
        <w:keepNext w:val="0"/>
        <w:spacing w:before="0" w:after="80" w:line="290" w:lineRule="auto"/>
      </w:pPr>
      <w:r>
        <w:rPr>
          <w:rFonts w:ascii="Calibri" w:hAnsi="Calibri"/>
          <w:b w:val="0"/>
          <w:i w:val="0"/>
          <w:color w:val="0B2545"/>
          <w:sz w:val="22"/>
        </w:rPr>
        <w:t>The client remains responsible for all implementation decisions and changes to its site or affiliate accounts.</w:t>
      </w:r>
    </w:p>
    <w:p>
      <w:pPr>
        <w:pStyle w:val="ListBullet"/>
        <w:keepNext w:val="0"/>
        <w:spacing w:before="0" w:after="80" w:line="290" w:lineRule="auto"/>
      </w:pPr>
      <w:r>
        <w:rPr>
          <w:rFonts w:ascii="Calibri" w:hAnsi="Calibri"/>
          <w:b w:val="0"/>
          <w:i w:val="0"/>
          <w:color w:val="0B2545"/>
          <w:sz w:val="22"/>
        </w:rPr>
        <w:t>LinkRescue will treat client-provided context as confidential and will not publish it without written permission.</w:t>
      </w:r>
    </w:p>
    <w:p>
      <w:pPr>
        <w:pStyle w:val="ListBullet"/>
        <w:keepNext w:val="0"/>
        <w:spacing w:before="0" w:after="80" w:line="290" w:lineRule="auto"/>
      </w:pPr>
      <w:r>
        <w:rPr>
          <w:rFonts w:ascii="Calibri" w:hAnsi="Calibri"/>
          <w:b w:val="0"/>
          <w:i w:val="0"/>
          <w:color w:val="0B2545"/>
          <w:sz w:val="22"/>
        </w:rPr>
        <w:t>The review is a technical assessment of observable conditions at the time checked. External sites and programmes can change after delivery.</w:t>
      </w:r>
    </w:p>
    <w:p>
      <w:pPr>
        <w:pStyle w:val="ListBullet"/>
        <w:keepNext w:val="0"/>
        <w:spacing w:before="0" w:after="80" w:line="290" w:lineRule="auto"/>
      </w:pPr>
      <w:r>
        <w:rPr>
          <w:rFonts w:ascii="Calibri" w:hAnsi="Calibri"/>
          <w:b w:val="0"/>
          <w:i w:val="0"/>
          <w:color w:val="0B2545"/>
          <w:sz w:val="22"/>
        </w:rPr>
        <w:t>Any material change to scope, pages, timing, or fee requires written agreement before work continues.</w:t>
      </w:r>
    </w:p>
    <w:p>
      <w:pPr>
        <w:pStyle w:val="Heading2"/>
        <w:keepNext/>
        <w:spacing w:before="0" w:after="120" w:line="240" w:lineRule="auto"/>
      </w:pPr>
      <w:r>
        <w:rPr>
          <w:rFonts w:ascii="Calibri" w:hAnsi="Calibri"/>
          <w:b/>
          <w:i w:val="0"/>
          <w:color w:val="2E74B5"/>
          <w:sz w:val="26"/>
        </w:rPr>
        <w:t>Acceptance record</w:t>
      </w:r>
    </w:p>
    <w:p>
      <w:pPr>
        <w:keepNext w:val="0"/>
        <w:spacing w:before="0" w:after="100" w:line="264" w:lineRule="auto"/>
      </w:pPr>
      <w:r>
        <w:rPr>
          <w:rFonts w:ascii="Calibri" w:hAnsi="Calibri"/>
          <w:b/>
          <w:i w:val="0"/>
          <w:color w:val="1F4D78"/>
          <w:sz w:val="22"/>
        </w:rPr>
        <w:t xml:space="preserve">[ ]  </w:t>
      </w:r>
      <w:r>
        <w:rPr>
          <w:rFonts w:ascii="Calibri" w:hAnsi="Calibri"/>
          <w:b/>
          <w:i w:val="0"/>
          <w:color w:val="0B2545"/>
          <w:sz w:val="21"/>
        </w:rPr>
        <w:t>Client confirms the agreed website and priority pages</w:t>
      </w:r>
      <w:r>
        <w:rPr>
          <w:rFonts w:ascii="Calibri" w:hAnsi="Calibri"/>
          <w:b w:val="0"/>
          <w:i/>
          <w:color w:val="5B6573"/>
          <w:sz w:val="20"/>
        </w:rPr>
        <w:t xml:space="preserve">  [name / date]</w:t>
      </w:r>
    </w:p>
    <w:p>
      <w:pPr>
        <w:keepNext w:val="0"/>
        <w:spacing w:before="0" w:after="100" w:line="264" w:lineRule="auto"/>
      </w:pPr>
      <w:r>
        <w:rPr>
          <w:rFonts w:ascii="Calibri" w:hAnsi="Calibri"/>
          <w:b/>
          <w:i w:val="0"/>
          <w:color w:val="1F4D78"/>
          <w:sz w:val="22"/>
        </w:rPr>
        <w:t xml:space="preserve">[ ]  </w:t>
      </w:r>
      <w:r>
        <w:rPr>
          <w:rFonts w:ascii="Calibri" w:hAnsi="Calibri"/>
          <w:b/>
          <w:i w:val="0"/>
          <w:color w:val="0B2545"/>
          <w:sz w:val="21"/>
        </w:rPr>
        <w:t>Client accepts the fixed-scope Recovery Sprint at US $499</w:t>
      </w:r>
      <w:r>
        <w:rPr>
          <w:rFonts w:ascii="Calibri" w:hAnsi="Calibri"/>
          <w:b w:val="0"/>
          <w:i/>
          <w:color w:val="5B6573"/>
          <w:sz w:val="20"/>
        </w:rPr>
        <w:t xml:space="preserve">  [name / date]</w:t>
      </w:r>
    </w:p>
    <w:p>
      <w:pPr>
        <w:keepNext w:val="0"/>
        <w:spacing w:before="0" w:after="100" w:line="264" w:lineRule="auto"/>
      </w:pPr>
      <w:r>
        <w:rPr>
          <w:rFonts w:ascii="Calibri" w:hAnsi="Calibri"/>
          <w:b/>
          <w:i w:val="0"/>
          <w:color w:val="1F4D78"/>
          <w:sz w:val="22"/>
        </w:rPr>
        <w:t xml:space="preserve">[ ]  </w:t>
      </w:r>
      <w:r>
        <w:rPr>
          <w:rFonts w:ascii="Calibri" w:hAnsi="Calibri"/>
          <w:b/>
          <w:i w:val="0"/>
          <w:color w:val="0B2545"/>
          <w:sz w:val="21"/>
        </w:rPr>
        <w:t>Client has read the exclusions and plain-language terms above</w:t>
      </w:r>
      <w:r>
        <w:rPr>
          <w:rFonts w:ascii="Calibri" w:hAnsi="Calibri"/>
          <w:b w:val="0"/>
          <w:i/>
          <w:color w:val="5B6573"/>
          <w:sz w:val="20"/>
        </w:rPr>
        <w:t xml:space="preserve">  [name / date]</w:t>
      </w:r>
    </w:p>
    <w:p>
      <w:pPr>
        <w:keepNext w:val="0"/>
        <w:spacing w:before="160" w:after="0" w:line="264" w:lineRule="auto"/>
      </w:pPr>
      <w:r>
        <w:rPr>
          <w:rFonts w:ascii="Calibri" w:hAnsi="Calibri"/>
          <w:b w:val="0"/>
          <w:i w:val="0"/>
          <w:color w:val="0B2545"/>
          <w:sz w:val="22"/>
        </w:rPr>
        <w:t>This proposal is a practical service-scope template, not legal advice. Obtain local legal advice before adapting it into a contract.</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keepNext w:val="0"/>
      <w:spacing w:before="0" w:after="0" w:line="240" w:lineRule="auto"/>
      <w:jc w:val="right"/>
    </w:pPr>
    <w:r>
      <w:rPr>
        <w:rFonts w:ascii="Calibri" w:hAnsi="Calibri"/>
        <w:b w:val="0"/>
        <w:i w:val="0"/>
        <w:color w:val="5B6573"/>
        <w:sz w:val="17"/>
      </w:rPr>
      <w:t>LinkRescue | Confidential client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keepNext w:val="0"/>
      <w:spacing w:before="0" w:after="0" w:line="240" w:lineRule="auto"/>
      <w:jc w:val="left"/>
    </w:pPr>
    <w:r>
      <w:rPr>
        <w:rFonts w:ascii="Calibri" w:hAnsi="Calibri"/>
        <w:b/>
        <w:i w:val="0"/>
        <w:color w:val="2E74B5"/>
        <w:sz w:val="17"/>
      </w:rPr>
      <w:t xml:space="preserve">LINKRESCUE  |  </w:t>
    </w:r>
    <w:r>
      <w:rPr>
        <w:rFonts w:ascii="Calibri" w:hAnsi="Calibri"/>
        <w:b w:val="0"/>
        <w:i w:val="0"/>
        <w:color w:val="5B6573"/>
        <w:sz w:val="17"/>
      </w:rPr>
      <w:t>Recovery Sprint Proposal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64" w:lineRule="auto"/>
    </w:pPr>
    <w:rPr>
      <w:rFonts w:ascii="Calibri" w:hAnsi="Calibri"/>
      <w:color w:val="0B254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