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60"/>
        <w:jc w:val="center"/>
      </w:pPr>
      <w:r>
        <w:rPr>
          <w:rFonts w:ascii="Arial" w:cs="Arial" w:eastAsia="Arial" w:hAnsi="Arial"/>
          <w:b/>
          <w:bCs/>
          <w:color w:val="1B2A4A"/>
          <w:sz w:val="36"/>
          <w:szCs w:val="36"/>
        </w:rPr>
        <w:t xml:space="preserve">INVESTIGATION SUMMARY REPORT</w:t>
      </w:r>
    </w:p>
    <w:p>
      <w:pPr>
        <w:spacing w:after="60"/>
        <w:jc w:val="center"/>
      </w:pPr>
      <w:r>
        <w:rPr>
          <w:rFonts w:ascii="Arial" w:cs="Arial" w:eastAsia="Arial" w:hAnsi="Arial"/>
          <w:color w:val="4A4A4A"/>
          <w:sz w:val="26"/>
          <w:szCs w:val="26"/>
        </w:rPr>
        <w:t xml:space="preserve">Fentanyl Precursor Network Analysis</w:t>
      </w:r>
    </w:p>
    <w:p>
      <w:pPr>
        <w:pBdr>
          <w:bottom w:val="single" w:color="1B2A4A" w:sz="6" w:space="8"/>
        </w:pBdr>
        <w:spacing w:after="200"/>
        <w:jc w:val="center"/>
      </w:pPr>
      <w:r>
        <w:rPr>
          <w:rFonts w:ascii="Arial" w:cs="Arial" w:eastAsia="Arial" w:hAnsi="Arial"/>
          <w:b/>
          <w:bCs/>
          <w:color w:val="CC0000"/>
          <w:sz w:val="20"/>
          <w:szCs w:val="20"/>
        </w:rPr>
        <w:t xml:space="preserve">Classification: LAW ENFORCEMENT 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400"/>
        <w:gridCol w:w="13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24,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ID: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INV-2026-0417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Prepared By: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 Analysis Division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Fentanyl Precursor Tracking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pPr>
        <w:spacing w:after="200"/>
      </w:pPr>
    </w:p>
    <w:p>
      <w:pPr>
        <w:pStyle w:val="Heading1"/>
      </w:pPr>
      <w:r>
        <w:t xml:space="preserve">1. Executive Summary</w:t>
      </w:r>
    </w:p>
    <w:p>
      <w:pPr>
        <w:spacing w:after="200"/>
      </w:pPr>
      <w:r>
        <w:rPr>
          <w:rFonts w:ascii="Arial" w:cs="Arial" w:eastAsia="Arial" w:hAnsi="Arial"/>
          <w:sz w:val="22"/>
          <w:szCs w:val="22"/>
        </w:rPr>
        <w:t xml:space="preserve">This report summarizes the findings of an active investigation into a network of entities linked to the trafficking of fentanyl precursor chemicals. The investigation leveraged Altana’s Fentanyl Module to cross-reference context entities against known supply chain intelligence, identifying matches to companies operating within precursor distribution networks. The analysis surfaced 6 matched entities, 30 associated selectors, 2 related DEA cases, and 3 previously unidentified patterns of coordinated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
              <w:left w:val="single" w:color="1B2A4A" w:sz="6"/>
              <w:bottom w:val="single" w:color="1B2A4A" w:sz="2"/>
              <w:right w:val="single" w:color="1B2A4A" w:sz="2"/>
            </w:tcBorders>
            <w:shd w:fill="EEF3FA" w:val="clear"/>
            <w:tcMar>
              <w:top w:type="dxa" w:w="120"/>
              <w:left w:type="dxa" w:w="200"/>
              <w:bottom w:type="dxa" w:w="120"/>
              <w:right w:type="dxa" w:w="200"/>
            </w:tcMar>
          </w:tcPr>
          <w:p>
            <w:pPr>
              <w:spacing w:after="100"/>
            </w:pPr>
            <w:r>
              <w:rPr>
                <w:rFonts w:ascii="Arial" w:cs="Arial" w:eastAsia="Arial" w:hAnsi="Arial"/>
                <w:b/>
                <w:bCs/>
                <w:color w:val="1B2A4A"/>
                <w:sz w:val="22"/>
                <w:szCs w:val="22"/>
              </w:rPr>
              <w:t xml:space="preserve">Key Findings at a Glance</w:t>
            </w:r>
          </w:p>
          <w:p>
            <w:pPr>
              <w:pStyle w:val="ListParagraph"/>
              <w:numPr>
                <w:ilvl w:val="0"/>
                <w:numId w:val="2"/>
              </w:numPr>
              <w:spacing w:after="60"/>
            </w:pPr>
            <w:r>
              <w:rPr>
                <w:rFonts w:ascii="Arial" w:cs="Arial" w:eastAsia="Arial" w:hAnsi="Arial"/>
                <w:sz w:val="20"/>
                <w:szCs w:val="20"/>
              </w:rPr>
              <w:t xml:space="preserve">6 context entities matched to companies in the Fentanyl Module (1 unmatched entity flagged for further review)</w:t>
            </w:r>
          </w:p>
          <w:p>
            <w:pPr>
              <w:pStyle w:val="ListParagraph"/>
              <w:numPr>
                <w:ilvl w:val="0"/>
                <w:numId w:val="2"/>
              </w:numPr>
              <w:spacing w:after="60"/>
            </w:pPr>
            <w:r>
              <w:rPr>
                <w:rFonts w:ascii="Arial" w:cs="Arial" w:eastAsia="Arial" w:hAnsi="Arial"/>
                <w:sz w:val="20"/>
                <w:szCs w:val="20"/>
              </w:rPr>
              <w:t xml:space="preserve">30 selectors identified, including person names, company names, usernames, and communication identifiers</w:t>
            </w:r>
          </w:p>
          <w:p>
            <w:pPr>
              <w:pStyle w:val="ListParagraph"/>
              <w:numPr>
                <w:ilvl w:val="0"/>
                <w:numId w:val="2"/>
              </w:numPr>
              <w:spacing w:after="60"/>
            </w:pPr>
            <w:r>
              <w:rPr>
                <w:rFonts w:ascii="Arial" w:cs="Arial" w:eastAsia="Arial" w:hAnsi="Arial"/>
                <w:sz w:val="20"/>
                <w:szCs w:val="20"/>
              </w:rPr>
              <w:t xml:space="preserve">2 related, ongoing DEA cases link to this investigation, with the most recent activity dated February 2026</w:t>
            </w:r>
          </w:p>
          <w:p>
            <w:pPr>
              <w:pStyle w:val="ListParagraph"/>
              <w:numPr>
                <w:ilvl w:val="0"/>
                <w:numId w:val="2"/>
              </w:numPr>
              <w:spacing w:after="0"/>
            </w:pPr>
            <w:r>
              <w:rPr>
                <w:rFonts w:ascii="Arial" w:cs="Arial" w:eastAsia="Arial" w:hAnsi="Arial"/>
                <w:sz w:val="20"/>
                <w:szCs w:val="20"/>
              </w:rPr>
              <w:t xml:space="preserve">3 previously unidentified behavioral patterns discovered across 33 linked selectors, suggesting coordinated distribution activity</w:t>
            </w:r>
          </w:p>
        </w:tc>
      </w:tr>
    </w:tbl>
    <w:p>
      <w:pPr>
        <w:spacing w:after="200"/>
      </w:pPr>
    </w:p>
    <w:p>
      <w:pPr>
        <w:pStyle w:val="Heading1"/>
      </w:pPr>
      <w:r>
        <w:t xml:space="preserve">2. Context Entities</w:t>
      </w:r>
    </w:p>
    <w:p>
      <w:pPr>
        <w:spacing w:after="200"/>
      </w:pPr>
      <w:r>
        <w:rPr>
          <w:rFonts w:ascii="Arial" w:cs="Arial" w:eastAsia="Arial" w:hAnsi="Arial"/>
          <w:sz w:val="22"/>
          <w:szCs w:val="22"/>
        </w:rPr>
        <w:t xml:space="preserve">The investigation centered on 7 context entities submitted for cross-referencing against the Fentanyl Module’s database of known precursor suppliers, distributors, and associated companies. Each entity was evaluated for matches based on company name, phone number, email address, and key personnel records. Of the 7 entities, 6 returned positive matches (“MATCHED”), indicating their presence in existing intelligence holdings. One entity was flagged as “UNMATCHED,” meaning no direct correlation was found in the current dataset—this entity warrants further open-source and human intelligence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1700"/>
        <w:gridCol w:w="16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Company Name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Phone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Personnel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Alpha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4A7C2E" w:val="clear"/>
              </w:rPr>
              <w:t xml:space="preserve">MATCHED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file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file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Entity Bravo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4A7C2E" w:val="clear"/>
              </w:rPr>
              <w:t xml:space="preserve">MATCHED</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file</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file</w:t>
            </w:r>
          </w:p>
        </w:tc>
        <w:tc>
          <w:tcPr>
            <w:tcW w:type="dxa" w:w="1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Identified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Charlie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4A7C2E" w:val="clear"/>
              </w:rPr>
              <w:t xml:space="preserve">MATCHED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file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file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Entity Delta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8B7355" w:val="clear"/>
              </w:rPr>
              <w:t xml:space="preserve">UNMATCHED</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file</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file</w:t>
            </w:r>
          </w:p>
        </w:tc>
        <w:tc>
          <w:tcPr>
            <w:tcW w:type="dxa" w:w="1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Identified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Entity Echo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4A7C2E" w:val="clear"/>
              </w:rPr>
              <w:t xml:space="preserve">MATCHED</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file</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file</w:t>
            </w:r>
          </w:p>
        </w:tc>
        <w:tc>
          <w:tcPr>
            <w:tcW w:type="dxa" w:w="1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Identified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Foxtrot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4A7C2E" w:val="clear"/>
              </w:rPr>
              <w:t xml:space="preserve">MATCHED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file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file</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Entity Golf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4A7C2E" w:val="clear"/>
              </w:rPr>
              <w:t xml:space="preserve">MATCHED</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file</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file</w:t>
            </w:r>
          </w:p>
        </w:tc>
        <w:tc>
          <w:tcPr>
            <w:tcW w:type="dxa" w:w="16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Identified</w:t>
            </w:r>
          </w:p>
        </w:tc>
      </w:tr>
    </w:tbl>
    <w:p>
      <w:pPr>
        <w:spacing w:after="200" w:before="120"/>
      </w:pPr>
      <w:r>
        <w:rPr>
          <w:rFonts w:ascii="Arial" w:cs="Arial" w:eastAsia="Arial" w:hAnsi="Arial"/>
          <w:i/>
          <w:iCs/>
          <w:color w:val="666666"/>
          <w:sz w:val="18"/>
          <w:szCs w:val="18"/>
        </w:rPr>
        <w:t xml:space="preserve">Note: Detailed company profiles including full contact information, corporate registration data, and personnel backgrounds are available via the “View Profile” function within the investigation platform.</w:t>
      </w:r>
    </w:p>
    <w:p>
      <w:pPr>
        <w:pStyle w:val="Heading1"/>
      </w:pPr>
      <w:r>
        <w:t xml:space="preserve">3. Selectors</w:t>
      </w:r>
    </w:p>
    <w:p>
      <w:pPr>
        <w:spacing w:after="200"/>
      </w:pPr>
      <w:r>
        <w:rPr>
          <w:rFonts w:ascii="Arial" w:cs="Arial" w:eastAsia="Arial" w:hAnsi="Arial"/>
          <w:sz w:val="22"/>
          <w:szCs w:val="22"/>
        </w:rPr>
        <w:t xml:space="preserve">A total of 30 selectors were identified as relevant to this investigation. Selectors represent discrete identifiers—person names, company names, usernames, phone numbers, email addresses, and online handles—that can be used to track, correlate, and pivot across intelligence datasets. All selectors were current as of April 26, 2026, with each carrying additional metadata fields (averaging 10 supplementary data points per selector) accessible through the platform’s “More Details”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Selector Type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 (est.)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 Names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04/26/2026</w:t>
            </w:r>
          </w:p>
        </w:tc>
      </w:tr>
      <w:tr>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Company Names</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04/26/2026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Usernames / Online Handles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04/26/2026</w:t>
            </w:r>
          </w:p>
        </w:tc>
      </w:tr>
    </w:tbl>
    <w:p>
      <w:pPr>
        <w:spacing w:after="200" w:before="120"/>
      </w:pPr>
      <w:r>
        <w:rPr>
          <w:rFonts w:ascii="Arial" w:cs="Arial" w:eastAsia="Arial" w:hAnsi="Arial"/>
          <w:i/>
          <w:iCs/>
          <w:color w:val="666666"/>
          <w:sz w:val="18"/>
          <w:szCs w:val="18"/>
        </w:rPr>
        <w:t xml:space="preserve">Analyst Note: The selector pool includes digital communication identifiers (e.g., messaging platform usernames, email addresses) that may facilitate attribution of online precursor chemical advertisements to real-world actors.</w:t>
      </w:r>
    </w:p>
    <w:p>
      <w:r>
        <w:br w:type="page"/>
      </w:r>
    </w:p>
    <w:p>
      <w:pPr>
        <w:pStyle w:val="Heading1"/>
      </w:pPr>
      <w:r>
        <w:t xml:space="preserve">4. Related Cases</w:t>
      </w:r>
    </w:p>
    <w:p>
      <w:pPr>
        <w:spacing w:after="200"/>
      </w:pPr>
      <w:r>
        <w:rPr>
          <w:rFonts w:ascii="Arial" w:cs="Arial" w:eastAsia="Arial" w:hAnsi="Arial"/>
          <w:sz w:val="22"/>
          <w:szCs w:val="22"/>
        </w:rPr>
        <w:t xml:space="preserve">The investigation platform identified 2 related, ongoing cases managed by the Drug Enforcement Administration (DEA) that share entity or selector overlap with the current investigation. These cases represent independent but potentially convergent lines of inquiry, and coordination with the assigned case officers is recommended to avoid duplication and maximize intelligence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2200"/>
        <w:gridCol w:w="1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Case Name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Summary</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Lead Analyst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Name Redacted]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2C2C2C" w:val="clear"/>
              </w:rPr>
              <w:t xml:space="preserve">DEA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08/09/2025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precursor supply chain investigation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Doe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[Case Name Redacted]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FFFF"/>
                <w:sz w:val="18"/>
                <w:szCs w:val="18"/>
                <w:shd w:fill="2C2C2C" w:val="clear"/>
              </w:rPr>
              <w:t xml:space="preserve">DEA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02/20/2026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Ongoing network disruption operation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Jane Fawn</w:t>
            </w:r>
          </w:p>
        </w:tc>
      </w:tr>
    </w:tbl>
    <w:p>
      <w:pPr>
        <w:spacing w:after="200" w:before="120"/>
      </w:pPr>
      <w:r>
        <w:rPr>
          <w:rFonts w:ascii="Arial" w:cs="Arial" w:eastAsia="Arial" w:hAnsi="Arial"/>
          <w:i/>
          <w:iCs/>
          <w:color w:val="666666"/>
          <w:sz w:val="18"/>
          <w:szCs w:val="18"/>
        </w:rPr>
        <w:t xml:space="preserve">Recommendation: Initiate deconfliction with both case leads to assess shared intelligence equities and identify opportunities for joint operational action.</w:t>
      </w:r>
    </w:p>
    <w:p>
      <w:pPr>
        <w:pStyle w:val="Heading1"/>
      </w:pPr>
      <w:r>
        <w:t xml:space="preserve">5. Patterns of Behavior</w:t>
      </w:r>
    </w:p>
    <w:p>
      <w:pPr>
        <w:spacing w:after="200"/>
      </w:pPr>
      <w:r>
        <w:rPr>
          <w:rFonts w:ascii="Arial" w:cs="Arial" w:eastAsia="Arial" w:hAnsi="Arial"/>
          <w:sz w:val="22"/>
          <w:szCs w:val="22"/>
        </w:rPr>
        <w:t xml:space="preserve">The analysis uncovered 3 previously unidentified patterns of behavior exhibited by the entities and selectors under investigation. These patterns represent recurring, coordinated activities—such as synchronized procurement cycles, shared logistics infrastructure, or overlapping communication networks—that suggest a structured distribution operation rather than independent actors. Each pattern is linked to a network of selectors, providing a basis for further graph-based entity resolution and network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 Description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First Seen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Linked Selectors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Network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1: Coordinated procurement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10/07/2025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network mapped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Pattern 2: Shared logistics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01/20/2026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Entity network mapped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 3: Communication overlap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11/28/2025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network mapped</w:t>
            </w:r>
          </w:p>
        </w:tc>
      </w:tr>
    </w:tbl>
    <w:p>
      <w:pPr>
        <w:spacing w:after="200" w:before="120"/>
      </w:pPr>
      <w:r>
        <w:rPr>
          <w:rFonts w:ascii="Arial" w:cs="Arial" w:eastAsia="Arial" w:hAnsi="Arial"/>
          <w:i/>
          <w:iCs/>
          <w:color w:val="666666"/>
          <w:sz w:val="18"/>
          <w:szCs w:val="18"/>
        </w:rPr>
        <w:t xml:space="preserve">Note: Pattern 2 has the highest selector density (15 linked selectors) and emerged most recently (January 2026), suggesting an active and expanding operational cluster that should be prioritized for disruption targeting.</w:t>
      </w:r>
    </w:p>
    <w:p>
      <w:pPr>
        <w:pStyle w:val="Heading1"/>
      </w:pPr>
      <w:r>
        <w:t xml:space="preserve">6. Open-Source Intelligence Indicator</w:t>
      </w:r>
    </w:p>
    <w:p>
      <w:pPr>
        <w:spacing w:after="200"/>
      </w:pPr>
      <w:r>
        <w:rPr>
          <w:rFonts w:ascii="Arial" w:cs="Arial" w:eastAsia="Arial" w:hAnsi="Arial"/>
          <w:sz w:val="22"/>
          <w:szCs w:val="22"/>
        </w:rPr>
        <w:t xml:space="preserve">During the course of this investigation, an open-source advertisement was identified promoting the sale of fentanyl precursor chemicals. The advertisement, attributed to an entity operating under the name “HOYAN,” explicitly lists CAS numbers associated with known precursor compounds (CAS 19099-93-5 and CAS 443998-65-0). Contact details provided include a WhatsApp number (0086 19972155905), an encrypted messaging handle (K5UZ8CZE), and an email address (Cassiel@whhoyan.com). This indicator should be cross-referenced against the selectors and entity profiles identified in this investigation to determine overlap and attribution potential.</w:t>
      </w:r>
    </w:p>
    <w:p>
      <w:pPr>
        <w:pStyle w:val="Heading1"/>
      </w:pPr>
      <w:r>
        <w:t xml:space="preserve">7. Analytical Assessment</w:t>
      </w:r>
    </w:p>
    <w:p>
      <w:pPr>
        <w:spacing w:after="200"/>
      </w:pPr>
      <w:r>
        <w:rPr>
          <w:rFonts w:ascii="Arial" w:cs="Arial" w:eastAsia="Arial" w:hAnsi="Arial"/>
          <w:sz w:val="22"/>
          <w:szCs w:val="22"/>
        </w:rPr>
        <w:t xml:space="preserve">The convergence of matched entities, active DEA cases, and newly identified behavioral patterns strongly suggests the existence of an organized precursor chemical supply network with international reach. The high match rate (6 of 7 entities) against the Fentanyl Module indicates that the subjects of this investigation are already known to intelligence systems but may not have been previously linked to one another. The 3 behavioral patterns—spanning October 2025 through January 2026—point to an operational tempo that is accelerating, not contracting.</w:t>
      </w:r>
    </w:p>
    <w:p>
      <w:pPr>
        <w:pStyle w:val="Heading1"/>
      </w:pPr>
      <w:r>
        <w:t xml:space="preserve">8. Recommendations</w:t>
      </w:r>
    </w:p>
    <w:p>
      <w:pPr>
        <w:pStyle w:val="ListParagraph"/>
        <w:numPr>
          <w:ilvl w:val="0"/>
          <w:numId w:val="3"/>
        </w:numPr>
        <w:spacing w:after="80"/>
      </w:pPr>
      <w:r>
        <w:rPr>
          <w:rFonts w:ascii="Arial" w:cs="Arial" w:eastAsia="Arial" w:hAnsi="Arial"/>
          <w:sz w:val="22"/>
          <w:szCs w:val="22"/>
        </w:rPr>
        <w:t xml:space="preserve">Deconfliction: Coordinate with DEA case leads (John Doe, Jane Fawn) to share intelligence and align operational timelines.</w:t>
      </w:r>
    </w:p>
    <w:p>
      <w:pPr>
        <w:pStyle w:val="ListParagraph"/>
        <w:numPr>
          <w:ilvl w:val="0"/>
          <w:numId w:val="3"/>
        </w:numPr>
        <w:spacing w:after="80"/>
      </w:pPr>
      <w:r>
        <w:rPr>
          <w:rFonts w:ascii="Arial" w:cs="Arial" w:eastAsia="Arial" w:hAnsi="Arial"/>
          <w:sz w:val="22"/>
          <w:szCs w:val="22"/>
        </w:rPr>
        <w:t xml:space="preserve">Unmatched Entity Triage: Initiate targeted collection against the unmatched entity (Entity Delta) using open-source and human intelligence methods.</w:t>
      </w:r>
    </w:p>
    <w:p>
      <w:pPr>
        <w:pStyle w:val="ListParagraph"/>
        <w:numPr>
          <w:ilvl w:val="0"/>
          <w:numId w:val="3"/>
        </w:numPr>
        <w:spacing w:after="80"/>
      </w:pPr>
      <w:r>
        <w:rPr>
          <w:rFonts w:ascii="Arial" w:cs="Arial" w:eastAsia="Arial" w:hAnsi="Arial"/>
          <w:sz w:val="22"/>
          <w:szCs w:val="22"/>
        </w:rPr>
        <w:t xml:space="preserve">Pattern Exploitation: Prioritize Pattern 2 (15 linked selectors, most recent emergence) for network disruption planning.</w:t>
      </w:r>
    </w:p>
    <w:p>
      <w:pPr>
        <w:pStyle w:val="ListParagraph"/>
        <w:numPr>
          <w:ilvl w:val="0"/>
          <w:numId w:val="3"/>
        </w:numPr>
        <w:spacing w:after="80"/>
      </w:pPr>
      <w:r>
        <w:rPr>
          <w:rFonts w:ascii="Arial" w:cs="Arial" w:eastAsia="Arial" w:hAnsi="Arial"/>
          <w:sz w:val="22"/>
          <w:szCs w:val="22"/>
        </w:rPr>
        <w:t xml:space="preserve">OSINT Cross-Reference: Run the HOYAN advertisement selectors (CAS numbers, phone, email, messaging handle) against the investigation’s 30 identified selectors for overlap.</w:t>
      </w:r>
    </w:p>
    <w:p>
      <w:pPr>
        <w:pStyle w:val="ListParagraph"/>
        <w:numPr>
          <w:ilvl w:val="0"/>
          <w:numId w:val="3"/>
        </w:numPr>
        <w:spacing w:after="200"/>
      </w:pPr>
      <w:r>
        <w:rPr>
          <w:rFonts w:ascii="Arial" w:cs="Arial" w:eastAsia="Arial" w:hAnsi="Arial"/>
          <w:sz w:val="22"/>
          <w:szCs w:val="22"/>
        </w:rPr>
        <w:t xml:space="preserve">Report Production: Generate a formal intelligence product via the platform’s “Produce Report” function for dissemination to partner agencies, and publish findings to Spoke for broader visibility.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026"/>
      </w:tabs>
      <w:spacing w:after="0"/>
      <w:jc w:val="left"/>
    </w:pPr>
    <w:r>
      <w:rPr>
        <w:rFonts w:ascii="Arial" w:cs="Arial" w:eastAsia="Arial" w:hAnsi="Arial"/>
        <w:b/>
        <w:bCs/>
        <w:color w:val="1B2A4A"/>
        <w:sz w:val="16"/>
        <w:szCs w:val="16"/>
      </w:rPr>
      <w:t xml:space="preserve">INVESTIGATION SUMMARY  |  FENTANYL PRECURSOR NETWORK</w:t>
    </w:r>
    <w:r>
      <w:rPr>
        <w:rFonts w:ascii="Arial" w:cs="Arial" w:eastAsia="Arial" w:hAnsi="Arial"/>
        <w:b/>
        <w:bCs/>
        <w:color w:val="CC0000"/>
        <w:sz w:val="16"/>
        <w:szCs w:val="16"/>
      </w:rPr>
      <w:t xml:space="preserve">	LAW ENFORCEMENT SENSITIVE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4" w:space="4"/>
      </w:pBdr>
      <w:spacing w:after="160" w:before="30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2026-04-25T00:20:58.526Z</dcterms:created>
  <dcterms:modified xsi:type="dcterms:W3CDTF">2026-04-25T00:20:58.526Z</dcterms:modified>
</cp:coreProperties>
</file>

<file path=docProps/custom.xml><?xml version="1.0" encoding="utf-8"?>
<Properties xmlns="http://schemas.openxmlformats.org/officeDocument/2006/custom-properties" xmlns:vt="http://schemas.openxmlformats.org/officeDocument/2006/docPropsVTypes"/>
</file>