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CD556"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E40F7DE" w14:textId="77777777" w:rsidR="006F3493" w:rsidRDefault="006F3493">
      <w:pPr>
        <w:rPr>
          <w:rFonts w:ascii="Times New Roman" w:eastAsia="Times New Roman" w:hAnsi="Times New Roman" w:cs="Times New Roman"/>
        </w:rPr>
      </w:pPr>
    </w:p>
    <w:p w14:paraId="7D71DF41" w14:textId="536767EB"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AA15C8">
        <w:rPr>
          <w:rFonts w:ascii="Times New Roman" w:eastAsia="Times New Roman" w:hAnsi="Times New Roman" w:cs="Times New Roman"/>
        </w:rPr>
        <w:t>: Lab 0 – Comparing and Contrasting Workflows Across the Esri Ecosystem</w:t>
      </w:r>
    </w:p>
    <w:p w14:paraId="148EB820"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423A72AD" w14:textId="1408C817"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B557E4">
        <w:rPr>
          <w:rFonts w:ascii="Times New Roman" w:eastAsia="Times New Roman" w:hAnsi="Times New Roman" w:cs="Times New Roman"/>
        </w:rPr>
        <w:t xml:space="preserve"> Chris Carter</w:t>
      </w:r>
    </w:p>
    <w:p w14:paraId="574E2286" w14:textId="76D4D52D"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B557E4">
        <w:rPr>
          <w:rFonts w:ascii="Times New Roman" w:eastAsia="Times New Roman" w:hAnsi="Times New Roman" w:cs="Times New Roman"/>
        </w:rPr>
        <w:t xml:space="preserve"> 9/</w:t>
      </w:r>
      <w:r w:rsidR="00AA15C8">
        <w:rPr>
          <w:rFonts w:ascii="Times New Roman" w:eastAsia="Times New Roman" w:hAnsi="Times New Roman" w:cs="Times New Roman"/>
        </w:rPr>
        <w:t>21/</w:t>
      </w:r>
      <w:r w:rsidR="00B557E4">
        <w:rPr>
          <w:rFonts w:ascii="Times New Roman" w:eastAsia="Times New Roman" w:hAnsi="Times New Roman" w:cs="Times New Roman"/>
        </w:rPr>
        <w:t>2022</w:t>
      </w:r>
    </w:p>
    <w:p w14:paraId="6B8F5A0D" w14:textId="77777777" w:rsidR="006F3493" w:rsidRDefault="006F3493">
      <w:pPr>
        <w:rPr>
          <w:rFonts w:ascii="Times New Roman" w:eastAsia="Times New Roman" w:hAnsi="Times New Roman" w:cs="Times New Roman"/>
        </w:rPr>
      </w:pPr>
    </w:p>
    <w:p w14:paraId="757E89B9" w14:textId="483B8314"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00B557E4" w:rsidRPr="00B557E4">
          <w:rPr>
            <w:rStyle w:val="Hyperlink"/>
            <w:rFonts w:ascii="Times New Roman" w:eastAsia="Times New Roman" w:hAnsi="Times New Roman" w:cs="Times New Roman"/>
            <w:i/>
            <w:sz w:val="20"/>
            <w:szCs w:val="20"/>
          </w:rPr>
          <w:t>https://github.c</w:t>
        </w:r>
        <w:r w:rsidR="00B557E4" w:rsidRPr="00B557E4">
          <w:rPr>
            <w:rStyle w:val="Hyperlink"/>
            <w:rFonts w:ascii="Times New Roman" w:eastAsia="Times New Roman" w:hAnsi="Times New Roman" w:cs="Times New Roman"/>
            <w:i/>
            <w:sz w:val="20"/>
            <w:szCs w:val="20"/>
          </w:rPr>
          <w:t>o</w:t>
        </w:r>
        <w:r w:rsidR="00B557E4" w:rsidRPr="00B557E4">
          <w:rPr>
            <w:rStyle w:val="Hyperlink"/>
            <w:rFonts w:ascii="Times New Roman" w:eastAsia="Times New Roman" w:hAnsi="Times New Roman" w:cs="Times New Roman"/>
            <w:i/>
            <w:sz w:val="20"/>
            <w:szCs w:val="20"/>
          </w:rPr>
          <w:t>m/cart0588/GIS5571</w:t>
        </w:r>
      </w:hyperlink>
    </w:p>
    <w:p w14:paraId="127678B8" w14:textId="2DBF3627" w:rsidR="006F3493" w:rsidRPr="00A2242B" w:rsidRDefault="0082275A">
      <w:pPr>
        <w:rPr>
          <w:rFonts w:ascii="Times New Roman" w:eastAsia="Times New Roman" w:hAnsi="Times New Roman" w:cs="Times New Roman"/>
          <w:bCs/>
          <w:sz w:val="22"/>
          <w:szCs w:val="22"/>
        </w:rPr>
      </w:pPr>
      <w:r>
        <w:rPr>
          <w:rFonts w:ascii="Times New Roman" w:eastAsia="Times New Roman" w:hAnsi="Times New Roman" w:cs="Times New Roman"/>
          <w:b/>
        </w:rPr>
        <w:t>Google Drive Link:</w:t>
      </w:r>
      <w:r w:rsidR="00A2242B">
        <w:rPr>
          <w:rFonts w:ascii="Times New Roman" w:eastAsia="Times New Roman" w:hAnsi="Times New Roman" w:cs="Times New Roman"/>
          <w:b/>
        </w:rPr>
        <w:t xml:space="preserve"> </w:t>
      </w:r>
      <w:hyperlink r:id="rId7" w:history="1">
        <w:r w:rsidR="00A2242B" w:rsidRPr="00A2242B">
          <w:rPr>
            <w:rStyle w:val="Hyperlink"/>
            <w:rFonts w:ascii="Times New Roman" w:eastAsia="Times New Roman" w:hAnsi="Times New Roman" w:cs="Times New Roman"/>
            <w:bCs/>
            <w:i/>
            <w:iCs/>
            <w:sz w:val="20"/>
            <w:szCs w:val="20"/>
          </w:rPr>
          <w:t>https://drive.google.com/drive/folders/1bWGp9N-2fsK5o_oWevz1wAkuZS1dK_gj?usp=sharing</w:t>
        </w:r>
      </w:hyperlink>
    </w:p>
    <w:p w14:paraId="6601DDB8" w14:textId="4BEF7EF1"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276561">
        <w:rPr>
          <w:rFonts w:ascii="Times New Roman" w:eastAsia="Times New Roman" w:hAnsi="Times New Roman" w:cs="Times New Roman"/>
          <w:i/>
          <w:color w:val="000000" w:themeColor="text1"/>
          <w:sz w:val="20"/>
          <w:szCs w:val="20"/>
        </w:rPr>
        <w:t>6.25 hours</w:t>
      </w:r>
    </w:p>
    <w:p w14:paraId="70A3C27E" w14:textId="77777777" w:rsidR="0082275A" w:rsidRDefault="0082275A">
      <w:pPr>
        <w:rPr>
          <w:rFonts w:ascii="Times New Roman" w:eastAsia="Times New Roman" w:hAnsi="Times New Roman" w:cs="Times New Roman"/>
        </w:rPr>
      </w:pPr>
    </w:p>
    <w:p w14:paraId="55695621"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451A21A8"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&lt;Delete this text in light grey throughout&gt;</w:t>
      </w:r>
    </w:p>
    <w:p w14:paraId="1689F291"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 xml:space="preserve">250 words max. Clearly summarize the following major sections. Each gets one or two sentences.  </w:t>
      </w:r>
    </w:p>
    <w:p w14:paraId="452B518F" w14:textId="77777777" w:rsidR="006F3493" w:rsidRDefault="006F3493">
      <w:pPr>
        <w:rPr>
          <w:rFonts w:ascii="Times New Roman" w:eastAsia="Times New Roman" w:hAnsi="Times New Roman" w:cs="Times New Roman"/>
        </w:rPr>
      </w:pPr>
    </w:p>
    <w:p w14:paraId="29E4AD39" w14:textId="77777777" w:rsidR="006F3493" w:rsidRDefault="006F3493">
      <w:pPr>
        <w:rPr>
          <w:rFonts w:ascii="Times New Roman" w:eastAsia="Times New Roman" w:hAnsi="Times New Roman" w:cs="Times New Roman"/>
        </w:rPr>
      </w:pPr>
    </w:p>
    <w:p w14:paraId="44D6281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66CDDA84" w14:textId="777D4C94" w:rsidR="006F3493" w:rsidRPr="00012E64" w:rsidRDefault="005644F9">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The Esri ecosystem has </w:t>
      </w:r>
      <w:proofErr w:type="gramStart"/>
      <w:r w:rsidRPr="00012E64">
        <w:rPr>
          <w:rFonts w:ascii="Times New Roman" w:eastAsia="Times New Roman" w:hAnsi="Times New Roman" w:cs="Times New Roman"/>
          <w:iCs/>
          <w:color w:val="000000" w:themeColor="text1"/>
          <w:sz w:val="20"/>
          <w:szCs w:val="20"/>
        </w:rPr>
        <w:t>many different ways</w:t>
      </w:r>
      <w:proofErr w:type="gramEnd"/>
      <w:r w:rsidRPr="00012E64">
        <w:rPr>
          <w:rFonts w:ascii="Times New Roman" w:eastAsia="Times New Roman" w:hAnsi="Times New Roman" w:cs="Times New Roman"/>
          <w:iCs/>
          <w:color w:val="000000" w:themeColor="text1"/>
          <w:sz w:val="20"/>
          <w:szCs w:val="20"/>
        </w:rPr>
        <w:t xml:space="preserve"> that you can access the same underlying functionality. Your objective is to compare and contrast methods of performing the same simple activity – </w:t>
      </w:r>
      <w:proofErr w:type="gramStart"/>
      <w:r w:rsidRPr="00012E64">
        <w:rPr>
          <w:rFonts w:ascii="Times New Roman" w:eastAsia="Times New Roman" w:hAnsi="Times New Roman" w:cs="Times New Roman"/>
          <w:iCs/>
          <w:color w:val="000000" w:themeColor="text1"/>
          <w:sz w:val="20"/>
          <w:szCs w:val="20"/>
        </w:rPr>
        <w:t>buffering  a</w:t>
      </w:r>
      <w:proofErr w:type="gramEnd"/>
      <w:r w:rsidRPr="00012E64">
        <w:rPr>
          <w:rFonts w:ascii="Times New Roman" w:eastAsia="Times New Roman" w:hAnsi="Times New Roman" w:cs="Times New Roman"/>
          <w:iCs/>
          <w:color w:val="000000" w:themeColor="text1"/>
          <w:sz w:val="20"/>
          <w:szCs w:val="20"/>
        </w:rPr>
        <w:t xml:space="preserve"> network dataset – using three different tools: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Notebooks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Notebooks in </w:t>
      </w:r>
      <w:proofErr w:type="spellStart"/>
      <w:r w:rsidRPr="00012E64">
        <w:rPr>
          <w:rFonts w:ascii="Times New Roman" w:eastAsia="Times New Roman" w:hAnsi="Times New Roman" w:cs="Times New Roman"/>
          <w:iCs/>
          <w:color w:val="000000" w:themeColor="text1"/>
          <w:sz w:val="20"/>
          <w:szCs w:val="20"/>
        </w:rPr>
        <w:t>ArcOnline</w:t>
      </w:r>
      <w:proofErr w:type="spellEnd"/>
      <w:r w:rsidRPr="00012E64">
        <w:rPr>
          <w:rFonts w:ascii="Times New Roman" w:eastAsia="Times New Roman" w:hAnsi="Times New Roman" w:cs="Times New Roman"/>
          <w:iCs/>
          <w:color w:val="000000" w:themeColor="text1"/>
          <w:sz w:val="20"/>
          <w:szCs w:val="20"/>
        </w:rPr>
        <w:t>.</w:t>
      </w:r>
    </w:p>
    <w:p w14:paraId="1CEFCD45" w14:textId="36A29214" w:rsidR="00012E64" w:rsidRPr="00012E64" w:rsidRDefault="00012E64">
      <w:pPr>
        <w:rPr>
          <w:rFonts w:ascii="Times New Roman" w:eastAsia="Times New Roman" w:hAnsi="Times New Roman" w:cs="Times New Roman"/>
          <w:iCs/>
          <w:color w:val="000000" w:themeColor="text1"/>
          <w:sz w:val="20"/>
          <w:szCs w:val="20"/>
        </w:rPr>
      </w:pPr>
    </w:p>
    <w:p w14:paraId="3E9DF36D" w14:textId="3123DC90" w:rsidR="006F3493" w:rsidRDefault="00012E64">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I’ll be aiming to create a 200m buffer around a shapefile of road centerlines in Aitkin County, Minnesota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with a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t>
      </w:r>
      <w:proofErr w:type="spellStart"/>
      <w:r w:rsidRPr="00012E64">
        <w:rPr>
          <w:rFonts w:ascii="Times New Roman" w:eastAsia="Times New Roman" w:hAnsi="Times New Roman" w:cs="Times New Roman"/>
          <w:iCs/>
          <w:color w:val="000000" w:themeColor="text1"/>
          <w:sz w:val="20"/>
          <w:szCs w:val="20"/>
        </w:rPr>
        <w:t>ArcOnline</w:t>
      </w:r>
      <w:proofErr w:type="spellEnd"/>
      <w:r w:rsidRPr="00012E64">
        <w:rPr>
          <w:rFonts w:ascii="Times New Roman" w:eastAsia="Times New Roman" w:hAnsi="Times New Roman" w:cs="Times New Roman"/>
          <w:iCs/>
          <w:color w:val="000000" w:themeColor="text1"/>
          <w:sz w:val="20"/>
          <w:szCs w:val="20"/>
        </w:rPr>
        <w:t>.</w:t>
      </w:r>
    </w:p>
    <w:p w14:paraId="47D14B17" w14:textId="77777777" w:rsidR="00276561" w:rsidRPr="00276561" w:rsidRDefault="00276561">
      <w:pPr>
        <w:rPr>
          <w:rFonts w:ascii="Times New Roman" w:eastAsia="Times New Roman" w:hAnsi="Times New Roman" w:cs="Times New Roman"/>
          <w:iCs/>
          <w:color w:val="000000" w:themeColor="text1"/>
          <w:sz w:val="20"/>
          <w:szCs w:val="20"/>
        </w:rPr>
      </w:pPr>
    </w:p>
    <w:p w14:paraId="4C906188" w14:textId="77777777" w:rsidR="006F3493" w:rsidRDefault="006F3493">
      <w:pPr>
        <w:rPr>
          <w:rFonts w:ascii="Times New Roman" w:eastAsia="Times New Roman" w:hAnsi="Times New Roman" w:cs="Times New Roman"/>
          <w:color w:val="D0CECE"/>
          <w:sz w:val="20"/>
          <w:szCs w:val="20"/>
        </w:rPr>
      </w:pPr>
    </w:p>
    <w:p w14:paraId="59FA7C71"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7984D350" w14:textId="78B3D768" w:rsidR="006F3493" w:rsidRPr="009001AE" w:rsidRDefault="009001AE">
      <w:pPr>
        <w:rPr>
          <w:rFonts w:ascii="Times New Roman" w:eastAsia="Times New Roman" w:hAnsi="Times New Roman" w:cs="Times New Roman"/>
          <w:i/>
          <w:color w:val="000000" w:themeColor="text1"/>
          <w:sz w:val="20"/>
          <w:szCs w:val="20"/>
        </w:rPr>
      </w:pPr>
      <w:r w:rsidRPr="009001AE">
        <w:rPr>
          <w:rFonts w:ascii="Times New Roman" w:eastAsia="Times New Roman" w:hAnsi="Times New Roman" w:cs="Times New Roman"/>
          <w:i/>
          <w:color w:val="000000" w:themeColor="text1"/>
          <w:sz w:val="20"/>
          <w:szCs w:val="20"/>
        </w:rPr>
        <w:t>Shapefile of road centerlines in Aitkin County, Minnesota, mapped for Enhanced 911 purposes.</w:t>
      </w:r>
    </w:p>
    <w:p w14:paraId="77ABA336" w14:textId="77777777" w:rsidR="006F3493" w:rsidRDefault="006F3493">
      <w:pPr>
        <w:rPr>
          <w:rFonts w:ascii="Times New Roman" w:eastAsia="Times New Roman" w:hAnsi="Times New Roman" w:cs="Times New Roman"/>
          <w:i/>
          <w:color w:val="D0CECE"/>
          <w:sz w:val="20"/>
          <w:szCs w:val="20"/>
        </w:rPr>
      </w:pPr>
    </w:p>
    <w:p w14:paraId="0EA15844" w14:textId="6B13EF1E" w:rsidR="006F3493" w:rsidRPr="00E96F27" w:rsidRDefault="0082275A">
      <w:pPr>
        <w:rPr>
          <w:rFonts w:ascii="Times New Roman" w:eastAsia="Times New Roman" w:hAnsi="Times New Roman" w:cs="Times New Roman"/>
          <w:i/>
          <w:color w:val="000000" w:themeColor="text1"/>
          <w:sz w:val="20"/>
          <w:szCs w:val="20"/>
        </w:rPr>
      </w:pPr>
      <w:r w:rsidRPr="00E96F27">
        <w:rPr>
          <w:rFonts w:ascii="Times New Roman" w:eastAsia="Times New Roman" w:hAnsi="Times New Roman" w:cs="Times New Roman"/>
          <w:i/>
          <w:color w:val="000000" w:themeColor="text1"/>
          <w:sz w:val="20"/>
          <w:szCs w:val="20"/>
        </w:rPr>
        <w:t xml:space="preserve">Table 2. </w:t>
      </w:r>
      <w:r w:rsidR="00767FCC">
        <w:rPr>
          <w:rFonts w:ascii="Times New Roman" w:eastAsia="Times New Roman" w:hAnsi="Times New Roman" w:cs="Times New Roman"/>
          <w:i/>
          <w:color w:val="000000" w:themeColor="text1"/>
          <w:sz w:val="20"/>
          <w:szCs w:val="20"/>
        </w:rPr>
        <w:t>Data Sources used for Lab 0</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6C45EB00" w14:textId="77777777">
        <w:tc>
          <w:tcPr>
            <w:tcW w:w="383" w:type="dxa"/>
          </w:tcPr>
          <w:p w14:paraId="5EC3CFB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90577D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1D3B92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27276D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4A9E26B4" w14:textId="77777777">
        <w:tc>
          <w:tcPr>
            <w:tcW w:w="383" w:type="dxa"/>
          </w:tcPr>
          <w:p w14:paraId="5155482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4FBCC778" w14:textId="12D067E8" w:rsidR="006F3493" w:rsidRPr="00E96F27" w:rsidRDefault="00E96F27">
            <w:pPr>
              <w:rPr>
                <w:rFonts w:ascii="Times New Roman" w:eastAsia="Times New Roman" w:hAnsi="Times New Roman" w:cs="Times New Roman"/>
                <w:color w:val="000000" w:themeColor="text1"/>
                <w:sz w:val="20"/>
                <w:szCs w:val="20"/>
              </w:rPr>
            </w:pPr>
            <w:r w:rsidRPr="00E96F27">
              <w:rPr>
                <w:rFonts w:ascii="Times New Roman" w:eastAsia="Times New Roman" w:hAnsi="Times New Roman" w:cs="Times New Roman"/>
                <w:color w:val="000000" w:themeColor="text1"/>
                <w:sz w:val="20"/>
                <w:szCs w:val="20"/>
              </w:rPr>
              <w:t>Road Centerlines, Aitkin County, Minnesota</w:t>
            </w:r>
          </w:p>
        </w:tc>
        <w:tc>
          <w:tcPr>
            <w:tcW w:w="4590" w:type="dxa"/>
          </w:tcPr>
          <w:p w14:paraId="183D2A40" w14:textId="2E6F5ED5" w:rsidR="006F3493" w:rsidRPr="00E96F27" w:rsidRDefault="00E96F27">
            <w:pPr>
              <w:rPr>
                <w:rFonts w:ascii="Times New Roman" w:eastAsia="Times New Roman" w:hAnsi="Times New Roman" w:cs="Times New Roman"/>
                <w:color w:val="000000" w:themeColor="text1"/>
                <w:sz w:val="20"/>
                <w:szCs w:val="20"/>
              </w:rPr>
            </w:pPr>
            <w:r w:rsidRPr="00E96F27">
              <w:rPr>
                <w:rFonts w:ascii="Times New Roman" w:eastAsia="Times New Roman" w:hAnsi="Times New Roman" w:cs="Times New Roman"/>
                <w:color w:val="000000" w:themeColor="text1"/>
                <w:sz w:val="20"/>
                <w:szCs w:val="20"/>
              </w:rPr>
              <w:t>Raw input dataset</w:t>
            </w:r>
            <w:r w:rsidR="009001AE">
              <w:rPr>
                <w:rFonts w:ascii="Times New Roman" w:eastAsia="Times New Roman" w:hAnsi="Times New Roman" w:cs="Times New Roman"/>
                <w:color w:val="000000" w:themeColor="text1"/>
                <w:sz w:val="20"/>
                <w:szCs w:val="20"/>
              </w:rPr>
              <w:t xml:space="preserve"> </w:t>
            </w:r>
            <w:r w:rsidR="00767FCC">
              <w:rPr>
                <w:rFonts w:ascii="Times New Roman" w:eastAsia="Times New Roman" w:hAnsi="Times New Roman" w:cs="Times New Roman"/>
                <w:color w:val="000000" w:themeColor="text1"/>
                <w:sz w:val="20"/>
                <w:szCs w:val="20"/>
              </w:rPr>
              <w:t>from</w:t>
            </w:r>
            <w:r w:rsidR="009001AE">
              <w:rPr>
                <w:rFonts w:ascii="Times New Roman" w:eastAsia="Times New Roman" w:hAnsi="Times New Roman" w:cs="Times New Roman"/>
                <w:color w:val="000000" w:themeColor="text1"/>
                <w:sz w:val="20"/>
                <w:szCs w:val="20"/>
              </w:rPr>
              <w:t xml:space="preserve"> which buffers will be generated</w:t>
            </w:r>
            <w:r w:rsidR="00767FCC">
              <w:rPr>
                <w:rFonts w:ascii="Times New Roman" w:eastAsia="Times New Roman" w:hAnsi="Times New Roman" w:cs="Times New Roman"/>
                <w:color w:val="000000" w:themeColor="text1"/>
                <w:sz w:val="20"/>
                <w:szCs w:val="20"/>
              </w:rPr>
              <w:t xml:space="preserve"> (shapefile)</w:t>
            </w:r>
          </w:p>
        </w:tc>
        <w:tc>
          <w:tcPr>
            <w:tcW w:w="2425" w:type="dxa"/>
          </w:tcPr>
          <w:p w14:paraId="7D8AA30D" w14:textId="43B4DF36" w:rsidR="006F3493" w:rsidRPr="00E96F27" w:rsidRDefault="009001AE">
            <w:pPr>
              <w:rPr>
                <w:rFonts w:ascii="Times New Roman" w:eastAsia="Times New Roman" w:hAnsi="Times New Roman" w:cs="Times New Roman"/>
                <w:color w:val="000000" w:themeColor="text1"/>
                <w:sz w:val="20"/>
                <w:szCs w:val="20"/>
              </w:rPr>
            </w:pPr>
            <w:hyperlink r:id="rId8" w:history="1">
              <w:r w:rsidR="00E96F27" w:rsidRPr="009001AE">
                <w:rPr>
                  <w:rStyle w:val="Hyperlink"/>
                  <w:rFonts w:ascii="Times New Roman" w:hAnsi="Times New Roman" w:cs="Times New Roman"/>
                  <w:sz w:val="20"/>
                  <w:szCs w:val="20"/>
                </w:rPr>
                <w:t>Minnesota G</w:t>
              </w:r>
              <w:r w:rsidR="00E96F27" w:rsidRPr="009001AE">
                <w:rPr>
                  <w:rStyle w:val="Hyperlink"/>
                  <w:rFonts w:ascii="Times New Roman" w:hAnsi="Times New Roman" w:cs="Times New Roman"/>
                  <w:sz w:val="20"/>
                  <w:szCs w:val="20"/>
                </w:rPr>
                <w:t>e</w:t>
              </w:r>
              <w:r w:rsidR="00E96F27" w:rsidRPr="009001AE">
                <w:rPr>
                  <w:rStyle w:val="Hyperlink"/>
                  <w:rFonts w:ascii="Times New Roman" w:hAnsi="Times New Roman" w:cs="Times New Roman"/>
                  <w:sz w:val="20"/>
                  <w:szCs w:val="20"/>
                </w:rPr>
                <w:t>ospatial Commons</w:t>
              </w:r>
            </w:hyperlink>
          </w:p>
        </w:tc>
      </w:tr>
    </w:tbl>
    <w:p w14:paraId="58D46596" w14:textId="77777777" w:rsidR="006F3493" w:rsidRDefault="006F3493">
      <w:pPr>
        <w:rPr>
          <w:rFonts w:ascii="Times New Roman" w:eastAsia="Times New Roman" w:hAnsi="Times New Roman" w:cs="Times New Roman"/>
          <w:color w:val="D0CECE"/>
          <w:sz w:val="20"/>
          <w:szCs w:val="20"/>
        </w:rPr>
      </w:pPr>
    </w:p>
    <w:p w14:paraId="6749FDFC" w14:textId="77777777" w:rsidR="006F3493" w:rsidRDefault="006F3493">
      <w:pPr>
        <w:rPr>
          <w:rFonts w:ascii="Times New Roman" w:eastAsia="Times New Roman" w:hAnsi="Times New Roman" w:cs="Times New Roman"/>
          <w:i/>
          <w:color w:val="D0CECE"/>
          <w:sz w:val="20"/>
          <w:szCs w:val="20"/>
        </w:rPr>
      </w:pPr>
    </w:p>
    <w:p w14:paraId="1CA1AC3A" w14:textId="075FF20B"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6D5456C" w14:textId="4837525F" w:rsidR="00AA15C8" w:rsidRPr="00AA15C8" w:rsidRDefault="00AA15C8">
      <w:pPr>
        <w:rPr>
          <w:rFonts w:ascii="Times New Roman" w:eastAsia="Times New Roman" w:hAnsi="Times New Roman" w:cs="Times New Roman"/>
          <w:bCs/>
          <w:sz w:val="20"/>
          <w:szCs w:val="20"/>
        </w:rPr>
      </w:pPr>
      <w:r w:rsidRPr="00AA15C8">
        <w:rPr>
          <w:rFonts w:ascii="Times New Roman" w:eastAsia="Times New Roman" w:hAnsi="Times New Roman" w:cs="Times New Roman"/>
          <w:bCs/>
          <w:sz w:val="20"/>
          <w:szCs w:val="20"/>
        </w:rPr>
        <w:t>Where</w:t>
      </w:r>
      <w:r>
        <w:rPr>
          <w:rFonts w:ascii="Times New Roman" w:eastAsia="Times New Roman" w:hAnsi="Times New Roman" w:cs="Times New Roman"/>
          <w:bCs/>
          <w:sz w:val="20"/>
          <w:szCs w:val="20"/>
        </w:rPr>
        <w:t xml:space="preserve"> </w:t>
      </w:r>
      <w:r w:rsidRPr="00AA15C8">
        <w:rPr>
          <w:rFonts w:ascii="Times New Roman" w:eastAsia="Times New Roman" w:hAnsi="Times New Roman" w:cs="Times New Roman"/>
          <w:b/>
          <w:color w:val="F8CECC"/>
          <w:sz w:val="20"/>
          <w:szCs w:val="20"/>
          <w:highlight w:val="black"/>
        </w:rPr>
        <w:t>red</w:t>
      </w:r>
      <w:r w:rsidRPr="00AA15C8">
        <w:rPr>
          <w:rFonts w:ascii="Times New Roman" w:eastAsia="Times New Roman" w:hAnsi="Times New Roman" w:cs="Times New Roman"/>
          <w:bCs/>
          <w:color w:val="F8CECC"/>
          <w:sz w:val="20"/>
          <w:szCs w:val="20"/>
        </w:rPr>
        <w:t xml:space="preserve"> </w:t>
      </w:r>
      <w:r>
        <w:rPr>
          <w:rFonts w:ascii="Times New Roman" w:eastAsia="Times New Roman" w:hAnsi="Times New Roman" w:cs="Times New Roman"/>
          <w:bCs/>
          <w:sz w:val="20"/>
          <w:szCs w:val="20"/>
        </w:rPr>
        <w:t xml:space="preserve">boxes indicate data input, </w:t>
      </w:r>
      <w:r w:rsidRPr="00AA15C8">
        <w:rPr>
          <w:rFonts w:ascii="Times New Roman" w:eastAsia="Times New Roman" w:hAnsi="Times New Roman" w:cs="Times New Roman"/>
          <w:b/>
          <w:color w:val="FFF3CC"/>
          <w:sz w:val="20"/>
          <w:szCs w:val="20"/>
          <w:highlight w:val="black"/>
        </w:rPr>
        <w:t>yellow</w:t>
      </w:r>
      <w:r>
        <w:rPr>
          <w:rFonts w:ascii="Times New Roman" w:eastAsia="Times New Roman" w:hAnsi="Times New Roman" w:cs="Times New Roman"/>
          <w:bCs/>
          <w:sz w:val="20"/>
          <w:szCs w:val="20"/>
        </w:rPr>
        <w:t xml:space="preserve"> boxes indicate variable selection for the buffer, and </w:t>
      </w:r>
      <w:r w:rsidRPr="00AA15C8">
        <w:rPr>
          <w:rFonts w:ascii="Times New Roman" w:eastAsia="Times New Roman" w:hAnsi="Times New Roman" w:cs="Times New Roman"/>
          <w:b/>
          <w:color w:val="D6E8D5"/>
          <w:sz w:val="20"/>
          <w:szCs w:val="20"/>
          <w:highlight w:val="black"/>
        </w:rPr>
        <w:t>green</w:t>
      </w:r>
      <w:r w:rsidRPr="00AA15C8">
        <w:rPr>
          <w:rFonts w:ascii="Times New Roman" w:eastAsia="Times New Roman" w:hAnsi="Times New Roman" w:cs="Times New Roman"/>
          <w:bCs/>
          <w:color w:val="D6E8D5"/>
          <w:sz w:val="20"/>
          <w:szCs w:val="20"/>
        </w:rPr>
        <w:t xml:space="preserve"> </w:t>
      </w:r>
      <w:r>
        <w:rPr>
          <w:rFonts w:ascii="Times New Roman" w:eastAsia="Times New Roman" w:hAnsi="Times New Roman" w:cs="Times New Roman"/>
          <w:bCs/>
          <w:sz w:val="20"/>
          <w:szCs w:val="20"/>
        </w:rPr>
        <w:t>boxes indicate output.</w:t>
      </w:r>
    </w:p>
    <w:p w14:paraId="4CAA18E1" w14:textId="77777777" w:rsidR="006D418E" w:rsidRDefault="006D418E">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noProof/>
          <w:color w:val="D0CECE"/>
          <w:sz w:val="20"/>
          <w:szCs w:val="20"/>
        </w:rPr>
        <w:lastRenderedPageBreak/>
        <w:drawing>
          <wp:inline distT="0" distB="0" distL="0" distR="0" wp14:anchorId="57A1B36E" wp14:editId="152C8DFC">
            <wp:extent cx="5945436" cy="447472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6637" cy="4490680"/>
                    </a:xfrm>
                    <a:prstGeom prst="rect">
                      <a:avLst/>
                    </a:prstGeom>
                  </pic:spPr>
                </pic:pic>
              </a:graphicData>
            </a:graphic>
          </wp:inline>
        </w:drawing>
      </w:r>
    </w:p>
    <w:p w14:paraId="29531129" w14:textId="0ABB409A" w:rsidR="006F3493" w:rsidRDefault="006D418E">
      <w:pPr>
        <w:rPr>
          <w:rFonts w:ascii="Times New Roman" w:eastAsia="Times New Roman" w:hAnsi="Times New Roman" w:cs="Times New Roman"/>
          <w:i/>
          <w:color w:val="000000" w:themeColor="text1"/>
          <w:sz w:val="20"/>
          <w:szCs w:val="20"/>
          <w:u w:val="single"/>
        </w:rPr>
      </w:pPr>
      <w:r w:rsidRPr="006D418E">
        <w:rPr>
          <w:rFonts w:ascii="Times New Roman" w:eastAsia="Times New Roman" w:hAnsi="Times New Roman" w:cs="Times New Roman"/>
          <w:i/>
          <w:color w:val="000000" w:themeColor="text1"/>
          <w:sz w:val="20"/>
          <w:szCs w:val="20"/>
          <w:u w:val="single"/>
        </w:rPr>
        <w:t>Code</w:t>
      </w:r>
    </w:p>
    <w:p w14:paraId="2127B0ED" w14:textId="34894DC6" w:rsidR="006D418E" w:rsidRDefault="006D418E">
      <w:pPr>
        <w:rPr>
          <w:rFonts w:ascii="Times New Roman" w:eastAsia="Times New Roman" w:hAnsi="Times New Roman" w:cs="Times New Roman"/>
          <w:i/>
          <w:color w:val="D0CECE"/>
          <w:sz w:val="20"/>
          <w:szCs w:val="20"/>
          <w:u w:val="single"/>
        </w:rPr>
      </w:pPr>
    </w:p>
    <w:tbl>
      <w:tblPr>
        <w:tblStyle w:val="TableGrid"/>
        <w:tblW w:w="0" w:type="auto"/>
        <w:tblLook w:val="04A0" w:firstRow="1" w:lastRow="0" w:firstColumn="1" w:lastColumn="0" w:noHBand="0" w:noVBand="1"/>
      </w:tblPr>
      <w:tblGrid>
        <w:gridCol w:w="1413"/>
        <w:gridCol w:w="7937"/>
      </w:tblGrid>
      <w:tr w:rsidR="00F8178A" w14:paraId="6F746037" w14:textId="77777777" w:rsidTr="00F8178A">
        <w:trPr>
          <w:trHeight w:val="347"/>
        </w:trPr>
        <w:tc>
          <w:tcPr>
            <w:tcW w:w="1413" w:type="dxa"/>
          </w:tcPr>
          <w:p w14:paraId="10B30931" w14:textId="50330772" w:rsidR="006D418E" w:rsidRPr="006D418E" w:rsidRDefault="006D418E">
            <w:pPr>
              <w:rPr>
                <w:rFonts w:ascii="Times New Roman" w:eastAsia="Times New Roman" w:hAnsi="Times New Roman" w:cs="Times New Roman"/>
                <w:iCs/>
                <w:color w:val="000000" w:themeColor="text1"/>
                <w:sz w:val="20"/>
                <w:szCs w:val="20"/>
              </w:rPr>
            </w:pPr>
            <w:r w:rsidRPr="006D418E">
              <w:rPr>
                <w:rFonts w:ascii="Times New Roman" w:eastAsia="Times New Roman" w:hAnsi="Times New Roman" w:cs="Times New Roman"/>
                <w:iCs/>
                <w:color w:val="000000" w:themeColor="text1"/>
                <w:sz w:val="20"/>
                <w:szCs w:val="20"/>
              </w:rPr>
              <w:t>System</w:t>
            </w:r>
          </w:p>
        </w:tc>
        <w:tc>
          <w:tcPr>
            <w:tcW w:w="7937" w:type="dxa"/>
          </w:tcPr>
          <w:p w14:paraId="3F7465DB" w14:textId="7BBD2065" w:rsidR="006D418E" w:rsidRPr="006D418E" w:rsidRDefault="006D418E">
            <w:pPr>
              <w:rPr>
                <w:rFonts w:ascii="Times New Roman" w:eastAsia="Times New Roman" w:hAnsi="Times New Roman" w:cs="Times New Roman"/>
                <w:iCs/>
                <w:color w:val="000000" w:themeColor="text1"/>
                <w:sz w:val="20"/>
                <w:szCs w:val="20"/>
              </w:rPr>
            </w:pPr>
            <w:r w:rsidRPr="006D418E">
              <w:rPr>
                <w:rFonts w:ascii="Times New Roman" w:eastAsia="Times New Roman" w:hAnsi="Times New Roman" w:cs="Times New Roman"/>
                <w:iCs/>
                <w:color w:val="000000" w:themeColor="text1"/>
                <w:sz w:val="20"/>
                <w:szCs w:val="20"/>
              </w:rPr>
              <w:t>Code</w:t>
            </w:r>
          </w:p>
        </w:tc>
      </w:tr>
      <w:tr w:rsidR="00F8178A" w14:paraId="03EB93CF" w14:textId="77777777" w:rsidTr="00F8178A">
        <w:trPr>
          <w:trHeight w:val="267"/>
        </w:trPr>
        <w:tc>
          <w:tcPr>
            <w:tcW w:w="1413" w:type="dxa"/>
          </w:tcPr>
          <w:p w14:paraId="5E9C2021" w14:textId="5822E68B" w:rsidR="006D418E" w:rsidRPr="006D418E" w:rsidRDefault="006D418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Notebooks in </w:t>
            </w:r>
            <w:proofErr w:type="spellStart"/>
            <w:r>
              <w:rPr>
                <w:rFonts w:ascii="Times New Roman" w:eastAsia="Times New Roman" w:hAnsi="Times New Roman" w:cs="Times New Roman"/>
                <w:iCs/>
                <w:color w:val="000000" w:themeColor="text1"/>
                <w:sz w:val="20"/>
                <w:szCs w:val="20"/>
              </w:rPr>
              <w:t>ArcPro</w:t>
            </w:r>
            <w:proofErr w:type="spellEnd"/>
          </w:p>
        </w:tc>
        <w:tc>
          <w:tcPr>
            <w:tcW w:w="7937" w:type="dxa"/>
          </w:tcPr>
          <w:p w14:paraId="26897F76" w14:textId="34A077DD" w:rsidR="006D418E" w:rsidRPr="006D418E" w:rsidRDefault="006D418E" w:rsidP="00C02193">
            <w:pPr>
              <w:rPr>
                <w:rFonts w:ascii="Courier" w:eastAsia="Times New Roman" w:hAnsi="Courier" w:cs="Times New Roman"/>
                <w:iCs/>
                <w:color w:val="000000" w:themeColor="text1"/>
                <w:sz w:val="20"/>
                <w:szCs w:val="20"/>
              </w:rPr>
            </w:pPr>
            <w:proofErr w:type="spellStart"/>
            <w:proofErr w:type="gramStart"/>
            <w:r w:rsidRPr="006D418E">
              <w:rPr>
                <w:rFonts w:ascii="Courier" w:eastAsia="Times New Roman" w:hAnsi="Courier" w:cs="Times New Roman"/>
                <w:iCs/>
                <w:color w:val="000000" w:themeColor="text1"/>
                <w:sz w:val="20"/>
                <w:szCs w:val="20"/>
              </w:rPr>
              <w:t>arcpy.analysis</w:t>
            </w:r>
            <w:proofErr w:type="gramEnd"/>
            <w:r w:rsidRPr="006D418E">
              <w:rPr>
                <w:rFonts w:ascii="Courier" w:eastAsia="Times New Roman" w:hAnsi="Courier" w:cs="Times New Roman"/>
                <w:iCs/>
                <w:color w:val="000000" w:themeColor="text1"/>
                <w:sz w:val="20"/>
                <w:szCs w:val="20"/>
              </w:rPr>
              <w:t>.Buffer</w:t>
            </w:r>
            <w:proofErr w:type="spellEnd"/>
            <w:r w:rsidRPr="006D418E">
              <w:rPr>
                <w:rFonts w:ascii="Courier" w:eastAsia="Times New Roman" w:hAnsi="Courier" w:cs="Times New Roman"/>
                <w:iCs/>
                <w:color w:val="000000" w:themeColor="text1"/>
                <w:sz w:val="20"/>
                <w:szCs w:val="20"/>
              </w:rPr>
              <w:t>("</w:t>
            </w:r>
            <w:proofErr w:type="spellStart"/>
            <w:r w:rsidRPr="006D418E">
              <w:rPr>
                <w:rFonts w:ascii="Courier" w:eastAsia="Times New Roman" w:hAnsi="Courier" w:cs="Times New Roman"/>
                <w:iCs/>
                <w:color w:val="000000" w:themeColor="text1"/>
                <w:sz w:val="20"/>
                <w:szCs w:val="20"/>
              </w:rPr>
              <w:t>rcl</w:t>
            </w:r>
            <w:proofErr w:type="spellEnd"/>
            <w:r w:rsidRPr="006D418E">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r w:rsidRPr="006D418E">
              <w:rPr>
                <w:rFonts w:ascii="Courier" w:eastAsia="Times New Roman" w:hAnsi="Courier" w:cs="Times New Roman"/>
                <w:iCs/>
                <w:color w:val="000000" w:themeColor="text1"/>
                <w:sz w:val="20"/>
                <w:szCs w:val="20"/>
              </w:rPr>
              <w:t>"</w:t>
            </w:r>
            <w:proofErr w:type="spellStart"/>
            <w:r w:rsidRPr="006D418E">
              <w:rPr>
                <w:rFonts w:ascii="Courier" w:eastAsia="Times New Roman" w:hAnsi="Courier" w:cs="Times New Roman"/>
                <w:iCs/>
                <w:color w:val="000000" w:themeColor="text1"/>
                <w:sz w:val="20"/>
                <w:szCs w:val="20"/>
              </w:rPr>
              <w:t>rcl</w:t>
            </w:r>
            <w:r w:rsidRPr="006D418E">
              <w:rPr>
                <w:rFonts w:ascii="Courier" w:eastAsia="Times New Roman" w:hAnsi="Courier" w:cs="Times New Roman"/>
                <w:iCs/>
                <w:color w:val="000000" w:themeColor="text1"/>
                <w:sz w:val="20"/>
                <w:szCs w:val="20"/>
              </w:rPr>
              <w:t>_</w:t>
            </w:r>
            <w:r w:rsidRPr="006D418E">
              <w:rPr>
                <w:rFonts w:ascii="Courier" w:eastAsia="Times New Roman" w:hAnsi="Courier" w:cs="Times New Roman"/>
                <w:iCs/>
                <w:color w:val="000000" w:themeColor="text1"/>
                <w:sz w:val="20"/>
                <w:szCs w:val="20"/>
              </w:rPr>
              <w:t>Buffer_NotebooksPro</w:t>
            </w:r>
            <w:proofErr w:type="spellEnd"/>
            <w:r w:rsidRPr="006D418E">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r w:rsidRPr="006D418E">
              <w:rPr>
                <w:rFonts w:ascii="Courier" w:eastAsia="Times New Roman" w:hAnsi="Courier" w:cs="Times New Roman"/>
                <w:iCs/>
                <w:color w:val="000000" w:themeColor="text1"/>
                <w:sz w:val="20"/>
                <w:szCs w:val="20"/>
              </w:rPr>
              <w:t>"200 Meters")</w:t>
            </w:r>
          </w:p>
        </w:tc>
      </w:tr>
      <w:tr w:rsidR="00F8178A" w14:paraId="6E040D9A" w14:textId="77777777" w:rsidTr="00F8178A">
        <w:trPr>
          <w:trHeight w:val="300"/>
        </w:trPr>
        <w:tc>
          <w:tcPr>
            <w:tcW w:w="1413" w:type="dxa"/>
          </w:tcPr>
          <w:p w14:paraId="7F9219AD" w14:textId="094C2D2C" w:rsidR="006D418E" w:rsidRPr="006D418E" w:rsidRDefault="006D418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Notebooks in </w:t>
            </w:r>
            <w:proofErr w:type="spellStart"/>
            <w:r>
              <w:rPr>
                <w:rFonts w:ascii="Times New Roman" w:eastAsia="Times New Roman" w:hAnsi="Times New Roman" w:cs="Times New Roman"/>
                <w:iCs/>
                <w:color w:val="000000" w:themeColor="text1"/>
                <w:sz w:val="20"/>
                <w:szCs w:val="20"/>
              </w:rPr>
              <w:t>ArcOnline</w:t>
            </w:r>
            <w:proofErr w:type="spellEnd"/>
          </w:p>
        </w:tc>
        <w:tc>
          <w:tcPr>
            <w:tcW w:w="7937" w:type="dxa"/>
          </w:tcPr>
          <w:p w14:paraId="6ABC6278" w14:textId="641AFB94" w:rsidR="00F8178A" w:rsidRDefault="00C02193" w:rsidP="00C02193">
            <w:pPr>
              <w:rPr>
                <w:rFonts w:ascii="Courier" w:eastAsia="Times New Roman" w:hAnsi="Courier" w:cs="Times New Roman"/>
                <w:iCs/>
                <w:color w:val="000000" w:themeColor="text1"/>
                <w:sz w:val="20"/>
                <w:szCs w:val="20"/>
              </w:rPr>
            </w:pPr>
            <w:proofErr w:type="spellStart"/>
            <w:r w:rsidRPr="00C02193">
              <w:rPr>
                <w:rFonts w:ascii="Courier" w:eastAsia="Times New Roman" w:hAnsi="Courier" w:cs="Times New Roman"/>
                <w:iCs/>
                <w:color w:val="000000" w:themeColor="text1"/>
                <w:sz w:val="20"/>
                <w:szCs w:val="20"/>
              </w:rPr>
              <w:t>features.use_</w:t>
            </w:r>
            <w:proofErr w:type="gramStart"/>
            <w:r w:rsidRPr="00C02193">
              <w:rPr>
                <w:rFonts w:ascii="Courier" w:eastAsia="Times New Roman" w:hAnsi="Courier" w:cs="Times New Roman"/>
                <w:iCs/>
                <w:color w:val="000000" w:themeColor="text1"/>
                <w:sz w:val="20"/>
                <w:szCs w:val="20"/>
              </w:rPr>
              <w:t>proximity.create</w:t>
            </w:r>
            <w:proofErr w:type="gramEnd"/>
            <w:r w:rsidRPr="00C02193">
              <w:rPr>
                <w:rFonts w:ascii="Courier" w:eastAsia="Times New Roman" w:hAnsi="Courier" w:cs="Times New Roman"/>
                <w:iCs/>
                <w:color w:val="000000" w:themeColor="text1"/>
                <w:sz w:val="20"/>
                <w:szCs w:val="20"/>
              </w:rPr>
              <w:t>_buffers</w:t>
            </w:r>
            <w:proofErr w:type="spellEnd"/>
            <w:r w:rsidRPr="00C02193">
              <w:rPr>
                <w:rFonts w:ascii="Courier" w:eastAsia="Times New Roman" w:hAnsi="Courier" w:cs="Times New Roman"/>
                <w:iCs/>
                <w:color w:val="000000" w:themeColor="text1"/>
                <w:sz w:val="20"/>
                <w:szCs w:val="20"/>
              </w:rPr>
              <w:t>(</w:t>
            </w:r>
            <w:proofErr w:type="spellStart"/>
            <w:r w:rsidRPr="00C02193">
              <w:rPr>
                <w:rFonts w:ascii="Courier" w:eastAsia="Times New Roman" w:hAnsi="Courier" w:cs="Times New Roman"/>
                <w:iCs/>
                <w:color w:val="000000" w:themeColor="text1"/>
                <w:sz w:val="20"/>
                <w:szCs w:val="20"/>
              </w:rPr>
              <w:t>input_layer</w:t>
            </w:r>
            <w:proofErr w:type="spellEnd"/>
            <w:r w:rsidR="00F8178A">
              <w:rPr>
                <w:rFonts w:ascii="Courier" w:eastAsia="Times New Roman" w:hAnsi="Courier" w:cs="Times New Roman"/>
                <w:iCs/>
                <w:color w:val="000000" w:themeColor="text1"/>
                <w:sz w:val="20"/>
                <w:szCs w:val="20"/>
              </w:rPr>
              <w:t xml:space="preserve"> </w:t>
            </w:r>
            <w:r w:rsidRPr="00C02193">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proofErr w:type="spellStart"/>
            <w:r w:rsidRPr="00C02193">
              <w:rPr>
                <w:rFonts w:ascii="Courier" w:eastAsia="Times New Roman" w:hAnsi="Courier" w:cs="Times New Roman"/>
                <w:iCs/>
                <w:color w:val="000000" w:themeColor="text1"/>
                <w:sz w:val="20"/>
                <w:szCs w:val="20"/>
              </w:rPr>
              <w:t>rcl</w:t>
            </w:r>
            <w:proofErr w:type="spellEnd"/>
            <w:r w:rsidR="00F8178A">
              <w:rPr>
                <w:rFonts w:ascii="Courier" w:eastAsia="Times New Roman" w:hAnsi="Courier" w:cs="Times New Roman"/>
                <w:iCs/>
                <w:color w:val="000000" w:themeColor="text1"/>
                <w:sz w:val="20"/>
                <w:szCs w:val="20"/>
              </w:rPr>
              <w:t xml:space="preserve">, distances =[200], units = ’Meters’, </w:t>
            </w:r>
            <w:proofErr w:type="spellStart"/>
            <w:r w:rsidR="00F8178A">
              <w:rPr>
                <w:rFonts w:ascii="Courier" w:eastAsia="Times New Roman" w:hAnsi="Courier" w:cs="Times New Roman"/>
                <w:iCs/>
                <w:color w:val="000000" w:themeColor="text1"/>
                <w:sz w:val="20"/>
                <w:szCs w:val="20"/>
              </w:rPr>
              <w:t>output_name</w:t>
            </w:r>
            <w:proofErr w:type="spellEnd"/>
            <w:r w:rsidR="00F8178A">
              <w:rPr>
                <w:rFonts w:ascii="Courier" w:eastAsia="Times New Roman" w:hAnsi="Courier" w:cs="Times New Roman"/>
                <w:iCs/>
                <w:color w:val="000000" w:themeColor="text1"/>
                <w:sz w:val="20"/>
                <w:szCs w:val="20"/>
              </w:rPr>
              <w:t xml:space="preserve"> = ‘</w:t>
            </w:r>
            <w:proofErr w:type="spellStart"/>
            <w:r w:rsidR="00F8178A">
              <w:rPr>
                <w:rFonts w:ascii="Courier" w:eastAsia="Times New Roman" w:hAnsi="Courier" w:cs="Times New Roman"/>
                <w:iCs/>
                <w:color w:val="000000" w:themeColor="text1"/>
                <w:sz w:val="20"/>
                <w:szCs w:val="20"/>
              </w:rPr>
              <w:t>rcl_Buffer_NotebooksOnline</w:t>
            </w:r>
            <w:proofErr w:type="spellEnd"/>
            <w:r w:rsidR="00F8178A">
              <w:rPr>
                <w:rFonts w:ascii="Courier" w:eastAsia="Times New Roman" w:hAnsi="Courier" w:cs="Times New Roman"/>
                <w:iCs/>
                <w:color w:val="000000" w:themeColor="text1"/>
                <w:sz w:val="20"/>
                <w:szCs w:val="20"/>
              </w:rPr>
              <w:t xml:space="preserve">’)                                </w:t>
            </w:r>
          </w:p>
          <w:p w14:paraId="22F00BDE" w14:textId="3A88105A" w:rsidR="006D418E" w:rsidRPr="006D418E" w:rsidRDefault="006D418E" w:rsidP="00F8178A">
            <w:pPr>
              <w:rPr>
                <w:rFonts w:ascii="Times New Roman" w:eastAsia="Times New Roman" w:hAnsi="Times New Roman" w:cs="Times New Roman"/>
                <w:iCs/>
                <w:color w:val="000000" w:themeColor="text1"/>
                <w:sz w:val="20"/>
                <w:szCs w:val="20"/>
              </w:rPr>
            </w:pPr>
          </w:p>
        </w:tc>
      </w:tr>
    </w:tbl>
    <w:p w14:paraId="12797D33" w14:textId="77777777" w:rsidR="006D418E" w:rsidRDefault="006D418E">
      <w:pPr>
        <w:rPr>
          <w:rFonts w:ascii="Times New Roman" w:eastAsia="Times New Roman" w:hAnsi="Times New Roman" w:cs="Times New Roman"/>
          <w:i/>
          <w:color w:val="D0CECE"/>
          <w:sz w:val="20"/>
          <w:szCs w:val="20"/>
          <w:u w:val="single"/>
        </w:rPr>
      </w:pPr>
    </w:p>
    <w:p w14:paraId="52E85085" w14:textId="77777777" w:rsidR="006D418E" w:rsidRPr="006D418E" w:rsidRDefault="006D418E">
      <w:pPr>
        <w:rPr>
          <w:rFonts w:ascii="Times New Roman" w:eastAsia="Times New Roman" w:hAnsi="Times New Roman" w:cs="Times New Roman"/>
          <w:i/>
          <w:color w:val="D0CECE"/>
          <w:sz w:val="20"/>
          <w:szCs w:val="20"/>
          <w:u w:val="single"/>
        </w:rPr>
      </w:pPr>
    </w:p>
    <w:p w14:paraId="72C60B2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27818DF1" w14:textId="4E424C7E" w:rsidR="006F3493"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
          <w:color w:val="000000" w:themeColor="text1"/>
          <w:sz w:val="20"/>
          <w:szCs w:val="20"/>
          <w:u w:val="single"/>
        </w:rPr>
        <w:t>Arc</w:t>
      </w:r>
      <w:r>
        <w:rPr>
          <w:rFonts w:ascii="Times New Roman" w:eastAsia="Times New Roman" w:hAnsi="Times New Roman" w:cs="Times New Roman"/>
          <w:i/>
          <w:color w:val="000000" w:themeColor="text1"/>
          <w:sz w:val="20"/>
          <w:szCs w:val="20"/>
          <w:u w:val="single"/>
        </w:rPr>
        <w:t xml:space="preserve">GIS </w:t>
      </w:r>
      <w:r w:rsidRPr="000253DA">
        <w:rPr>
          <w:rFonts w:ascii="Times New Roman" w:eastAsia="Times New Roman" w:hAnsi="Times New Roman" w:cs="Times New Roman"/>
          <w:i/>
          <w:color w:val="000000" w:themeColor="text1"/>
          <w:sz w:val="20"/>
          <w:szCs w:val="20"/>
          <w:u w:val="single"/>
        </w:rPr>
        <w:t>Pro</w:t>
      </w:r>
    </w:p>
    <w:p w14:paraId="607D4AF3" w14:textId="06A09F07" w:rsidR="000253DA" w:rsidRP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Viewable at:</w:t>
      </w:r>
      <w:r w:rsidR="00F32814">
        <w:rPr>
          <w:rFonts w:ascii="Times New Roman" w:eastAsia="Times New Roman" w:hAnsi="Times New Roman" w:cs="Times New Roman"/>
          <w:iCs/>
          <w:color w:val="000000" w:themeColor="text1"/>
          <w:sz w:val="20"/>
          <w:szCs w:val="20"/>
        </w:rPr>
        <w:t xml:space="preserve"> </w:t>
      </w:r>
      <w:r w:rsidR="00F32814" w:rsidRPr="00F32814">
        <w:rPr>
          <w:rFonts w:ascii="Times New Roman" w:eastAsia="Times New Roman" w:hAnsi="Times New Roman" w:cs="Times New Roman"/>
          <w:iCs/>
          <w:color w:val="000000" w:themeColor="text1"/>
          <w:sz w:val="20"/>
          <w:szCs w:val="20"/>
        </w:rPr>
        <w:t>https://drive.google.com/drive/folders/1FY5N6itX3Ai3_oFOllOHB91gS8fYIKde?usp=sharing</w:t>
      </w:r>
    </w:p>
    <w:p w14:paraId="447B582F" w14:textId="77777777" w:rsidR="000253DA" w:rsidRDefault="000253DA">
      <w:pPr>
        <w:rPr>
          <w:rFonts w:ascii="Times New Roman" w:eastAsia="Times New Roman" w:hAnsi="Times New Roman" w:cs="Times New Roman"/>
          <w:i/>
          <w:color w:val="000000" w:themeColor="text1"/>
          <w:sz w:val="20"/>
          <w:szCs w:val="20"/>
          <w:u w:val="single"/>
        </w:rPr>
      </w:pPr>
    </w:p>
    <w:p w14:paraId="6D643A93" w14:textId="1915F6BC" w:rsidR="000253DA"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Cs/>
          <w:noProof/>
          <w:color w:val="000000" w:themeColor="text1"/>
          <w:sz w:val="20"/>
          <w:szCs w:val="20"/>
        </w:rPr>
        <w:lastRenderedPageBreak/>
        <w:drawing>
          <wp:inline distT="0" distB="0" distL="0" distR="0" wp14:anchorId="2CB007AB" wp14:editId="6645A69E">
            <wp:extent cx="5943600" cy="31476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7AA73D05" w14:textId="74EAFE83" w:rsidR="000253DA" w:rsidRDefault="000253DA">
      <w:pPr>
        <w:rPr>
          <w:rFonts w:ascii="Times New Roman" w:eastAsia="Times New Roman" w:hAnsi="Times New Roman" w:cs="Times New Roman"/>
          <w:i/>
          <w:color w:val="000000" w:themeColor="text1"/>
          <w:sz w:val="20"/>
          <w:szCs w:val="20"/>
          <w:u w:val="single"/>
        </w:rPr>
      </w:pPr>
    </w:p>
    <w:p w14:paraId="7632DD86" w14:textId="3586D3F6" w:rsidR="000253DA" w:rsidRDefault="000253DA">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Notebooks in ArcGIS Pro</w:t>
      </w:r>
    </w:p>
    <w:p w14:paraId="107E663A" w14:textId="489A4522" w:rsidR="000253DA" w:rsidRP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 xml:space="preserve">Viewable at: </w:t>
      </w:r>
      <w:r w:rsidR="00F32814" w:rsidRPr="00F32814">
        <w:rPr>
          <w:rFonts w:ascii="Times New Roman" w:eastAsia="Times New Roman" w:hAnsi="Times New Roman" w:cs="Times New Roman"/>
          <w:iCs/>
          <w:color w:val="000000" w:themeColor="text1"/>
          <w:sz w:val="20"/>
          <w:szCs w:val="20"/>
        </w:rPr>
        <w:t>https://drive.google.com/drive/folders/1FY5N6itX3Ai3_oFOllOHB91gS8fYIKde?usp=sharing</w:t>
      </w:r>
    </w:p>
    <w:p w14:paraId="302F1B90" w14:textId="77777777" w:rsidR="006F3493" w:rsidRPr="000253DA" w:rsidRDefault="006F3493">
      <w:pPr>
        <w:rPr>
          <w:rFonts w:ascii="Times New Roman" w:eastAsia="Times New Roman" w:hAnsi="Times New Roman" w:cs="Times New Roman"/>
          <w:i/>
          <w:color w:val="D0CECE"/>
          <w:sz w:val="20"/>
          <w:szCs w:val="20"/>
        </w:rPr>
      </w:pPr>
    </w:p>
    <w:p w14:paraId="1A4121F5" w14:textId="14FBEC66" w:rsidR="006F3493" w:rsidRDefault="000253DA">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1FA8BDB4" wp14:editId="39ABBA31">
            <wp:extent cx="5943600" cy="30302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14:paraId="4FC061C9" w14:textId="4AF2E442" w:rsidR="006F3493" w:rsidRDefault="006F3493">
      <w:pPr>
        <w:rPr>
          <w:rFonts w:ascii="Times New Roman" w:eastAsia="Times New Roman" w:hAnsi="Times New Roman" w:cs="Times New Roman"/>
          <w:i/>
          <w:color w:val="D0CECE"/>
          <w:sz w:val="20"/>
          <w:szCs w:val="20"/>
        </w:rPr>
      </w:pPr>
    </w:p>
    <w:p w14:paraId="632B8201" w14:textId="50B30CD8" w:rsidR="000253DA"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
          <w:color w:val="000000" w:themeColor="text1"/>
          <w:sz w:val="20"/>
          <w:szCs w:val="20"/>
          <w:u w:val="single"/>
        </w:rPr>
        <w:t>Notebooks in ArcGIS Online</w:t>
      </w:r>
    </w:p>
    <w:p w14:paraId="2443E965" w14:textId="52136CD0" w:rsid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 xml:space="preserve">Viewable at: </w:t>
      </w:r>
      <w:r w:rsidRPr="000253DA">
        <w:rPr>
          <w:rFonts w:ascii="Times New Roman" w:eastAsia="Times New Roman" w:hAnsi="Times New Roman" w:cs="Times New Roman"/>
          <w:iCs/>
          <w:color w:val="000000" w:themeColor="text1"/>
          <w:sz w:val="20"/>
          <w:szCs w:val="20"/>
        </w:rPr>
        <w:t>https://arcg.is/18jbn2</w:t>
      </w:r>
    </w:p>
    <w:p w14:paraId="00009F67" w14:textId="189B98DC" w:rsidR="000253DA" w:rsidRPr="000253DA" w:rsidRDefault="000253D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lastRenderedPageBreak/>
        <w:drawing>
          <wp:inline distT="0" distB="0" distL="0" distR="0" wp14:anchorId="6D67ED20" wp14:editId="08FE2344">
            <wp:extent cx="5918200" cy="29845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18200" cy="2984500"/>
                    </a:xfrm>
                    <a:prstGeom prst="rect">
                      <a:avLst/>
                    </a:prstGeom>
                  </pic:spPr>
                </pic:pic>
              </a:graphicData>
            </a:graphic>
          </wp:inline>
        </w:drawing>
      </w:r>
    </w:p>
    <w:p w14:paraId="22743530" w14:textId="77777777" w:rsidR="006F3493" w:rsidRDefault="006F3493">
      <w:pPr>
        <w:rPr>
          <w:rFonts w:ascii="Times New Roman" w:eastAsia="Times New Roman" w:hAnsi="Times New Roman" w:cs="Times New Roman"/>
          <w:i/>
          <w:color w:val="D0CECE"/>
          <w:sz w:val="20"/>
          <w:szCs w:val="20"/>
        </w:rPr>
      </w:pPr>
    </w:p>
    <w:p w14:paraId="5F292BC2"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49808998" w14:textId="4156549D" w:rsidR="006F3493" w:rsidRPr="00F8178A" w:rsidRDefault="00F8178A">
      <w:pPr>
        <w:rPr>
          <w:rFonts w:ascii="Times New Roman" w:eastAsia="Times New Roman" w:hAnsi="Times New Roman" w:cs="Times New Roman"/>
          <w:iCs/>
          <w:color w:val="000000" w:themeColor="text1"/>
        </w:rPr>
      </w:pPr>
      <w:r w:rsidRPr="00F8178A">
        <w:rPr>
          <w:rFonts w:ascii="Times New Roman" w:eastAsia="Times New Roman" w:hAnsi="Times New Roman" w:cs="Times New Roman"/>
          <w:iCs/>
          <w:color w:val="000000" w:themeColor="text1"/>
          <w:sz w:val="20"/>
          <w:szCs w:val="20"/>
        </w:rPr>
        <w:t>All three processes produced the same output, which can be visually confirmed as correct</w:t>
      </w:r>
      <w:r w:rsidR="00276561">
        <w:rPr>
          <w:rFonts w:ascii="Times New Roman" w:eastAsia="Times New Roman" w:hAnsi="Times New Roman" w:cs="Times New Roman"/>
          <w:iCs/>
          <w:color w:val="000000" w:themeColor="text1"/>
          <w:sz w:val="20"/>
          <w:szCs w:val="20"/>
        </w:rPr>
        <w:t xml:space="preserve"> (screenshots from maps have different scales)</w:t>
      </w:r>
    </w:p>
    <w:p w14:paraId="066F0786" w14:textId="77777777" w:rsidR="006F3493" w:rsidRDefault="006F3493">
      <w:pPr>
        <w:rPr>
          <w:rFonts w:ascii="Times New Roman" w:eastAsia="Times New Roman" w:hAnsi="Times New Roman" w:cs="Times New Roman"/>
        </w:rPr>
      </w:pPr>
    </w:p>
    <w:p w14:paraId="6C80495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28CA2FAE" w14:textId="05A9C48F" w:rsidR="006F3493" w:rsidRDefault="003844C7">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GitHub</w:t>
      </w:r>
    </w:p>
    <w:p w14:paraId="5CE65739" w14:textId="5FA540C3" w:rsidR="0063636D" w:rsidRDefault="0063636D">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GitHub is a platform that I have only used very briefly in the past, and never in enough depth to feel comfortable. I appreciate the ‘branch’ system, allowing for iterative and collaborative work that improves on prior products or builds. </w:t>
      </w:r>
    </w:p>
    <w:p w14:paraId="61B264CF" w14:textId="13D24F97" w:rsidR="0063636D" w:rsidRDefault="0063636D">
      <w:pPr>
        <w:rPr>
          <w:rFonts w:ascii="Times New Roman" w:eastAsia="Times New Roman" w:hAnsi="Times New Roman" w:cs="Times New Roman"/>
          <w:iCs/>
          <w:color w:val="000000" w:themeColor="text1"/>
          <w:sz w:val="20"/>
          <w:szCs w:val="20"/>
        </w:rPr>
      </w:pPr>
    </w:p>
    <w:p w14:paraId="06440709" w14:textId="7C1C1524" w:rsidR="0063636D" w:rsidRDefault="0063636D">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hardest part of the GitHub section of this Lab was learning how to clone a repo onto my local machine. I ended up downloading GitHub Desktop to allow for easier interfacing and kind of ‘brute forced’ my way through the process to see what worked and what didn’t. I’m looking forward to using GitHub more and gaining more confidence with it, so that I no longer </w:t>
      </w:r>
      <w:proofErr w:type="gramStart"/>
      <w:r>
        <w:rPr>
          <w:rFonts w:ascii="Times New Roman" w:eastAsia="Times New Roman" w:hAnsi="Times New Roman" w:cs="Times New Roman"/>
          <w:iCs/>
          <w:color w:val="000000" w:themeColor="text1"/>
          <w:sz w:val="20"/>
          <w:szCs w:val="20"/>
        </w:rPr>
        <w:t>have to</w:t>
      </w:r>
      <w:proofErr w:type="gramEnd"/>
      <w:r>
        <w:rPr>
          <w:rFonts w:ascii="Times New Roman" w:eastAsia="Times New Roman" w:hAnsi="Times New Roman" w:cs="Times New Roman"/>
          <w:iCs/>
          <w:color w:val="000000" w:themeColor="text1"/>
          <w:sz w:val="20"/>
          <w:szCs w:val="20"/>
        </w:rPr>
        <w:t xml:space="preserve"> rely on an exploratory, trial-and-error approach to uploading Word documents!</w:t>
      </w:r>
    </w:p>
    <w:p w14:paraId="5C63F20C" w14:textId="77777777" w:rsidR="0063636D" w:rsidRPr="0063636D" w:rsidRDefault="0063636D">
      <w:pPr>
        <w:rPr>
          <w:rFonts w:ascii="Times New Roman" w:eastAsia="Times New Roman" w:hAnsi="Times New Roman" w:cs="Times New Roman"/>
          <w:iCs/>
          <w:color w:val="000000" w:themeColor="text1"/>
          <w:sz w:val="20"/>
          <w:szCs w:val="20"/>
        </w:rPr>
      </w:pPr>
    </w:p>
    <w:p w14:paraId="48128F02" w14:textId="27998F29" w:rsidR="00D117E4" w:rsidRDefault="00D117E4">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ArcGIS Pro</w:t>
      </w:r>
    </w:p>
    <w:p w14:paraId="4915DCC1" w14:textId="56CF4198" w:rsidR="00F8178A" w:rsidRPr="00F8178A" w:rsidRDefault="00F8178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This was the easy bit! ArcGIS is a software that I am comfortable using, especially for basic tasks like creating a buffer. </w:t>
      </w:r>
    </w:p>
    <w:p w14:paraId="01BAD4AB" w14:textId="77777777" w:rsidR="00012E64" w:rsidRPr="00012E64" w:rsidRDefault="00012E64">
      <w:pPr>
        <w:rPr>
          <w:rFonts w:ascii="Times New Roman" w:eastAsia="Times New Roman" w:hAnsi="Times New Roman" w:cs="Times New Roman"/>
          <w:iCs/>
          <w:color w:val="000000" w:themeColor="text1"/>
          <w:sz w:val="20"/>
          <w:szCs w:val="20"/>
        </w:rPr>
      </w:pPr>
    </w:p>
    <w:p w14:paraId="39653062" w14:textId="013935C2" w:rsidR="00D117E4" w:rsidRDefault="00D117E4">
      <w:pPr>
        <w:rPr>
          <w:rFonts w:ascii="Times New Roman" w:eastAsia="Times New Roman" w:hAnsi="Times New Roman" w:cs="Times New Roman"/>
          <w:i/>
          <w:color w:val="000000" w:themeColor="text1"/>
          <w:sz w:val="20"/>
          <w:szCs w:val="20"/>
          <w:u w:val="single"/>
        </w:rPr>
      </w:pPr>
      <w:proofErr w:type="spellStart"/>
      <w:r>
        <w:rPr>
          <w:rFonts w:ascii="Times New Roman" w:eastAsia="Times New Roman" w:hAnsi="Times New Roman" w:cs="Times New Roman"/>
          <w:i/>
          <w:color w:val="000000" w:themeColor="text1"/>
          <w:sz w:val="20"/>
          <w:szCs w:val="20"/>
          <w:u w:val="single"/>
        </w:rPr>
        <w:t>Jupyter</w:t>
      </w:r>
      <w:proofErr w:type="spellEnd"/>
      <w:r>
        <w:rPr>
          <w:rFonts w:ascii="Times New Roman" w:eastAsia="Times New Roman" w:hAnsi="Times New Roman" w:cs="Times New Roman"/>
          <w:i/>
          <w:color w:val="000000" w:themeColor="text1"/>
          <w:sz w:val="20"/>
          <w:szCs w:val="20"/>
          <w:u w:val="single"/>
        </w:rPr>
        <w:t xml:space="preserve"> Notebooks in ArcGIS Pro</w:t>
      </w:r>
    </w:p>
    <w:p w14:paraId="0AD014AB" w14:textId="2365332D" w:rsidR="00012E64" w:rsidRDefault="00012E64">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After some initial frustrations </w:t>
      </w:r>
      <w:r>
        <w:rPr>
          <w:rFonts w:ascii="Times New Roman" w:eastAsia="Times New Roman" w:hAnsi="Times New Roman" w:cs="Times New Roman"/>
          <w:iCs/>
          <w:color w:val="000000" w:themeColor="text1"/>
          <w:sz w:val="20"/>
          <w:szCs w:val="20"/>
        </w:rPr>
        <w:t xml:space="preserve">with this, and some more ‘brute forcing’ my way through the task, I realized I was </w:t>
      </w:r>
      <w:proofErr w:type="gramStart"/>
      <w:r>
        <w:rPr>
          <w:rFonts w:ascii="Times New Roman" w:eastAsia="Times New Roman" w:hAnsi="Times New Roman" w:cs="Times New Roman"/>
          <w:iCs/>
          <w:color w:val="000000" w:themeColor="text1"/>
          <w:sz w:val="20"/>
          <w:szCs w:val="20"/>
        </w:rPr>
        <w:t>actually over-</w:t>
      </w:r>
      <w:proofErr w:type="gramEnd"/>
      <w:r w:rsidR="00767FCC">
        <w:rPr>
          <w:rFonts w:ascii="Times New Roman" w:eastAsia="Times New Roman" w:hAnsi="Times New Roman" w:cs="Times New Roman"/>
          <w:iCs/>
          <w:color w:val="000000" w:themeColor="text1"/>
          <w:sz w:val="20"/>
          <w:szCs w:val="20"/>
        </w:rPr>
        <w:t>complicating</w:t>
      </w:r>
      <w:r>
        <w:rPr>
          <w:rFonts w:ascii="Times New Roman" w:eastAsia="Times New Roman" w:hAnsi="Times New Roman" w:cs="Times New Roman"/>
          <w:iCs/>
          <w:color w:val="000000" w:themeColor="text1"/>
          <w:sz w:val="20"/>
          <w:szCs w:val="20"/>
        </w:rPr>
        <w:t xml:space="preserve"> things! The integration of Notebooks into </w:t>
      </w:r>
      <w:proofErr w:type="spellStart"/>
      <w:r>
        <w:rPr>
          <w:rFonts w:ascii="Times New Roman" w:eastAsia="Times New Roman" w:hAnsi="Times New Roman" w:cs="Times New Roman"/>
          <w:iCs/>
          <w:color w:val="000000" w:themeColor="text1"/>
          <w:sz w:val="20"/>
          <w:szCs w:val="20"/>
        </w:rPr>
        <w:t>ArcPro</w:t>
      </w:r>
      <w:proofErr w:type="spellEnd"/>
      <w:r>
        <w:rPr>
          <w:rFonts w:ascii="Times New Roman" w:eastAsia="Times New Roman" w:hAnsi="Times New Roman" w:cs="Times New Roman"/>
          <w:iCs/>
          <w:color w:val="000000" w:themeColor="text1"/>
          <w:sz w:val="20"/>
          <w:szCs w:val="20"/>
        </w:rPr>
        <w:t xml:space="preserve"> seems like a super useful feature that I didn’t even know existed, let alone</w:t>
      </w:r>
      <w:r w:rsidR="00767FCC">
        <w:rPr>
          <w:rFonts w:ascii="Times New Roman" w:eastAsia="Times New Roman" w:hAnsi="Times New Roman" w:cs="Times New Roman"/>
          <w:iCs/>
          <w:color w:val="000000" w:themeColor="text1"/>
          <w:sz w:val="20"/>
          <w:szCs w:val="20"/>
        </w:rPr>
        <w:t xml:space="preserve"> have any experience with. After my initial poke around in the interface though, one line of code later and I had a new feature class created, identical to the one that took about many more button presses using the Geoprocessing tab. I can’t wait to see what else is possible with Notebooks in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w:t>
      </w:r>
    </w:p>
    <w:p w14:paraId="308611CA" w14:textId="77777777" w:rsidR="00767FCC" w:rsidRPr="00012E64" w:rsidRDefault="00767FCC">
      <w:pPr>
        <w:rPr>
          <w:rFonts w:ascii="Times New Roman" w:eastAsia="Times New Roman" w:hAnsi="Times New Roman" w:cs="Times New Roman"/>
          <w:iCs/>
          <w:color w:val="000000" w:themeColor="text1"/>
          <w:sz w:val="20"/>
          <w:szCs w:val="20"/>
        </w:rPr>
      </w:pPr>
    </w:p>
    <w:p w14:paraId="7A594831" w14:textId="6B15E403" w:rsidR="00D117E4" w:rsidRDefault="00D117E4">
      <w:pPr>
        <w:rPr>
          <w:rFonts w:ascii="Times New Roman" w:eastAsia="Times New Roman" w:hAnsi="Times New Roman" w:cs="Times New Roman"/>
          <w:i/>
          <w:color w:val="000000" w:themeColor="text1"/>
          <w:sz w:val="20"/>
          <w:szCs w:val="20"/>
          <w:u w:val="single"/>
        </w:rPr>
      </w:pPr>
      <w:proofErr w:type="spellStart"/>
      <w:r>
        <w:rPr>
          <w:rFonts w:ascii="Times New Roman" w:eastAsia="Times New Roman" w:hAnsi="Times New Roman" w:cs="Times New Roman"/>
          <w:i/>
          <w:color w:val="000000" w:themeColor="text1"/>
          <w:sz w:val="20"/>
          <w:szCs w:val="20"/>
          <w:u w:val="single"/>
        </w:rPr>
        <w:t>Jupyter</w:t>
      </w:r>
      <w:proofErr w:type="spellEnd"/>
      <w:r>
        <w:rPr>
          <w:rFonts w:ascii="Times New Roman" w:eastAsia="Times New Roman" w:hAnsi="Times New Roman" w:cs="Times New Roman"/>
          <w:i/>
          <w:color w:val="000000" w:themeColor="text1"/>
          <w:sz w:val="20"/>
          <w:szCs w:val="20"/>
          <w:u w:val="single"/>
        </w:rPr>
        <w:t xml:space="preserve"> Notebooks in ArcGIS Online</w:t>
      </w:r>
    </w:p>
    <w:p w14:paraId="41D93DDA" w14:textId="564DC987" w:rsidR="00D117E4" w:rsidRDefault="00D117E4">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This is the method with which I struggled the most; partly because the workflows and interfaces used in ArcGIS Online are the least familiar to me, but also because the </w:t>
      </w:r>
      <w:proofErr w:type="spellStart"/>
      <w:proofErr w:type="gramStart"/>
      <w:r w:rsidRPr="00D117E4">
        <w:rPr>
          <w:rFonts w:ascii="Times New Roman" w:eastAsia="Times New Roman" w:hAnsi="Times New Roman" w:cs="Times New Roman"/>
          <w:i/>
          <w:color w:val="000000" w:themeColor="text1"/>
          <w:sz w:val="20"/>
          <w:szCs w:val="20"/>
        </w:rPr>
        <w:t>arcgis.features</w:t>
      </w:r>
      <w:proofErr w:type="spellEnd"/>
      <w:proofErr w:type="gramEnd"/>
      <w:r>
        <w:rPr>
          <w:rFonts w:ascii="Times New Roman" w:eastAsia="Times New Roman" w:hAnsi="Times New Roman" w:cs="Times New Roman"/>
          <w:iCs/>
          <w:color w:val="000000" w:themeColor="text1"/>
          <w:sz w:val="20"/>
          <w:szCs w:val="20"/>
        </w:rPr>
        <w:t xml:space="preserve"> package seemed less intuitive to me than the </w:t>
      </w:r>
      <w:proofErr w:type="spellStart"/>
      <w:r w:rsidRPr="00D117E4">
        <w:rPr>
          <w:rFonts w:ascii="Times New Roman" w:eastAsia="Times New Roman" w:hAnsi="Times New Roman" w:cs="Times New Roman"/>
          <w:i/>
          <w:color w:val="000000" w:themeColor="text1"/>
          <w:sz w:val="20"/>
          <w:szCs w:val="20"/>
        </w:rPr>
        <w:t>arcpy.analysis</w:t>
      </w:r>
      <w:proofErr w:type="spellEnd"/>
      <w:r>
        <w:rPr>
          <w:rFonts w:ascii="Times New Roman" w:eastAsia="Times New Roman" w:hAnsi="Times New Roman" w:cs="Times New Roman"/>
          <w:iCs/>
          <w:color w:val="000000" w:themeColor="text1"/>
          <w:sz w:val="20"/>
          <w:szCs w:val="20"/>
        </w:rPr>
        <w:t xml:space="preserve">. Whenever I try to use </w:t>
      </w:r>
      <w:proofErr w:type="spellStart"/>
      <w:r>
        <w:rPr>
          <w:rFonts w:ascii="Times New Roman" w:eastAsia="Times New Roman" w:hAnsi="Times New Roman" w:cs="Times New Roman"/>
          <w:iCs/>
          <w:color w:val="000000" w:themeColor="text1"/>
          <w:sz w:val="20"/>
          <w:szCs w:val="20"/>
        </w:rPr>
        <w:t>ArcOnline</w:t>
      </w:r>
      <w:proofErr w:type="spellEnd"/>
      <w:r>
        <w:rPr>
          <w:rFonts w:ascii="Times New Roman" w:eastAsia="Times New Roman" w:hAnsi="Times New Roman" w:cs="Times New Roman"/>
          <w:iCs/>
          <w:color w:val="000000" w:themeColor="text1"/>
          <w:sz w:val="20"/>
          <w:szCs w:val="20"/>
        </w:rPr>
        <w:t xml:space="preserve"> I always end up frustrated, although I do see the potential benefits when working collaboratively</w:t>
      </w:r>
      <w:r w:rsidR="00012E64">
        <w:rPr>
          <w:rFonts w:ascii="Times New Roman" w:eastAsia="Times New Roman" w:hAnsi="Times New Roman" w:cs="Times New Roman"/>
          <w:iCs/>
          <w:color w:val="000000" w:themeColor="text1"/>
          <w:sz w:val="20"/>
          <w:szCs w:val="20"/>
        </w:rPr>
        <w:t xml:space="preserve"> and in the sense that it’s a ‘simpler’ interface.</w:t>
      </w:r>
    </w:p>
    <w:p w14:paraId="117CB7FE" w14:textId="78AB474A" w:rsidR="00012E64" w:rsidRDefault="00012E64">
      <w:pPr>
        <w:rPr>
          <w:rFonts w:ascii="Times New Roman" w:eastAsia="Times New Roman" w:hAnsi="Times New Roman" w:cs="Times New Roman"/>
          <w:iCs/>
          <w:color w:val="000000" w:themeColor="text1"/>
          <w:sz w:val="20"/>
          <w:szCs w:val="20"/>
        </w:rPr>
      </w:pPr>
    </w:p>
    <w:p w14:paraId="5DDACEAD" w14:textId="715B6947" w:rsidR="00012E64" w:rsidRPr="00D117E4" w:rsidRDefault="00012E64">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lastRenderedPageBreak/>
        <w:t xml:space="preserve">I discovered that you </w:t>
      </w:r>
      <w:proofErr w:type="gramStart"/>
      <w:r>
        <w:rPr>
          <w:rFonts w:ascii="Times New Roman" w:eastAsia="Times New Roman" w:hAnsi="Times New Roman" w:cs="Times New Roman"/>
          <w:iCs/>
          <w:color w:val="000000" w:themeColor="text1"/>
          <w:sz w:val="20"/>
          <w:szCs w:val="20"/>
        </w:rPr>
        <w:t>can</w:t>
      </w:r>
      <w:proofErr w:type="gramEnd"/>
      <w:r>
        <w:rPr>
          <w:rFonts w:ascii="Times New Roman" w:eastAsia="Times New Roman" w:hAnsi="Times New Roman" w:cs="Times New Roman"/>
          <w:iCs/>
          <w:color w:val="000000" w:themeColor="text1"/>
          <w:sz w:val="20"/>
          <w:szCs w:val="20"/>
        </w:rPr>
        <w:t xml:space="preserve"> use </w:t>
      </w:r>
      <w:proofErr w:type="spellStart"/>
      <w:r w:rsidRPr="00767FCC">
        <w:rPr>
          <w:rFonts w:ascii="Times New Roman" w:eastAsia="Times New Roman" w:hAnsi="Times New Roman" w:cs="Times New Roman"/>
          <w:i/>
          <w:color w:val="000000" w:themeColor="text1"/>
          <w:sz w:val="20"/>
          <w:szCs w:val="20"/>
        </w:rPr>
        <w:t>arcpy</w:t>
      </w:r>
      <w:proofErr w:type="spellEnd"/>
      <w:r>
        <w:rPr>
          <w:rFonts w:ascii="Times New Roman" w:eastAsia="Times New Roman" w:hAnsi="Times New Roman" w:cs="Times New Roman"/>
          <w:iCs/>
          <w:color w:val="000000" w:themeColor="text1"/>
          <w:sz w:val="20"/>
          <w:szCs w:val="20"/>
        </w:rPr>
        <w:t xml:space="preserve"> in Online, but only in an ‘Advanced’ workbook, which seems like an arbitrary limitation to me. I’d be interested to know the reasons behind that; technical, licensing, other?</w:t>
      </w:r>
      <w:r w:rsidR="00767FCC">
        <w:rPr>
          <w:rFonts w:ascii="Times New Roman" w:eastAsia="Times New Roman" w:hAnsi="Times New Roman" w:cs="Times New Roman"/>
          <w:iCs/>
          <w:color w:val="000000" w:themeColor="text1"/>
          <w:sz w:val="20"/>
          <w:szCs w:val="20"/>
        </w:rPr>
        <w:t xml:space="preserve"> I guess my frustrations with the Notebooks in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compared to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 xml:space="preserve"> are less about the Notebooks and more about the fact that I just like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 xml:space="preserve"> and dislike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but I’m looking forward to getting more experience with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and hopefully getting over my initial hesitations towards it.</w:t>
      </w:r>
    </w:p>
    <w:p w14:paraId="19857EE9" w14:textId="77777777" w:rsidR="006F3493" w:rsidRDefault="006F3493">
      <w:pPr>
        <w:rPr>
          <w:rFonts w:ascii="Times New Roman" w:eastAsia="Times New Roman" w:hAnsi="Times New Roman" w:cs="Times New Roman"/>
          <w:i/>
          <w:color w:val="D0CECE"/>
          <w:sz w:val="20"/>
          <w:szCs w:val="20"/>
        </w:rPr>
      </w:pPr>
    </w:p>
    <w:p w14:paraId="31626492" w14:textId="77777777" w:rsidR="006F3493" w:rsidRDefault="006F3493">
      <w:pPr>
        <w:rPr>
          <w:rFonts w:ascii="Times New Roman" w:eastAsia="Times New Roman" w:hAnsi="Times New Roman" w:cs="Times New Roman"/>
          <w:i/>
          <w:color w:val="D0CECE"/>
          <w:sz w:val="20"/>
          <w:szCs w:val="20"/>
        </w:rPr>
      </w:pPr>
    </w:p>
    <w:p w14:paraId="26B90A2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23C7878F" w14:textId="7777777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Use a common format</w:t>
      </w:r>
    </w:p>
    <w:p w14:paraId="38A8496C" w14:textId="77777777" w:rsidR="006F3493" w:rsidRDefault="006F3493">
      <w:pPr>
        <w:rPr>
          <w:rFonts w:ascii="Times New Roman" w:eastAsia="Times New Roman" w:hAnsi="Times New Roman" w:cs="Times New Roman"/>
          <w:i/>
          <w:color w:val="D0CECE"/>
          <w:sz w:val="20"/>
          <w:szCs w:val="20"/>
        </w:rPr>
      </w:pPr>
    </w:p>
    <w:p w14:paraId="2B159139" w14:textId="77777777" w:rsidR="006F3493" w:rsidRDefault="006F3493">
      <w:pPr>
        <w:rPr>
          <w:rFonts w:ascii="Times New Roman" w:eastAsia="Times New Roman" w:hAnsi="Times New Roman" w:cs="Times New Roman"/>
          <w:i/>
          <w:color w:val="D0CECE"/>
          <w:sz w:val="20"/>
          <w:szCs w:val="20"/>
        </w:rPr>
      </w:pPr>
    </w:p>
    <w:p w14:paraId="7570FB2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0A5F803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53FE81A" w14:textId="77777777">
        <w:tc>
          <w:tcPr>
            <w:tcW w:w="1920" w:type="dxa"/>
            <w:shd w:val="clear" w:color="auto" w:fill="auto"/>
            <w:tcMar>
              <w:top w:w="100" w:type="dxa"/>
              <w:left w:w="100" w:type="dxa"/>
              <w:bottom w:w="100" w:type="dxa"/>
              <w:right w:w="100" w:type="dxa"/>
            </w:tcMar>
          </w:tcPr>
          <w:p w14:paraId="0CC6029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35D2695"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479DD48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0CF02EC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64990079" w14:textId="77777777">
        <w:tc>
          <w:tcPr>
            <w:tcW w:w="1920" w:type="dxa"/>
            <w:shd w:val="clear" w:color="auto" w:fill="auto"/>
            <w:tcMar>
              <w:top w:w="100" w:type="dxa"/>
              <w:left w:w="100" w:type="dxa"/>
              <w:bottom w:w="100" w:type="dxa"/>
              <w:right w:w="100" w:type="dxa"/>
            </w:tcMar>
          </w:tcPr>
          <w:p w14:paraId="2FB81CC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4535483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820A08E"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06BC260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7B0AB399" w14:textId="4AECEE0C"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28</w:t>
            </w:r>
          </w:p>
        </w:tc>
      </w:tr>
      <w:tr w:rsidR="006F3493" w14:paraId="6149D766" w14:textId="77777777">
        <w:tc>
          <w:tcPr>
            <w:tcW w:w="1920" w:type="dxa"/>
            <w:shd w:val="clear" w:color="auto" w:fill="auto"/>
            <w:tcMar>
              <w:top w:w="100" w:type="dxa"/>
              <w:left w:w="100" w:type="dxa"/>
              <w:bottom w:w="100" w:type="dxa"/>
              <w:right w:w="100" w:type="dxa"/>
            </w:tcMar>
          </w:tcPr>
          <w:p w14:paraId="5CB4009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0878A8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6AD9550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EA09390" w14:textId="0F99F7C5" w:rsidR="006F3493" w:rsidRDefault="00276561" w:rsidP="00276561">
            <w:pPr>
              <w:widowControl w:val="0"/>
              <w:pBdr>
                <w:top w:val="nil"/>
                <w:left w:val="nil"/>
                <w:bottom w:val="nil"/>
                <w:right w:val="nil"/>
                <w:between w:val="nil"/>
              </w:pBdr>
              <w:jc w:val="center"/>
              <w:rPr>
                <w:rFonts w:ascii="Times New Roman" w:eastAsia="Times New Roman" w:hAnsi="Times New Roman" w:cs="Times New Roman"/>
                <w:b/>
                <w:color w:val="D9D9D9"/>
              </w:rPr>
            </w:pPr>
            <w:r w:rsidRPr="00276561">
              <w:rPr>
                <w:rFonts w:ascii="Times New Roman" w:eastAsia="Times New Roman" w:hAnsi="Times New Roman" w:cs="Times New Roman"/>
                <w:b/>
                <w:color w:val="000000" w:themeColor="text1"/>
              </w:rPr>
              <w:t>24</w:t>
            </w:r>
          </w:p>
        </w:tc>
      </w:tr>
      <w:tr w:rsidR="006F3493" w14:paraId="6AC2850B" w14:textId="77777777">
        <w:tc>
          <w:tcPr>
            <w:tcW w:w="1920" w:type="dxa"/>
            <w:shd w:val="clear" w:color="auto" w:fill="auto"/>
            <w:tcMar>
              <w:top w:w="100" w:type="dxa"/>
              <w:left w:w="100" w:type="dxa"/>
              <w:bottom w:w="100" w:type="dxa"/>
              <w:right w:w="100" w:type="dxa"/>
            </w:tcMar>
          </w:tcPr>
          <w:p w14:paraId="68D946F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72841C3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513B437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99741C1" w14:textId="6D9F6402"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28</w:t>
            </w:r>
          </w:p>
        </w:tc>
      </w:tr>
      <w:tr w:rsidR="006F3493" w14:paraId="5795AB53" w14:textId="77777777">
        <w:tc>
          <w:tcPr>
            <w:tcW w:w="1920" w:type="dxa"/>
            <w:shd w:val="clear" w:color="auto" w:fill="auto"/>
            <w:tcMar>
              <w:top w:w="100" w:type="dxa"/>
              <w:left w:w="100" w:type="dxa"/>
              <w:bottom w:w="100" w:type="dxa"/>
              <w:right w:w="100" w:type="dxa"/>
            </w:tcMar>
          </w:tcPr>
          <w:p w14:paraId="4376E17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2B496B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50656A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7F360CCA" w14:textId="405B3DD5"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10</w:t>
            </w:r>
          </w:p>
        </w:tc>
      </w:tr>
      <w:tr w:rsidR="006F3493" w14:paraId="0A0F8615" w14:textId="77777777">
        <w:tc>
          <w:tcPr>
            <w:tcW w:w="1920" w:type="dxa"/>
            <w:shd w:val="clear" w:color="auto" w:fill="auto"/>
            <w:tcMar>
              <w:top w:w="100" w:type="dxa"/>
              <w:left w:w="100" w:type="dxa"/>
              <w:bottom w:w="100" w:type="dxa"/>
              <w:right w:w="100" w:type="dxa"/>
            </w:tcMar>
          </w:tcPr>
          <w:p w14:paraId="23DA786E"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0F4ACF4F"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43FFB7C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43A4255"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r>
    </w:tbl>
    <w:p w14:paraId="109786E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0957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12E64"/>
    <w:rsid w:val="000253DA"/>
    <w:rsid w:val="00276561"/>
    <w:rsid w:val="003844C7"/>
    <w:rsid w:val="005644F9"/>
    <w:rsid w:val="0063636D"/>
    <w:rsid w:val="006D418E"/>
    <w:rsid w:val="006F3493"/>
    <w:rsid w:val="00767FCC"/>
    <w:rsid w:val="0082275A"/>
    <w:rsid w:val="009001AE"/>
    <w:rsid w:val="00A2242B"/>
    <w:rsid w:val="00AA15C8"/>
    <w:rsid w:val="00B06F86"/>
    <w:rsid w:val="00B557E4"/>
    <w:rsid w:val="00C02193"/>
    <w:rsid w:val="00D117E4"/>
    <w:rsid w:val="00E96F27"/>
    <w:rsid w:val="00F32814"/>
    <w:rsid w:val="00F8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526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B557E4"/>
    <w:rPr>
      <w:color w:val="605E5C"/>
      <w:shd w:val="clear" w:color="auto" w:fill="E1DFDD"/>
    </w:rPr>
  </w:style>
  <w:style w:type="character" w:styleId="FollowedHyperlink">
    <w:name w:val="FollowedHyperlink"/>
    <w:basedOn w:val="DefaultParagraphFont"/>
    <w:uiPriority w:val="99"/>
    <w:semiHidden/>
    <w:unhideWhenUsed/>
    <w:rsid w:val="00B557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aitkin-trans-road-centerline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rive.google.com/drive/folders/1bWGp9N-2fsK5o_oWevz1wAkuZS1dK_gj?usp=sharing"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art0588/GIS5571"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Chris Carter</cp:lastModifiedBy>
  <cp:revision>6</cp:revision>
  <dcterms:created xsi:type="dcterms:W3CDTF">2021-01-09T23:13:00Z</dcterms:created>
  <dcterms:modified xsi:type="dcterms:W3CDTF">2022-09-21T18:53:00Z</dcterms:modified>
</cp:coreProperties>
</file>