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93" w:rsidRPr="003B0C93" w:rsidRDefault="00733D3E">
      <w:pPr>
        <w:rPr>
          <w:rFonts w:ascii="Calibri" w:hAnsi="Calibri" w:cs="Calibri"/>
          <w:b/>
          <w:color w:val="000000"/>
          <w:sz w:val="36"/>
          <w:szCs w:val="23"/>
          <w:shd w:val="clear" w:color="auto" w:fill="FFFFFF"/>
          <w:lang w:val="en-US"/>
        </w:rPr>
      </w:pPr>
      <w:bookmarkStart w:id="0" w:name="_GoBack"/>
      <w:r w:rsidRPr="003B0C93">
        <w:rPr>
          <w:rFonts w:ascii="Calibri" w:hAnsi="Calibri" w:cs="Calibri"/>
          <w:b/>
          <w:color w:val="000000"/>
          <w:sz w:val="36"/>
          <w:szCs w:val="23"/>
          <w:shd w:val="clear" w:color="auto" w:fill="FFFFFF"/>
          <w:lang w:val="en-US"/>
        </w:rPr>
        <w:t xml:space="preserve">The IBM 407 Accounting Machine (1949). </w:t>
      </w:r>
    </w:p>
    <w:bookmarkEnd w:id="0"/>
    <w:p w:rsidR="00B545F5" w:rsidRDefault="00733D3E">
      <w:pPr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</w:pPr>
      <w:r w:rsidRPr="00B545F5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This was the last and best of the all-electro</w:t>
      </w:r>
      <w:r w:rsidRPr="00B545F5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softHyphen/>
        <w:t>mechan</w:t>
      </w:r>
      <w:r w:rsidRPr="00B545F5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softHyphen/>
        <w:t>ical IBM accounting machines (previously known as </w:t>
      </w:r>
      <w:hyperlink r:id="rId6" w:history="1">
        <w:r w:rsidRPr="00B545F5">
          <w:rPr>
            <w:rStyle w:val="Collegamentoipertestuale"/>
            <w:rFonts w:ascii="Calibri" w:hAnsi="Calibri" w:cs="Calibri"/>
            <w:b/>
            <w:sz w:val="28"/>
            <w:szCs w:val="23"/>
            <w:shd w:val="clear" w:color="auto" w:fill="FFFFFF"/>
            <w:lang w:val="en-US"/>
          </w:rPr>
          <w:t>tabulators</w:t>
        </w:r>
      </w:hyperlink>
      <w:r w:rsidRPr="00B545F5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).</w:t>
      </w:r>
      <w:r w:rsidRPr="00B545F5">
        <w:rPr>
          <w:rFonts w:ascii="Calibri" w:hAnsi="Calibri" w:cs="Calibri"/>
          <w:color w:val="000000"/>
          <w:sz w:val="28"/>
          <w:szCs w:val="23"/>
          <w:shd w:val="clear" w:color="auto" w:fill="FFFFFF"/>
          <w:lang w:val="en-US"/>
        </w:rPr>
        <w:t xml:space="preserve"> </w:t>
      </w:r>
    </w:p>
    <w:p w:rsidR="00733D3E" w:rsidRPr="00733D3E" w:rsidRDefault="00733D3E">
      <w:pPr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</w:pP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The 407 reads a deck of punched cards on its integrated card reader (left), accumulates totals, subtotals, or other simple statistics in counters made of gears, and prints the results on its integrated 120-column line printer (center). Speed: 100 to 150 cards per minute. The 407 replaced the earlier </w:t>
      </w:r>
      <w:proofErr w:type="spellStart"/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typebar</w:t>
      </w:r>
      <w:proofErr w:type="spellEnd"/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 printing technology (used, e.g., in the </w:t>
      </w:r>
      <w:hyperlink r:id="rId7" w:history="1">
        <w:r w:rsidRPr="00733D3E">
          <w:rPr>
            <w:rStyle w:val="Collegamentoipertestuale"/>
            <w:rFonts w:ascii="Calibri" w:hAnsi="Calibri" w:cs="Calibri"/>
            <w:sz w:val="23"/>
            <w:szCs w:val="23"/>
            <w:shd w:val="clear" w:color="auto" w:fill="FFFFFF"/>
            <w:lang w:val="en-US"/>
          </w:rPr>
          <w:t>405</w:t>
        </w:r>
      </w:hyperlink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 with a much faster print wheel mechanism.</w:t>
      </w:r>
    </w:p>
    <w:p w:rsidR="00391CE6" w:rsidRDefault="00733D3E">
      <w:pPr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</w:pP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As with all IBM punch-card equip</w:t>
      </w: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softHyphen/>
        <w:t>ment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 except the key punch and sorter, </w:t>
      </w: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a </w:t>
      </w:r>
      <w:r w:rsidRPr="00391CE6">
        <w:rPr>
          <w:rFonts w:ascii="Calibri" w:hAnsi="Calibri" w:cs="Calibri"/>
          <w:b/>
          <w:i/>
          <w:iCs/>
          <w:color w:val="000000"/>
          <w:sz w:val="28"/>
          <w:szCs w:val="23"/>
          <w:shd w:val="clear" w:color="auto" w:fill="FFFFFF"/>
          <w:lang w:val="en-US"/>
        </w:rPr>
        <w:t>control panel</w:t>
      </w: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 is wired to specify the details of operation: what card columns to read and what to do with them, how to format the report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. </w:t>
      </w:r>
    </w:p>
    <w:p w:rsidR="00270164" w:rsidRPr="00733D3E" w:rsidRDefault="00733D3E">
      <w:pPr>
        <w:rPr>
          <w:lang w:val="en-US"/>
        </w:rPr>
      </w:pP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Although the 407 is really just a big adding machine, creative use could be made of the control program; for example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, as described by Roger L. </w:t>
      </w:r>
      <w:proofErr w:type="spellStart"/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Boyell</w:t>
      </w:r>
      <w:proofErr w:type="spellEnd"/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 in </w:t>
      </w:r>
      <w:r w:rsidRPr="00733D3E">
        <w:rPr>
          <w:rStyle w:val="CitazioneHTML"/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Programmed Multiplication on the IBM 407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, </w:t>
      </w:r>
      <w:r w:rsidRPr="00733D3E">
        <w:rPr>
          <w:rFonts w:ascii="Calibri" w:hAnsi="Calibri" w:cs="Calibri"/>
          <w:color w:val="000000"/>
          <w:sz w:val="23"/>
          <w:szCs w:val="23"/>
          <w:u w:val="single"/>
          <w:shd w:val="clear" w:color="auto" w:fill="FFFFFF"/>
          <w:lang w:val="en-US"/>
        </w:rPr>
        <w:t>Journal of the ACM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 xml:space="preserve">, Volume 4, Number 4, October, 1957, pp.442-449. In 1955, </w:t>
      </w:r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the </w:t>
      </w:r>
      <w:hyperlink r:id="rId8" w:history="1">
        <w:r w:rsidRPr="00391CE6">
          <w:rPr>
            <w:rStyle w:val="Collegamentoipertestuale"/>
            <w:rFonts w:ascii="Calibri" w:hAnsi="Calibri" w:cs="Calibri"/>
            <w:b/>
            <w:sz w:val="28"/>
            <w:szCs w:val="23"/>
            <w:shd w:val="clear" w:color="auto" w:fill="FFFFFF"/>
            <w:lang w:val="en-US"/>
          </w:rPr>
          <w:t>407 was adapted to act as an input/output device</w:t>
        </w:r>
      </w:hyperlink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 for the </w:t>
      </w:r>
      <w:hyperlink r:id="rId9" w:history="1">
        <w:r w:rsidRPr="00391CE6">
          <w:rPr>
            <w:rStyle w:val="Collegamentoipertestuale"/>
            <w:rFonts w:ascii="Calibri" w:hAnsi="Calibri" w:cs="Calibri"/>
            <w:b/>
            <w:sz w:val="28"/>
            <w:szCs w:val="23"/>
            <w:shd w:val="clear" w:color="auto" w:fill="FFFFFF"/>
            <w:lang w:val="en-US"/>
          </w:rPr>
          <w:t>IBM 650</w:t>
        </w:r>
      </w:hyperlink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 computer, and would later perform similar roles for other IBM calculators (such as the </w:t>
      </w:r>
      <w:hyperlink r:id="rId10" w:history="1">
        <w:r w:rsidRPr="00391CE6">
          <w:rPr>
            <w:rStyle w:val="Collegamentoipertestuale"/>
            <w:rFonts w:ascii="Calibri" w:hAnsi="Calibri" w:cs="Calibri"/>
            <w:b/>
            <w:sz w:val="28"/>
            <w:szCs w:val="23"/>
            <w:shd w:val="clear" w:color="auto" w:fill="FFFFFF"/>
            <w:lang w:val="en-US"/>
          </w:rPr>
          <w:t>CPC-II</w:t>
        </w:r>
      </w:hyperlink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>) and computers (</w:t>
      </w:r>
      <w:hyperlink r:id="rId11" w:history="1">
        <w:r w:rsidRPr="00391CE6">
          <w:rPr>
            <w:rStyle w:val="Collegamentoipertestuale"/>
            <w:rFonts w:ascii="Calibri" w:hAnsi="Calibri" w:cs="Calibri"/>
            <w:b/>
            <w:sz w:val="28"/>
            <w:szCs w:val="23"/>
            <w:shd w:val="clear" w:color="auto" w:fill="FFFFFF"/>
            <w:lang w:val="en-US"/>
          </w:rPr>
          <w:t>7090</w:t>
        </w:r>
      </w:hyperlink>
      <w:r w:rsidRPr="00391CE6">
        <w:rPr>
          <w:rFonts w:ascii="Calibri" w:hAnsi="Calibri" w:cs="Calibri"/>
          <w:b/>
          <w:color w:val="000000"/>
          <w:sz w:val="28"/>
          <w:szCs w:val="23"/>
          <w:shd w:val="clear" w:color="auto" w:fill="FFFFFF"/>
          <w:lang w:val="en-US"/>
        </w:rPr>
        <w:t xml:space="preserve">); </w:t>
      </w:r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reportedly, a </w:t>
      </w:r>
      <w:hyperlink r:id="rId12" w:history="1">
        <w:r w:rsidRPr="00733D3E">
          <w:rPr>
            <w:rStyle w:val="Collegamentoipertestuale"/>
            <w:rFonts w:ascii="Calibri" w:hAnsi="Calibri" w:cs="Calibri"/>
            <w:sz w:val="23"/>
            <w:szCs w:val="23"/>
            <w:shd w:val="clear" w:color="auto" w:fill="FFFFFF"/>
            <w:lang w:val="en-US"/>
          </w:rPr>
          <w:t>407 even served as the "system clock" for Columbia's 7094</w:t>
        </w:r>
      </w:hyperlink>
      <w:r w:rsidRPr="00733D3E">
        <w:rPr>
          <w:rFonts w:ascii="Calibri" w:hAnsi="Calibri" w:cs="Calibri"/>
          <w:color w:val="000000"/>
          <w:sz w:val="23"/>
          <w:szCs w:val="23"/>
          <w:shd w:val="clear" w:color="auto" w:fill="FFFFFF"/>
          <w:lang w:val="en-US"/>
        </w:rPr>
        <w:t>.</w:t>
      </w:r>
    </w:p>
    <w:sectPr w:rsidR="00270164" w:rsidRPr="00733D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3E"/>
    <w:rsid w:val="00270164"/>
    <w:rsid w:val="00391CE6"/>
    <w:rsid w:val="003B0C93"/>
    <w:rsid w:val="004D29FC"/>
    <w:rsid w:val="00733D3E"/>
    <w:rsid w:val="00B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itazioneHTML">
    <w:name w:val="HTML Cite"/>
    <w:basedOn w:val="Carpredefinitoparagrafo"/>
    <w:uiPriority w:val="99"/>
    <w:semiHidden/>
    <w:unhideWhenUsed/>
    <w:rsid w:val="00733D3E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733D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itazioneHTML">
    <w:name w:val="HTML Cite"/>
    <w:basedOn w:val="Carpredefinitoparagrafo"/>
    <w:uiPriority w:val="99"/>
    <w:semiHidden/>
    <w:unhideWhenUsed/>
    <w:rsid w:val="00733D3E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733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1.ibm.com/ibm/history/exhibits/650/650_tr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lumbia.edu/cu/computinghistory/405.html" TargetMode="External"/><Relationship Id="rId12" Type="http://schemas.openxmlformats.org/officeDocument/2006/relationships/hyperlink" Target="http://www.columbia.edu/cu/computinghistory/196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lumbia.edu/cu/computinghistory/tabulator.html" TargetMode="External"/><Relationship Id="rId11" Type="http://schemas.openxmlformats.org/officeDocument/2006/relationships/hyperlink" Target="http://www.columbia.edu/cu/computinghistory/709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lumbia.edu/cu/computinghistory/cp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lumbia.edu/cu/computinghistory/65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9FC6F-16C5-4BFD-BB99-E8D513DD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2022-05-05T07:50:00Z</dcterms:created>
  <dcterms:modified xsi:type="dcterms:W3CDTF">2022-05-05T08:10:00Z</dcterms:modified>
</cp:coreProperties>
</file>