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848" w:rsidRDefault="00350848" w:rsidP="00350848">
      <w:pPr>
        <w:spacing w:after="60"/>
        <w:ind w:firstLine="360"/>
        <w:jc w:val="both"/>
        <w:rPr>
          <w:rFonts w:ascii="Arial" w:hAnsi="Arial" w:cs="Arial"/>
          <w:sz w:val="22"/>
          <w:szCs w:val="22"/>
        </w:rPr>
      </w:pPr>
      <w:bookmarkStart w:id="0" w:name="_GoBack"/>
      <w:bookmarkEnd w:id="0"/>
      <w:r>
        <w:rPr>
          <w:rFonts w:ascii="Arial" w:eastAsia="Malgun Gothic" w:hAnsi="Arial" w:cs="Arial"/>
          <w:i/>
          <w:sz w:val="22"/>
          <w:szCs w:val="22"/>
          <w:u w:val="single"/>
          <w:lang w:eastAsia="en-US"/>
        </w:rPr>
        <w:t>Identification of MIEs as subnetworks and hub genes using the Bayesian SBM</w:t>
      </w:r>
      <w:r w:rsidRPr="00AC1159">
        <w:rPr>
          <w:rFonts w:ascii="Arial" w:eastAsia="Malgun Gothic" w:hAnsi="Arial" w:cs="Arial"/>
          <w:i/>
          <w:sz w:val="22"/>
          <w:szCs w:val="22"/>
          <w:lang w:eastAsia="en-US"/>
        </w:rPr>
        <w:t xml:space="preserve">. </w:t>
      </w:r>
      <w:r>
        <w:rPr>
          <w:rFonts w:ascii="Arial" w:eastAsia="Malgun Gothic" w:hAnsi="Arial" w:cs="Arial"/>
          <w:sz w:val="22"/>
          <w:szCs w:val="22"/>
          <w:lang w:eastAsia="en-US"/>
        </w:rPr>
        <w:t xml:space="preserve">In order to obtain the list of key genes and pathways associated with the exposure to EE2, we utilized lists of top ranking genes and pathways that are reported to be associated with EE2 in the </w:t>
      </w:r>
      <w:r w:rsidRPr="003D1654">
        <w:rPr>
          <w:rFonts w:ascii="Arial" w:eastAsia="Malgun Gothic" w:hAnsi="Arial" w:cs="Arial"/>
          <w:i/>
          <w:sz w:val="22"/>
          <w:szCs w:val="22"/>
          <w:lang w:eastAsia="en-US"/>
        </w:rPr>
        <w:t>Comparative Toxicogenomics Database (CTD)</w:t>
      </w:r>
      <w:r>
        <w:rPr>
          <w:rFonts w:ascii="Arial" w:eastAsia="Malgun Gothic" w:hAnsi="Arial" w:cs="Arial"/>
          <w:sz w:val="22"/>
          <w:szCs w:val="22"/>
          <w:lang w:eastAsia="en-US"/>
        </w:rPr>
        <w:t xml:space="preserve"> (</w:t>
      </w:r>
      <w:r w:rsidRPr="00DF3843">
        <w:rPr>
          <w:rFonts w:ascii="Arial" w:eastAsia="Malgun Gothic" w:hAnsi="Arial" w:cs="Arial"/>
          <w:sz w:val="22"/>
          <w:szCs w:val="22"/>
          <w:lang w:eastAsia="en-US"/>
        </w:rPr>
        <w:t>http://ctd.mdibl.org/</w:t>
      </w:r>
      <w:r>
        <w:rPr>
          <w:rFonts w:ascii="Arial" w:eastAsia="Malgun Gothic" w:hAnsi="Arial" w:cs="Arial"/>
          <w:sz w:val="22"/>
          <w:szCs w:val="22"/>
          <w:lang w:eastAsia="en-US"/>
        </w:rPr>
        <w:t xml:space="preserve">). We chose three </w:t>
      </w:r>
      <w:r w:rsidRPr="003C43FE">
        <w:rPr>
          <w:rFonts w:ascii="Arial" w:eastAsia="Malgun Gothic" w:hAnsi="Arial" w:cs="Arial"/>
          <w:sz w:val="22"/>
          <w:szCs w:val="22"/>
          <w:lang w:eastAsia="en-US"/>
        </w:rPr>
        <w:t xml:space="preserve">significantly associated KEGG pathways, including </w:t>
      </w:r>
      <w:r w:rsidRPr="003C43FE">
        <w:rPr>
          <w:rFonts w:ascii="Arial" w:eastAsia="Malgun Gothic" w:hAnsi="Arial" w:cs="Arial"/>
          <w:i/>
          <w:sz w:val="22"/>
          <w:szCs w:val="22"/>
          <w:lang w:eastAsia="en-US"/>
        </w:rPr>
        <w:t>Metabolic pathways</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PI3K-Akt signaling pathway</w:t>
      </w:r>
      <w:r w:rsidRPr="003C43FE">
        <w:rPr>
          <w:rFonts w:ascii="Arial" w:eastAsia="Malgun Gothic" w:hAnsi="Arial" w:cs="Arial"/>
          <w:sz w:val="22"/>
          <w:szCs w:val="22"/>
          <w:lang w:eastAsia="en-US"/>
        </w:rPr>
        <w:t xml:space="preserve">, and </w:t>
      </w:r>
      <w:r w:rsidRPr="003C43FE">
        <w:rPr>
          <w:rFonts w:ascii="Arial" w:eastAsia="Malgun Gothic" w:hAnsi="Arial" w:cs="Arial"/>
          <w:i/>
          <w:sz w:val="22"/>
          <w:szCs w:val="22"/>
          <w:lang w:eastAsia="en-US"/>
        </w:rPr>
        <w:t>Cell cycle</w:t>
      </w:r>
      <w:r w:rsidRPr="003C43FE">
        <w:rPr>
          <w:rFonts w:ascii="Arial" w:eastAsia="Malgun Gothic" w:hAnsi="Arial" w:cs="Arial"/>
          <w:sz w:val="22"/>
          <w:szCs w:val="22"/>
          <w:lang w:eastAsia="en-US"/>
        </w:rPr>
        <w:t>, which correspond to the first, third, and 13</w:t>
      </w:r>
      <w:r w:rsidRPr="003C43FE">
        <w:rPr>
          <w:rFonts w:ascii="Arial" w:eastAsia="Malgun Gothic" w:hAnsi="Arial" w:cs="Arial"/>
          <w:sz w:val="22"/>
          <w:szCs w:val="22"/>
          <w:vertAlign w:val="superscript"/>
          <w:lang w:eastAsia="en-US"/>
        </w:rPr>
        <w:t>th</w:t>
      </w:r>
      <w:r w:rsidRPr="003C43FE">
        <w:rPr>
          <w:rFonts w:ascii="Arial" w:eastAsia="Malgun Gothic" w:hAnsi="Arial" w:cs="Arial"/>
          <w:sz w:val="22"/>
          <w:szCs w:val="22"/>
          <w:lang w:eastAsia="en-US"/>
        </w:rPr>
        <w:t xml:space="preserve"> top ranking pathways in CTD (corrected </w:t>
      </w:r>
      <w:r w:rsidRPr="003C43FE">
        <w:rPr>
          <w:rFonts w:ascii="Arial" w:eastAsia="Malgun Gothic" w:hAnsi="Arial" w:cs="Arial"/>
          <w:i/>
          <w:sz w:val="22"/>
          <w:szCs w:val="22"/>
          <w:lang w:eastAsia="en-US"/>
        </w:rPr>
        <w:t>p</w:t>
      </w:r>
      <w:r w:rsidRPr="003C43FE">
        <w:rPr>
          <w:rFonts w:ascii="Arial" w:eastAsia="Malgun Gothic" w:hAnsi="Arial" w:cs="Arial"/>
          <w:sz w:val="22"/>
          <w:szCs w:val="22"/>
          <w:lang w:eastAsia="en-US"/>
        </w:rPr>
        <w:t xml:space="preserve">-values = 4.2e-253, 2.1e-79, and 2.0e-47). Among the genes belonging to these pathways, we further selected those corresponding to the top 500 genes that are reported to be associated with EE2 in CTD. Finally, we applied the Bayesian SBM to the genes belonging to these pathways. One of the key parameters of this model is </w:t>
      </w:r>
      <w:r w:rsidRPr="003C43FE">
        <w:rPr>
          <w:rFonts w:ascii="Arial" w:eastAsia="Malgun Gothic" w:hAnsi="Arial" w:cs="Arial"/>
          <w:i/>
          <w:sz w:val="22"/>
          <w:szCs w:val="22"/>
          <w:lang w:eastAsia="en-US"/>
        </w:rPr>
        <w:t>K</w:t>
      </w:r>
      <w:r w:rsidRPr="003C43FE">
        <w:rPr>
          <w:rFonts w:ascii="Arial" w:eastAsia="Malgun Gothic" w:hAnsi="Arial" w:cs="Arial"/>
          <w:sz w:val="22"/>
          <w:szCs w:val="22"/>
          <w:lang w:eastAsia="en-US"/>
        </w:rPr>
        <w:t>, the number of subnetworks we want to identify.</w:t>
      </w:r>
      <w:r w:rsidRPr="003C43FE">
        <w:rPr>
          <w:rFonts w:ascii="Arial" w:eastAsia="Malgun Gothic" w:hAnsi="Arial" w:cs="Arial"/>
          <w:sz w:val="22"/>
          <w:szCs w:val="22"/>
        </w:rPr>
        <w:t xml:space="preserve"> </w:t>
      </w:r>
      <w:r w:rsidRPr="003C43FE">
        <w:rPr>
          <w:rFonts w:ascii="Arial" w:eastAsia="Malgun Gothic" w:hAnsi="Arial" w:cs="Arial"/>
          <w:sz w:val="22"/>
          <w:szCs w:val="22"/>
          <w:lang w:eastAsia="en-US"/>
        </w:rPr>
        <w:t xml:space="preserve">The Bayesian SBM has an interesting property such that it can identify both subnetworks and hub genes within a unified framework,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50848" w:rsidTr="00024AA6">
        <w:tc>
          <w:tcPr>
            <w:tcW w:w="11016" w:type="dxa"/>
          </w:tcPr>
          <w:p w:rsidR="00350848" w:rsidRPr="00D87740" w:rsidRDefault="00350848" w:rsidP="00024AA6">
            <w:pPr>
              <w:spacing w:after="60"/>
              <w:ind w:firstLine="0"/>
              <w:jc w:val="both"/>
              <w:rPr>
                <w:rFonts w:ascii="Arial" w:hAnsi="Arial" w:cs="Arial"/>
              </w:rPr>
            </w:pPr>
            <w:r w:rsidRPr="00D87740">
              <w:rPr>
                <w:rFonts w:ascii="Arial" w:hAnsi="Arial" w:cs="Arial"/>
              </w:rPr>
              <w:t xml:space="preserve">A                   </w:t>
            </w:r>
            <w:r>
              <w:rPr>
                <w:rFonts w:ascii="Arial" w:hAnsi="Arial" w:cs="Arial"/>
              </w:rPr>
              <w:t xml:space="preserve">                    B                                      C                                       D   </w:t>
            </w:r>
            <w:r w:rsidRPr="00D87740">
              <w:rPr>
                <w:rFonts w:ascii="Arial" w:hAnsi="Arial" w:cs="Arial"/>
              </w:rPr>
              <w:t xml:space="preserve">                </w:t>
            </w:r>
          </w:p>
          <w:p w:rsidR="00350848" w:rsidRDefault="00350848" w:rsidP="00024AA6">
            <w:pPr>
              <w:spacing w:after="60"/>
              <w:ind w:firstLine="0"/>
              <w:jc w:val="both"/>
              <w:rPr>
                <w:rFonts w:ascii="Arial" w:hAnsi="Arial" w:cs="Arial"/>
              </w:rPr>
            </w:pPr>
            <w:r>
              <w:rPr>
                <w:rFonts w:ascii="Arial" w:hAnsi="Arial" w:cs="Arial"/>
                <w:noProof/>
                <w:lang w:eastAsia="en-US"/>
              </w:rPr>
              <w:drawing>
                <wp:inline distT="0" distB="0" distL="0" distR="0" wp14:anchorId="09D62789" wp14:editId="77B7771A">
                  <wp:extent cx="1618488" cy="19202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_1_3_top_gene_500_K_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18488" cy="1920240"/>
                          </a:xfrm>
                          <a:prstGeom prst="rect">
                            <a:avLst/>
                          </a:prstGeom>
                        </pic:spPr>
                      </pic:pic>
                    </a:graphicData>
                  </a:graphic>
                </wp:inline>
              </w:drawing>
            </w:r>
            <w:r>
              <w:rPr>
                <w:rFonts w:ascii="Arial" w:hAnsi="Arial" w:cs="Arial"/>
              </w:rPr>
              <w:t xml:space="preserve">  </w:t>
            </w:r>
            <w:r>
              <w:rPr>
                <w:rFonts w:ascii="Arial" w:hAnsi="Arial" w:cs="Arial"/>
                <w:noProof/>
                <w:lang w:eastAsia="en-US"/>
              </w:rPr>
              <w:drawing>
                <wp:inline distT="0" distB="0" distL="0" distR="0" wp14:anchorId="54611376" wp14:editId="2B3468D0">
                  <wp:extent cx="1618488" cy="19202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_1_3_top_gene_500_K_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8488" cy="1920240"/>
                          </a:xfrm>
                          <a:prstGeom prst="rect">
                            <a:avLst/>
                          </a:prstGeom>
                        </pic:spPr>
                      </pic:pic>
                    </a:graphicData>
                  </a:graphic>
                </wp:inline>
              </w:drawing>
            </w:r>
            <w:r>
              <w:rPr>
                <w:rFonts w:ascii="Arial" w:hAnsi="Arial" w:cs="Arial"/>
              </w:rPr>
              <w:t xml:space="preserve">    </w:t>
            </w:r>
            <w:r>
              <w:rPr>
                <w:rFonts w:ascii="Arial" w:hAnsi="Arial" w:cs="Arial"/>
                <w:noProof/>
                <w:lang w:eastAsia="en-US"/>
              </w:rPr>
              <w:drawing>
                <wp:inline distT="0" distB="0" distL="0" distR="0" wp14:anchorId="14A5D054" wp14:editId="3835D50C">
                  <wp:extent cx="1618488" cy="19202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_1_13_top_gene_500_K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8488" cy="1920240"/>
                          </a:xfrm>
                          <a:prstGeom prst="rect">
                            <a:avLst/>
                          </a:prstGeom>
                        </pic:spPr>
                      </pic:pic>
                    </a:graphicData>
                  </a:graphic>
                </wp:inline>
              </w:drawing>
            </w:r>
            <w:r>
              <w:rPr>
                <w:rFonts w:ascii="Arial" w:hAnsi="Arial" w:cs="Arial"/>
              </w:rPr>
              <w:t xml:space="preserve">  </w:t>
            </w:r>
            <w:r>
              <w:rPr>
                <w:rFonts w:ascii="Arial" w:hAnsi="Arial" w:cs="Arial"/>
                <w:noProof/>
                <w:lang w:eastAsia="en-US"/>
              </w:rPr>
              <w:drawing>
                <wp:inline distT="0" distB="0" distL="0" distR="0" wp14:anchorId="043AFF7C" wp14:editId="6667EE85">
                  <wp:extent cx="1618488" cy="19202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_1_13_top_gene_500_K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8488" cy="1920240"/>
                          </a:xfrm>
                          <a:prstGeom prst="rect">
                            <a:avLst/>
                          </a:prstGeom>
                        </pic:spPr>
                      </pic:pic>
                    </a:graphicData>
                  </a:graphic>
                </wp:inline>
              </w:drawing>
            </w:r>
          </w:p>
          <w:p w:rsidR="00350848" w:rsidRPr="00E631EE" w:rsidRDefault="00350848" w:rsidP="00024AA6">
            <w:pPr>
              <w:spacing w:after="60"/>
              <w:ind w:firstLine="0"/>
              <w:jc w:val="both"/>
              <w:rPr>
                <w:rFonts w:ascii="Arial" w:hAnsi="Arial" w:cs="Arial"/>
                <w:b/>
                <w:sz w:val="18"/>
                <w:szCs w:val="18"/>
              </w:rPr>
            </w:pPr>
            <w:r w:rsidRPr="00E631EE">
              <w:rPr>
                <w:rFonts w:ascii="Arial" w:hAnsi="Arial" w:cs="Arial"/>
                <w:b/>
                <w:sz w:val="18"/>
                <w:szCs w:val="18"/>
              </w:rPr>
              <w:t xml:space="preserve">Figure 4. Subnetworks and hub genes identified using the Bayesian SBM, for the genes belonging to </w:t>
            </w:r>
            <w:r w:rsidRPr="00E631EE">
              <w:rPr>
                <w:rFonts w:ascii="Arial" w:hAnsi="Arial" w:cs="Arial"/>
                <w:b/>
                <w:i/>
                <w:sz w:val="18"/>
                <w:szCs w:val="18"/>
              </w:rPr>
              <w:t>Metabolic pathways</w:t>
            </w:r>
            <w:r w:rsidRPr="00E631EE">
              <w:rPr>
                <w:rFonts w:ascii="Arial" w:hAnsi="Arial" w:cs="Arial"/>
                <w:b/>
                <w:sz w:val="18"/>
                <w:szCs w:val="18"/>
              </w:rPr>
              <w:t xml:space="preserve"> (circle) and </w:t>
            </w:r>
            <w:r w:rsidRPr="00E631EE">
              <w:rPr>
                <w:rFonts w:ascii="Arial" w:hAnsi="Arial" w:cs="Arial"/>
                <w:b/>
                <w:i/>
                <w:sz w:val="18"/>
                <w:szCs w:val="18"/>
              </w:rPr>
              <w:t>PI3K-Akt signaling pathway</w:t>
            </w:r>
            <w:r w:rsidRPr="00E631EE">
              <w:rPr>
                <w:rFonts w:ascii="Arial" w:hAnsi="Arial" w:cs="Arial"/>
                <w:b/>
                <w:sz w:val="18"/>
                <w:szCs w:val="18"/>
              </w:rPr>
              <w:t xml:space="preserve"> (triangle) in (A, B) and for the genes belonging to </w:t>
            </w:r>
            <w:r w:rsidRPr="00E631EE">
              <w:rPr>
                <w:rFonts w:ascii="Arial" w:hAnsi="Arial" w:cs="Arial"/>
                <w:b/>
                <w:i/>
                <w:sz w:val="18"/>
                <w:szCs w:val="18"/>
              </w:rPr>
              <w:t>Metabolic pathways</w:t>
            </w:r>
            <w:r w:rsidRPr="00E631EE">
              <w:rPr>
                <w:rFonts w:ascii="Arial" w:hAnsi="Arial" w:cs="Arial"/>
                <w:b/>
                <w:sz w:val="18"/>
                <w:szCs w:val="18"/>
              </w:rPr>
              <w:t xml:space="preserve"> (circle) and </w:t>
            </w:r>
            <w:r w:rsidRPr="00E631EE">
              <w:rPr>
                <w:rFonts w:ascii="Arial" w:hAnsi="Arial" w:cs="Arial"/>
                <w:b/>
                <w:i/>
                <w:sz w:val="18"/>
                <w:szCs w:val="18"/>
              </w:rPr>
              <w:t>Cell cycle</w:t>
            </w:r>
            <w:r w:rsidRPr="00E631EE">
              <w:rPr>
                <w:rFonts w:ascii="Arial" w:hAnsi="Arial" w:cs="Arial"/>
                <w:b/>
                <w:sz w:val="18"/>
                <w:szCs w:val="18"/>
              </w:rPr>
              <w:t xml:space="preserve"> (triangle) in (C, D). Colors of nodes in each figure indicate different gene groups identified by the Bayesian SBM. In the Bayesian SBM, the number of gene groups (</w:t>
            </w:r>
            <w:r w:rsidRPr="00E631EE">
              <w:rPr>
                <w:rFonts w:ascii="Arial" w:hAnsi="Arial" w:cs="Arial"/>
                <w:b/>
                <w:i/>
                <w:sz w:val="18"/>
                <w:szCs w:val="18"/>
              </w:rPr>
              <w:t>K</w:t>
            </w:r>
            <w:r w:rsidRPr="00E631EE">
              <w:rPr>
                <w:rFonts w:ascii="Arial" w:hAnsi="Arial" w:cs="Arial"/>
                <w:b/>
                <w:sz w:val="18"/>
                <w:szCs w:val="18"/>
              </w:rPr>
              <w:t>) was set to 2 for (A) and (C) and set to 4 for (B) and (D).</w:t>
            </w:r>
          </w:p>
        </w:tc>
      </w:tr>
      <w:tr w:rsidR="00350848" w:rsidTr="00024AA6">
        <w:tc>
          <w:tcPr>
            <w:tcW w:w="11016" w:type="dxa"/>
          </w:tcPr>
          <w:p w:rsidR="00350848" w:rsidRDefault="00350848" w:rsidP="00024AA6">
            <w:pPr>
              <w:spacing w:after="60"/>
              <w:ind w:firstLine="0"/>
              <w:jc w:val="both"/>
              <w:rPr>
                <w:rFonts w:ascii="Arial" w:eastAsia="Malgun Gothic" w:hAnsi="Arial" w:cs="Arial"/>
                <w:sz w:val="22"/>
                <w:szCs w:val="22"/>
                <w:lang w:eastAsia="en-US"/>
              </w:rPr>
            </w:pPr>
          </w:p>
          <w:p w:rsidR="00350848" w:rsidRPr="00D87740" w:rsidRDefault="00350848" w:rsidP="00024AA6">
            <w:pPr>
              <w:spacing w:after="60"/>
              <w:ind w:firstLine="0"/>
              <w:jc w:val="both"/>
              <w:rPr>
                <w:rFonts w:ascii="Arial" w:hAnsi="Arial" w:cs="Arial"/>
              </w:rPr>
            </w:pPr>
            <w:r>
              <w:rPr>
                <w:rFonts w:ascii="Arial" w:eastAsia="Malgun Gothic" w:hAnsi="Arial" w:cs="Arial"/>
                <w:sz w:val="22"/>
                <w:szCs w:val="22"/>
                <w:lang w:eastAsia="en-US"/>
              </w:rPr>
              <w:t>using different</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K</w:t>
            </w:r>
            <w:r>
              <w:rPr>
                <w:rFonts w:ascii="Arial" w:eastAsia="Malgun Gothic" w:hAnsi="Arial" w:cs="Arial"/>
                <w:sz w:val="22"/>
                <w:szCs w:val="22"/>
                <w:lang w:eastAsia="en-US"/>
              </w:rPr>
              <w:t xml:space="preserve"> values.</w:t>
            </w:r>
            <w:r w:rsidRPr="003C43FE">
              <w:rPr>
                <w:rFonts w:ascii="Arial" w:eastAsia="Malgun Gothic" w:hAnsi="Arial" w:cs="Arial"/>
                <w:sz w:val="22"/>
                <w:szCs w:val="22"/>
                <w:lang w:eastAsia="en-US"/>
              </w:rPr>
              <w:t xml:space="preserve"> </w:t>
            </w:r>
            <w:r w:rsidRPr="003C43FE">
              <w:rPr>
                <w:rFonts w:ascii="Arial" w:eastAsia="Malgun Gothic" w:hAnsi="Arial" w:cs="Arial"/>
                <w:sz w:val="22"/>
                <w:szCs w:val="22"/>
              </w:rPr>
              <w:t xml:space="preserve">Specifically, for small </w:t>
            </w:r>
            <w:r w:rsidRPr="003C43FE">
              <w:rPr>
                <w:rFonts w:ascii="Arial" w:hAnsi="Arial" w:cs="Arial"/>
                <w:i/>
                <w:sz w:val="22"/>
                <w:szCs w:val="22"/>
              </w:rPr>
              <w:t>K</w:t>
            </w:r>
            <w:r w:rsidRPr="003C43FE">
              <w:rPr>
                <w:rFonts w:ascii="Arial" w:hAnsi="Arial" w:cs="Arial"/>
                <w:sz w:val="22"/>
                <w:szCs w:val="22"/>
              </w:rPr>
              <w:t xml:space="preserve">, the </w:t>
            </w:r>
            <w:r w:rsidRPr="003C43FE">
              <w:rPr>
                <w:rFonts w:ascii="Arial" w:eastAsia="Malgun Gothic" w:hAnsi="Arial" w:cs="Arial"/>
                <w:sz w:val="22"/>
                <w:szCs w:val="22"/>
              </w:rPr>
              <w:t xml:space="preserve">Bayesian SBM first identifies hub genes (nodes linked to large numbers of edges) and general subnetworks. Then, as </w:t>
            </w:r>
            <w:r w:rsidRPr="003C43FE">
              <w:rPr>
                <w:rFonts w:ascii="Arial" w:eastAsia="Malgun Gothic" w:hAnsi="Arial" w:cs="Arial"/>
                <w:i/>
                <w:sz w:val="22"/>
                <w:szCs w:val="22"/>
                <w:lang w:eastAsia="en-US"/>
              </w:rPr>
              <w:t>K</w:t>
            </w:r>
            <w:r w:rsidRPr="003C43FE">
              <w:rPr>
                <w:rFonts w:ascii="Arial" w:hAnsi="Arial" w:cs="Arial"/>
                <w:sz w:val="22"/>
                <w:szCs w:val="22"/>
              </w:rPr>
              <w:t xml:space="preserve"> increases, this model sequentially identifies more specific subnetworks and finer sets of hub genes.</w:t>
            </w:r>
          </w:p>
        </w:tc>
      </w:tr>
    </w:tbl>
    <w:p w:rsidR="00350848" w:rsidRPr="003C43FE" w:rsidRDefault="00350848" w:rsidP="00350848">
      <w:pPr>
        <w:spacing w:after="60"/>
        <w:ind w:firstLine="360"/>
        <w:jc w:val="both"/>
        <w:rPr>
          <w:rFonts w:ascii="Arial" w:eastAsia="Malgun Gothic" w:hAnsi="Arial" w:cs="Arial"/>
          <w:sz w:val="22"/>
          <w:szCs w:val="22"/>
          <w:lang w:eastAsia="en-US"/>
        </w:rPr>
      </w:pPr>
      <w:r w:rsidRPr="003C43FE">
        <w:rPr>
          <w:rFonts w:ascii="Arial" w:eastAsia="Malgun Gothic" w:hAnsi="Arial" w:cs="Arial"/>
          <w:b/>
          <w:sz w:val="22"/>
          <w:szCs w:val="22"/>
          <w:lang w:eastAsia="en-US"/>
        </w:rPr>
        <w:t>Fig. 4</w:t>
      </w:r>
      <w:r w:rsidRPr="003C43FE">
        <w:rPr>
          <w:rFonts w:ascii="Arial" w:eastAsia="Malgun Gothic" w:hAnsi="Arial" w:cs="Arial"/>
          <w:sz w:val="22"/>
          <w:szCs w:val="22"/>
          <w:lang w:eastAsia="en-US"/>
        </w:rPr>
        <w:t xml:space="preserve"> displays subnetworks and hub genes identified by the Bayesian SBM. First, we considered the genes belonging to Metabolic pathways (circles in </w:t>
      </w:r>
      <w:r w:rsidRPr="003C43FE">
        <w:rPr>
          <w:rFonts w:ascii="Arial" w:eastAsia="Malgun Gothic" w:hAnsi="Arial" w:cs="Arial"/>
          <w:b/>
          <w:sz w:val="22"/>
          <w:szCs w:val="22"/>
          <w:lang w:eastAsia="en-US"/>
        </w:rPr>
        <w:t>Fig. 4A and 4B</w:t>
      </w:r>
      <w:r w:rsidRPr="003C43FE">
        <w:rPr>
          <w:rFonts w:ascii="Arial" w:eastAsia="Malgun Gothic" w:hAnsi="Arial" w:cs="Arial"/>
          <w:sz w:val="22"/>
          <w:szCs w:val="22"/>
          <w:lang w:eastAsia="en-US"/>
        </w:rPr>
        <w:t xml:space="preserve">) and PI3K-Akt signaling pathway (triangles in </w:t>
      </w:r>
      <w:r w:rsidRPr="003C43FE">
        <w:rPr>
          <w:rFonts w:ascii="Arial" w:eastAsia="Malgun Gothic" w:hAnsi="Arial" w:cs="Arial"/>
          <w:b/>
          <w:sz w:val="22"/>
          <w:szCs w:val="22"/>
          <w:lang w:eastAsia="en-US"/>
        </w:rPr>
        <w:t>Fig. 4A and 4B</w:t>
      </w:r>
      <w:r w:rsidRPr="003C43FE">
        <w:rPr>
          <w:rFonts w:ascii="Arial" w:eastAsia="Malgun Gothic" w:hAnsi="Arial" w:cs="Arial"/>
          <w:sz w:val="22"/>
          <w:szCs w:val="22"/>
          <w:lang w:eastAsia="en-US"/>
        </w:rPr>
        <w:t xml:space="preserve">). When </w:t>
      </w:r>
      <m:oMath>
        <m:r>
          <m:rPr>
            <m:sty m:val="p"/>
          </m:rPr>
          <w:rPr>
            <w:rFonts w:ascii="Cambria Math" w:eastAsia="Malgun Gothic" w:hAnsi="Cambria Math" w:cs="Arial"/>
            <w:sz w:val="22"/>
            <w:szCs w:val="22"/>
            <w:lang w:eastAsia="en-US"/>
          </w:rPr>
          <m:t>K=2</m:t>
        </m:r>
      </m:oMath>
      <w:r w:rsidRPr="003C43FE">
        <w:rPr>
          <w:rFonts w:ascii="Arial" w:eastAsia="Malgun Gothic" w:hAnsi="Arial" w:cs="Arial"/>
          <w:sz w:val="22"/>
          <w:szCs w:val="22"/>
          <w:lang w:eastAsia="en-US"/>
        </w:rPr>
        <w:t xml:space="preserve"> (</w:t>
      </w:r>
      <w:r w:rsidRPr="003C43FE">
        <w:rPr>
          <w:rFonts w:ascii="Arial" w:eastAsia="Malgun Gothic" w:hAnsi="Arial" w:cs="Arial"/>
          <w:b/>
          <w:sz w:val="22"/>
          <w:szCs w:val="22"/>
          <w:lang w:eastAsia="en-US"/>
        </w:rPr>
        <w:t>Fig. 4A</w:t>
      </w:r>
      <w:r w:rsidRPr="003C43FE">
        <w:rPr>
          <w:rFonts w:ascii="Arial" w:eastAsia="Malgun Gothic" w:hAnsi="Arial" w:cs="Arial"/>
          <w:sz w:val="22"/>
          <w:szCs w:val="22"/>
          <w:lang w:eastAsia="en-US"/>
        </w:rPr>
        <w:t xml:space="preserve">), hub genes </w:t>
      </w:r>
      <w:r>
        <w:rPr>
          <w:rFonts w:ascii="Arial" w:eastAsia="Malgun Gothic" w:hAnsi="Arial" w:cs="Arial"/>
          <w:sz w:val="22"/>
          <w:szCs w:val="22"/>
          <w:lang w:eastAsia="en-US"/>
        </w:rPr>
        <w:t xml:space="preserve">across two pathways </w:t>
      </w:r>
      <w:r w:rsidRPr="003C43FE">
        <w:rPr>
          <w:rFonts w:ascii="Arial" w:eastAsia="Malgun Gothic" w:hAnsi="Arial" w:cs="Arial"/>
          <w:sz w:val="22"/>
          <w:szCs w:val="22"/>
          <w:lang w:eastAsia="en-US"/>
        </w:rPr>
        <w:t xml:space="preserve">were identified as a group (red: </w:t>
      </w:r>
      <w:r w:rsidRPr="003C43FE">
        <w:rPr>
          <w:rFonts w:ascii="Arial" w:eastAsia="Malgun Gothic" w:hAnsi="Arial" w:cs="Arial"/>
          <w:i/>
          <w:sz w:val="22"/>
          <w:szCs w:val="22"/>
          <w:lang w:eastAsia="en-US"/>
        </w:rPr>
        <w:t>EGFR</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GAPDH</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HSP90AA1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ALDOA</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PGK1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FN1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lastRenderedPageBreak/>
        <w:t>LDHA</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ENO1</w:t>
      </w:r>
      <w:r w:rsidRPr="003C43FE">
        <w:rPr>
          <w:rFonts w:ascii="Arial" w:eastAsia="Malgun Gothic" w:hAnsi="Arial" w:cs="Arial"/>
          <w:sz w:val="22"/>
          <w:szCs w:val="22"/>
          <w:lang w:eastAsia="en-US"/>
        </w:rPr>
        <w:t xml:space="preserve">), which includes genes important for HIF-1 signaling pathway and glycolysis/gluconeogenesis pathway. Non-hub genes </w:t>
      </w:r>
      <w:r>
        <w:rPr>
          <w:rFonts w:ascii="Arial" w:eastAsia="Malgun Gothic" w:hAnsi="Arial" w:cs="Arial"/>
          <w:sz w:val="22"/>
          <w:szCs w:val="22"/>
          <w:lang w:eastAsia="en-US"/>
        </w:rPr>
        <w:t xml:space="preserve">across two pathways </w:t>
      </w:r>
      <w:r w:rsidRPr="003C43FE">
        <w:rPr>
          <w:rFonts w:ascii="Arial" w:eastAsia="Malgun Gothic" w:hAnsi="Arial" w:cs="Arial"/>
          <w:sz w:val="22"/>
          <w:szCs w:val="22"/>
          <w:lang w:eastAsia="en-US"/>
        </w:rPr>
        <w:t>were identified as another group (green)</w:t>
      </w:r>
      <w:r>
        <w:rPr>
          <w:rFonts w:ascii="Arial" w:eastAsia="Malgun Gothic" w:hAnsi="Arial" w:cs="Arial"/>
          <w:sz w:val="22"/>
          <w:szCs w:val="22"/>
          <w:lang w:eastAsia="en-US"/>
        </w:rPr>
        <w:t>,</w:t>
      </w:r>
      <w:r w:rsidRPr="003C43FE">
        <w:rPr>
          <w:rFonts w:ascii="Arial" w:eastAsia="Malgun Gothic" w:hAnsi="Arial" w:cs="Arial"/>
          <w:sz w:val="22"/>
          <w:szCs w:val="22"/>
          <w:lang w:eastAsia="en-US"/>
        </w:rPr>
        <w:t xml:space="preserve"> </w:t>
      </w:r>
      <w:r>
        <w:rPr>
          <w:rFonts w:ascii="Arial" w:eastAsia="Malgun Gothic" w:hAnsi="Arial" w:cs="Arial"/>
          <w:sz w:val="22"/>
          <w:szCs w:val="22"/>
          <w:lang w:eastAsia="en-US"/>
        </w:rPr>
        <w:t xml:space="preserve">which </w:t>
      </w:r>
      <w:r w:rsidRPr="003C43FE">
        <w:rPr>
          <w:rFonts w:ascii="Arial" w:eastAsia="Malgun Gothic" w:hAnsi="Arial" w:cs="Arial"/>
          <w:sz w:val="22"/>
          <w:szCs w:val="22"/>
          <w:lang w:eastAsia="en-US"/>
        </w:rPr>
        <w:t xml:space="preserve">includes genes related to PI3K-Akt and FoxO signaling pathways as well as response to nitrogen/hormone/organic cyclic compound biological processes and positive regulation of cell proliferation. When we increased </w:t>
      </w:r>
      <m:oMath>
        <m:r>
          <m:rPr>
            <m:sty m:val="p"/>
          </m:rPr>
          <w:rPr>
            <w:rFonts w:ascii="Cambria Math" w:eastAsia="Malgun Gothic" w:hAnsi="Cambria Math" w:cs="Arial"/>
            <w:sz w:val="22"/>
            <w:szCs w:val="22"/>
            <w:lang w:eastAsia="en-US"/>
          </w:rPr>
          <m:t>K=4</m:t>
        </m:r>
      </m:oMath>
      <w:r w:rsidRPr="003C43FE">
        <w:rPr>
          <w:rFonts w:ascii="Arial" w:eastAsia="Malgun Gothic" w:hAnsi="Arial" w:cs="Arial"/>
          <w:sz w:val="22"/>
          <w:szCs w:val="22"/>
          <w:lang w:eastAsia="en-US"/>
        </w:rPr>
        <w:t xml:space="preserve"> (</w:t>
      </w:r>
      <w:r w:rsidRPr="003C43FE">
        <w:rPr>
          <w:rFonts w:ascii="Arial" w:eastAsia="Malgun Gothic" w:hAnsi="Arial" w:cs="Arial"/>
          <w:b/>
          <w:sz w:val="22"/>
          <w:szCs w:val="22"/>
          <w:lang w:eastAsia="en-US"/>
        </w:rPr>
        <w:t>Fig. 4B</w:t>
      </w:r>
      <w:r w:rsidRPr="003C43FE">
        <w:rPr>
          <w:rFonts w:ascii="Arial" w:eastAsia="Malgun Gothic" w:hAnsi="Arial" w:cs="Arial"/>
          <w:sz w:val="22"/>
          <w:szCs w:val="22"/>
          <w:lang w:eastAsia="en-US"/>
        </w:rPr>
        <w:t xml:space="preserve">), the Bayesian SBM found a group of non-hub genes </w:t>
      </w:r>
      <w:r>
        <w:rPr>
          <w:rFonts w:ascii="Arial" w:eastAsia="Malgun Gothic" w:hAnsi="Arial" w:cs="Arial"/>
          <w:sz w:val="22"/>
          <w:szCs w:val="22"/>
          <w:lang w:eastAsia="en-US"/>
        </w:rPr>
        <w:t xml:space="preserve">across two pathways </w:t>
      </w:r>
      <w:r w:rsidRPr="003C43FE">
        <w:rPr>
          <w:rFonts w:ascii="Arial" w:eastAsia="Malgun Gothic" w:hAnsi="Arial" w:cs="Arial"/>
          <w:sz w:val="22"/>
          <w:szCs w:val="22"/>
          <w:lang w:eastAsia="en-US"/>
        </w:rPr>
        <w:t xml:space="preserve">(green) and three groups of hub genes. The three groups of hub genes include 1) hub genes specific to Metabolic pathways (light blue: </w:t>
      </w:r>
      <w:r w:rsidRPr="003C43FE">
        <w:rPr>
          <w:rFonts w:ascii="Arial" w:eastAsia="Malgun Gothic" w:hAnsi="Arial" w:cs="Arial"/>
          <w:i/>
          <w:sz w:val="22"/>
          <w:szCs w:val="22"/>
          <w:lang w:eastAsia="en-US"/>
        </w:rPr>
        <w:t>ENO1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ENO3</w:t>
      </w:r>
      <w:r w:rsidRPr="003C43FE">
        <w:rPr>
          <w:rFonts w:ascii="Arial" w:eastAsia="Malgun Gothic" w:hAnsi="Arial" w:cs="Arial"/>
          <w:sz w:val="22"/>
          <w:szCs w:val="22"/>
          <w:lang w:eastAsia="en-US"/>
        </w:rPr>
        <w:t>), which is related to phenylalanine/tyrosine/</w:t>
      </w:r>
      <w:r>
        <w:rPr>
          <w:rFonts w:ascii="Arial" w:eastAsia="Malgun Gothic" w:hAnsi="Arial" w:cs="Arial"/>
          <w:sz w:val="22"/>
          <w:szCs w:val="22"/>
          <w:lang w:eastAsia="en-US"/>
        </w:rPr>
        <w:t xml:space="preserve"> </w:t>
      </w:r>
      <w:r w:rsidRPr="003C43FE">
        <w:rPr>
          <w:rFonts w:ascii="Arial" w:eastAsia="Malgun Gothic" w:hAnsi="Arial" w:cs="Arial"/>
          <w:sz w:val="22"/>
          <w:szCs w:val="22"/>
          <w:lang w:eastAsia="en-US"/>
        </w:rPr>
        <w:t xml:space="preserve">tryptophan biosynthesis pathway and glycolysis/gluconeogenesis pathway, NADH regeneration biological process; 2) hub genes specific to PI3K-Akt signaling pathway (red: </w:t>
      </w:r>
      <w:r w:rsidRPr="003C43FE">
        <w:rPr>
          <w:rFonts w:ascii="Arial" w:eastAsia="Malgun Gothic" w:hAnsi="Arial" w:cs="Arial"/>
          <w:i/>
          <w:sz w:val="22"/>
          <w:szCs w:val="22"/>
          <w:lang w:eastAsia="en-US"/>
        </w:rPr>
        <w:t>EGFR</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HSP90AA1</w:t>
      </w:r>
      <w:r w:rsidRPr="003C43FE">
        <w:rPr>
          <w:rFonts w:ascii="Arial" w:eastAsia="Malgun Gothic" w:hAnsi="Arial" w:cs="Arial"/>
          <w:sz w:val="22"/>
          <w:szCs w:val="22"/>
          <w:lang w:eastAsia="en-US"/>
        </w:rPr>
        <w:t xml:space="preserve">), which is related to regulation of nitric oxide metabolic process and ERBB signaling pathway, ERBB receptor binds tightly to other EGF receptor to form a heterodimer, enhancing kinase-mediated activation of downstream signaling pathways, such as those involving MAPK and PI3K; and 3) hub genes linking two pathways (dark blue: </w:t>
      </w:r>
      <w:r w:rsidRPr="003C43FE">
        <w:rPr>
          <w:rFonts w:ascii="Arial" w:eastAsia="Malgun Gothic" w:hAnsi="Arial" w:cs="Arial"/>
          <w:i/>
          <w:sz w:val="22"/>
          <w:szCs w:val="22"/>
          <w:lang w:eastAsia="en-US"/>
        </w:rPr>
        <w:t>GAPDH</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ALDOA</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FN1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PGK1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LDHA</w:t>
      </w:r>
      <w:r w:rsidRPr="003C43FE">
        <w:rPr>
          <w:rFonts w:ascii="Arial" w:eastAsia="Malgun Gothic" w:hAnsi="Arial" w:cs="Arial"/>
          <w:sz w:val="22"/>
          <w:szCs w:val="22"/>
          <w:lang w:eastAsia="en-US"/>
        </w:rPr>
        <w:t>), which is related to glycolysis/gluconeogenesis and HIF-1 pathways</w:t>
      </w:r>
      <w:r>
        <w:rPr>
          <w:rFonts w:ascii="Arial" w:eastAsia="Malgun Gothic" w:hAnsi="Arial" w:cs="Arial"/>
          <w:sz w:val="22"/>
          <w:szCs w:val="22"/>
          <w:lang w:eastAsia="en-US"/>
        </w:rPr>
        <w:t>.</w:t>
      </w:r>
    </w:p>
    <w:p w:rsidR="00350848" w:rsidRPr="006F626E" w:rsidRDefault="00350848" w:rsidP="00350848">
      <w:pPr>
        <w:spacing w:after="60"/>
        <w:ind w:firstLine="360"/>
        <w:jc w:val="both"/>
        <w:rPr>
          <w:rFonts w:ascii="Arial" w:eastAsia="Malgun Gothic" w:hAnsi="Arial" w:cs="Arial"/>
          <w:color w:val="FF0000"/>
          <w:sz w:val="22"/>
          <w:szCs w:val="22"/>
          <w:lang w:eastAsia="en-US"/>
        </w:rPr>
      </w:pPr>
      <w:r w:rsidRPr="003C43FE">
        <w:rPr>
          <w:rFonts w:ascii="Arial" w:eastAsia="Malgun Gothic" w:hAnsi="Arial" w:cs="Arial"/>
          <w:sz w:val="22"/>
          <w:szCs w:val="22"/>
          <w:lang w:eastAsia="en-US"/>
        </w:rPr>
        <w:t xml:space="preserve">Next, we considered the genes belonging to Metabolic pathways (circles in </w:t>
      </w:r>
      <w:r w:rsidRPr="003C43FE">
        <w:rPr>
          <w:rFonts w:ascii="Arial" w:eastAsia="Malgun Gothic" w:hAnsi="Arial" w:cs="Arial"/>
          <w:b/>
          <w:sz w:val="22"/>
          <w:szCs w:val="22"/>
          <w:lang w:eastAsia="en-US"/>
        </w:rPr>
        <w:t>Fig. 4C and 4D</w:t>
      </w:r>
      <w:r w:rsidRPr="003C43FE">
        <w:rPr>
          <w:rFonts w:ascii="Arial" w:eastAsia="Malgun Gothic" w:hAnsi="Arial" w:cs="Arial"/>
          <w:sz w:val="22"/>
          <w:szCs w:val="22"/>
          <w:lang w:eastAsia="en-US"/>
        </w:rPr>
        <w:t xml:space="preserve">) and Cell cycle (triangles in </w:t>
      </w:r>
      <w:r w:rsidRPr="003C43FE">
        <w:rPr>
          <w:rFonts w:ascii="Arial" w:eastAsia="Malgun Gothic" w:hAnsi="Arial" w:cs="Arial"/>
          <w:b/>
          <w:sz w:val="22"/>
          <w:szCs w:val="22"/>
          <w:lang w:eastAsia="en-US"/>
        </w:rPr>
        <w:t>Fig. 4C and 4D</w:t>
      </w:r>
      <w:r w:rsidRPr="003C43FE">
        <w:rPr>
          <w:rFonts w:ascii="Arial" w:eastAsia="Malgun Gothic" w:hAnsi="Arial" w:cs="Arial"/>
          <w:sz w:val="22"/>
          <w:szCs w:val="22"/>
          <w:lang w:eastAsia="en-US"/>
        </w:rPr>
        <w:t xml:space="preserve">). Interestingly, this time, when </w:t>
      </w:r>
      <m:oMath>
        <m:r>
          <m:rPr>
            <m:sty m:val="p"/>
          </m:rPr>
          <w:rPr>
            <w:rFonts w:ascii="Cambria Math" w:eastAsia="Malgun Gothic" w:hAnsi="Cambria Math" w:cs="Arial"/>
            <w:sz w:val="22"/>
            <w:szCs w:val="22"/>
            <w:lang w:eastAsia="en-US"/>
          </w:rPr>
          <m:t>K=2</m:t>
        </m:r>
      </m:oMath>
      <w:r w:rsidRPr="003C43FE">
        <w:rPr>
          <w:rFonts w:ascii="Arial" w:eastAsia="Malgun Gothic" w:hAnsi="Arial" w:cs="Arial"/>
          <w:sz w:val="22"/>
          <w:szCs w:val="22"/>
          <w:lang w:eastAsia="en-US"/>
        </w:rPr>
        <w:t xml:space="preserve"> (</w:t>
      </w:r>
      <w:r w:rsidRPr="003C43FE">
        <w:rPr>
          <w:rFonts w:ascii="Arial" w:eastAsia="Malgun Gothic" w:hAnsi="Arial" w:cs="Arial"/>
          <w:b/>
          <w:sz w:val="22"/>
          <w:szCs w:val="22"/>
          <w:lang w:eastAsia="en-US"/>
        </w:rPr>
        <w:t>Fig. 4C</w:t>
      </w:r>
      <w:r w:rsidRPr="003C43FE">
        <w:rPr>
          <w:rFonts w:ascii="Arial" w:eastAsia="Malgun Gothic" w:hAnsi="Arial" w:cs="Arial"/>
          <w:sz w:val="22"/>
          <w:szCs w:val="22"/>
          <w:lang w:eastAsia="en-US"/>
        </w:rPr>
        <w:t xml:space="preserve">), the Bayesian SBM nicely separates out the genes belonging to the Metabolic pathways (red; related to glucose/NADH/ hexose/monosaccharide metabolic processes and glycolysis/gluconeogenesis and HIF-1 signaling pathways) from those belonging to Cell cycle (green; related to regulation of cell cycle, p53 and FoxO signaling pathways). When we increased </w:t>
      </w:r>
      <m:oMath>
        <m:r>
          <m:rPr>
            <m:sty m:val="p"/>
          </m:rPr>
          <w:rPr>
            <w:rFonts w:ascii="Cambria Math" w:eastAsia="Malgun Gothic" w:hAnsi="Cambria Math" w:cs="Arial"/>
            <w:sz w:val="22"/>
            <w:szCs w:val="22"/>
            <w:lang w:eastAsia="en-US"/>
          </w:rPr>
          <m:t>K=4</m:t>
        </m:r>
      </m:oMath>
      <w:r w:rsidRPr="003C43FE">
        <w:rPr>
          <w:rFonts w:ascii="Arial" w:eastAsia="Malgun Gothic" w:hAnsi="Arial" w:cs="Arial"/>
          <w:sz w:val="22"/>
          <w:szCs w:val="22"/>
          <w:lang w:eastAsia="en-US"/>
        </w:rPr>
        <w:t xml:space="preserve"> (</w:t>
      </w:r>
      <w:r w:rsidRPr="003C43FE">
        <w:rPr>
          <w:rFonts w:ascii="Arial" w:eastAsia="Malgun Gothic" w:hAnsi="Arial" w:cs="Arial"/>
          <w:b/>
          <w:sz w:val="22"/>
          <w:szCs w:val="22"/>
          <w:lang w:eastAsia="en-US"/>
        </w:rPr>
        <w:t>Fig. 4D</w:t>
      </w:r>
      <w:r w:rsidRPr="003C43FE">
        <w:rPr>
          <w:rFonts w:ascii="Arial" w:eastAsia="Malgun Gothic" w:hAnsi="Arial" w:cs="Arial"/>
          <w:sz w:val="22"/>
          <w:szCs w:val="22"/>
          <w:lang w:eastAsia="en-US"/>
        </w:rPr>
        <w:t xml:space="preserve">), the Bayesian SBM identifies the hub genes belonging to Cell cycle (dark blue: </w:t>
      </w:r>
      <w:r w:rsidRPr="003C43FE">
        <w:rPr>
          <w:rFonts w:ascii="Arial" w:eastAsia="Malgun Gothic" w:hAnsi="Arial" w:cs="Arial"/>
          <w:i/>
          <w:sz w:val="22"/>
          <w:szCs w:val="22"/>
          <w:lang w:eastAsia="en-US"/>
        </w:rPr>
        <w:t>CDK1</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CDK4</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CDKN1A</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GADD45A</w:t>
      </w:r>
      <w:r w:rsidRPr="003C43FE">
        <w:rPr>
          <w:rFonts w:ascii="Arial" w:eastAsia="Malgun Gothic" w:hAnsi="Arial" w:cs="Arial"/>
          <w:sz w:val="22"/>
          <w:szCs w:val="22"/>
          <w:lang w:eastAsia="en-US"/>
        </w:rPr>
        <w:t xml:space="preserve">, </w:t>
      </w:r>
      <w:r w:rsidRPr="003C43FE">
        <w:rPr>
          <w:rFonts w:ascii="Arial" w:eastAsia="Malgun Gothic" w:hAnsi="Arial" w:cs="Arial"/>
          <w:i/>
          <w:sz w:val="22"/>
          <w:szCs w:val="22"/>
          <w:lang w:eastAsia="en-US"/>
        </w:rPr>
        <w:t>PCNA</w:t>
      </w:r>
      <w:r w:rsidRPr="003C43FE">
        <w:rPr>
          <w:rFonts w:ascii="Arial" w:eastAsia="Malgun Gothic" w:hAnsi="Arial" w:cs="Arial"/>
          <w:sz w:val="22"/>
          <w:szCs w:val="22"/>
          <w:lang w:eastAsia="en-US"/>
        </w:rPr>
        <w:t>) while each of genes belonging to Metabolic pathways (red</w:t>
      </w:r>
      <w:r>
        <w:rPr>
          <w:rFonts w:ascii="Arial" w:eastAsia="Malgun Gothic" w:hAnsi="Arial" w:cs="Arial"/>
          <w:sz w:val="22"/>
          <w:szCs w:val="22"/>
          <w:lang w:eastAsia="en-US"/>
        </w:rPr>
        <w:t>;</w:t>
      </w:r>
      <w:r w:rsidRPr="003C43FE">
        <w:rPr>
          <w:rFonts w:ascii="Arial" w:eastAsia="Malgun Gothic" w:hAnsi="Arial" w:cs="Arial"/>
          <w:sz w:val="22"/>
          <w:szCs w:val="22"/>
          <w:lang w:eastAsia="en-US"/>
        </w:rPr>
        <w:t xml:space="preserve"> related to glycolysis/gluconeogenesis and HIF-1 signaling pathways), non-hub genes belonging to Cell cycle (green</w:t>
      </w:r>
      <w:r>
        <w:rPr>
          <w:rFonts w:ascii="Arial" w:eastAsia="Malgun Gothic" w:hAnsi="Arial" w:cs="Arial"/>
          <w:sz w:val="22"/>
          <w:szCs w:val="22"/>
          <w:lang w:eastAsia="en-US"/>
        </w:rPr>
        <w:t>;</w:t>
      </w:r>
      <w:r w:rsidRPr="003C43FE">
        <w:rPr>
          <w:rFonts w:ascii="Arial" w:eastAsia="Malgun Gothic" w:hAnsi="Arial" w:cs="Arial"/>
          <w:sz w:val="22"/>
          <w:szCs w:val="22"/>
          <w:lang w:eastAsia="en-US"/>
        </w:rPr>
        <w:t xml:space="preserve"> related to regulation of cell cycle, p53 and FoxO signaling pathways), and outlying genes (light blue</w:t>
      </w:r>
      <w:r>
        <w:rPr>
          <w:rFonts w:ascii="Arial" w:eastAsia="Malgun Gothic" w:hAnsi="Arial" w:cs="Arial"/>
          <w:sz w:val="22"/>
          <w:szCs w:val="22"/>
          <w:lang w:eastAsia="en-US"/>
        </w:rPr>
        <w:t>;</w:t>
      </w:r>
      <w:r w:rsidRPr="003C43FE">
        <w:rPr>
          <w:rFonts w:ascii="Arial" w:eastAsia="Malgun Gothic" w:hAnsi="Arial" w:cs="Arial"/>
          <w:sz w:val="22"/>
          <w:szCs w:val="22"/>
          <w:lang w:eastAsia="en-US"/>
        </w:rPr>
        <w:t xml:space="preserve"> related to metabolic processes) make a separate group. The hub genes belonging to Cell cycle includes fundamental cell cycle and nucleotide</w:t>
      </w:r>
      <w:r>
        <w:rPr>
          <w:rFonts w:ascii="Arial" w:eastAsia="Malgun Gothic" w:hAnsi="Arial" w:cs="Arial"/>
          <w:sz w:val="22"/>
          <w:szCs w:val="22"/>
          <w:lang w:eastAsia="en-US"/>
        </w:rPr>
        <w:t xml:space="preserve"> excision repair regulators: 1)</w:t>
      </w:r>
      <w:r w:rsidRPr="003C43FE">
        <w:rPr>
          <w:rFonts w:ascii="Arial" w:eastAsia="Malgun Gothic" w:hAnsi="Arial" w:cs="Arial"/>
          <w:sz w:val="22"/>
          <w:szCs w:val="22"/>
          <w:lang w:eastAsia="en-US"/>
        </w:rPr>
        <w:t xml:space="preserve"> </w:t>
      </w:r>
      <w:r w:rsidRPr="003C43FE">
        <w:rPr>
          <w:rFonts w:ascii="Arial" w:eastAsia="Malgun Gothic" w:hAnsi="Arial" w:cs="Arial"/>
          <w:bCs/>
          <w:sz w:val="22"/>
          <w:szCs w:val="22"/>
          <w:lang w:eastAsia="en-US"/>
        </w:rPr>
        <w:t>cyclin-dependent kinases</w:t>
      </w:r>
      <w:r w:rsidRPr="003C43FE">
        <w:rPr>
          <w:rFonts w:ascii="Arial" w:eastAsia="Malgun Gothic" w:hAnsi="Arial" w:cs="Arial"/>
          <w:sz w:val="22"/>
          <w:szCs w:val="22"/>
          <w:lang w:eastAsia="en-US"/>
        </w:rPr>
        <w:t> (</w:t>
      </w:r>
      <w:r w:rsidRPr="003C43FE">
        <w:rPr>
          <w:rFonts w:ascii="Arial" w:eastAsia="Malgun Gothic" w:hAnsi="Arial" w:cs="Arial"/>
          <w:bCs/>
          <w:sz w:val="22"/>
          <w:szCs w:val="22"/>
          <w:lang w:eastAsia="en-US"/>
        </w:rPr>
        <w:t>CDKs</w:t>
      </w:r>
      <w:r w:rsidRPr="003C43FE">
        <w:rPr>
          <w:rFonts w:ascii="Arial" w:eastAsia="Malgun Gothic" w:hAnsi="Arial" w:cs="Arial"/>
          <w:sz w:val="22"/>
          <w:szCs w:val="22"/>
          <w:lang w:eastAsia="en-US"/>
        </w:rPr>
        <w:t>) are a family of </w:t>
      </w:r>
      <w:hyperlink r:id="rId8" w:tooltip="Sugar" w:history="1">
        <w:r w:rsidRPr="003C43FE">
          <w:rPr>
            <w:rStyle w:val="Hyperlink"/>
            <w:rFonts w:ascii="Arial" w:eastAsia="Malgun Gothic" w:hAnsi="Arial" w:cs="Arial"/>
            <w:sz w:val="22"/>
            <w:szCs w:val="22"/>
            <w:lang w:eastAsia="en-US"/>
          </w:rPr>
          <w:t>sugar</w:t>
        </w:r>
      </w:hyperlink>
      <w:r w:rsidRPr="003C43FE">
        <w:rPr>
          <w:rFonts w:ascii="Arial" w:eastAsia="Malgun Gothic" w:hAnsi="Arial" w:cs="Arial"/>
          <w:sz w:val="22"/>
          <w:szCs w:val="22"/>
          <w:lang w:eastAsia="en-US"/>
        </w:rPr>
        <w:t> </w:t>
      </w:r>
      <w:hyperlink r:id="rId9" w:tooltip="Kinases" w:history="1">
        <w:r w:rsidRPr="003C43FE">
          <w:rPr>
            <w:rStyle w:val="Hyperlink"/>
            <w:rFonts w:ascii="Arial" w:eastAsia="Malgun Gothic" w:hAnsi="Arial" w:cs="Arial"/>
            <w:sz w:val="22"/>
            <w:szCs w:val="22"/>
            <w:lang w:eastAsia="en-US"/>
          </w:rPr>
          <w:t>kinases</w:t>
        </w:r>
      </w:hyperlink>
      <w:r w:rsidRPr="003C43FE">
        <w:rPr>
          <w:rFonts w:ascii="Arial" w:eastAsia="Malgun Gothic" w:hAnsi="Arial" w:cs="Arial"/>
          <w:sz w:val="22"/>
          <w:szCs w:val="22"/>
          <w:lang w:eastAsia="en-US"/>
        </w:rPr>
        <w:t> well-known for their regulatory role in the </w:t>
      </w:r>
      <w:hyperlink r:id="rId10" w:tooltip="Cell cycle" w:history="1">
        <w:r w:rsidRPr="003C43FE">
          <w:rPr>
            <w:rStyle w:val="Hyperlink"/>
            <w:rFonts w:ascii="Arial" w:eastAsia="Malgun Gothic" w:hAnsi="Arial" w:cs="Arial"/>
            <w:sz w:val="22"/>
            <w:szCs w:val="22"/>
            <w:lang w:eastAsia="en-US"/>
          </w:rPr>
          <w:t>cell cycle</w:t>
        </w:r>
      </w:hyperlink>
      <w:r w:rsidRPr="003C43FE">
        <w:rPr>
          <w:rFonts w:ascii="Arial" w:eastAsia="Malgun Gothic" w:hAnsi="Arial" w:cs="Arial"/>
          <w:sz w:val="22"/>
          <w:szCs w:val="22"/>
          <w:lang w:eastAsia="en-US"/>
        </w:rPr>
        <w:t xml:space="preserve"> </w:t>
      </w:r>
      <w:r w:rsidRPr="003C43FE">
        <w:rPr>
          <w:rFonts w:ascii="Arial" w:eastAsia="Malgun Gothic" w:hAnsi="Arial" w:cs="Arial"/>
          <w:sz w:val="22"/>
          <w:szCs w:val="22"/>
          <w:lang w:eastAsia="en-US"/>
        </w:rPr>
        <w:fldChar w:fldCharType="begin"/>
      </w:r>
      <w:r>
        <w:rPr>
          <w:rFonts w:ascii="Arial" w:eastAsia="Malgun Gothic" w:hAnsi="Arial" w:cs="Arial"/>
          <w:sz w:val="22"/>
          <w:szCs w:val="22"/>
          <w:lang w:eastAsia="en-US"/>
        </w:rPr>
        <w:instrText xml:space="preserve"> ADDIN EN.CITE &lt;EndNote&gt;&lt;Cite&gt;&lt;Author&gt;Graña&lt;/Author&gt;&lt;Year&gt;1995&lt;/Year&gt;&lt;RecNum&gt;68&lt;/RecNum&gt;&lt;DisplayText&gt;(42)&lt;/DisplayText&gt;&lt;record&gt;&lt;rec-number&gt;68&lt;/rec-number&gt;&lt;foreign-keys&gt;&lt;key app="EN" db-id="2fdv2aet75rtdqew2ad50ff8vzrxpefptw9x" timestamp="1527700511"&gt;68&lt;/key&gt;&lt;/foreign-keys&gt;&lt;ref-type name="Journal Article"&gt;17&lt;/ref-type&gt;&lt;contributors&gt;&lt;authors&gt;&lt;author&gt;Graña, Xavier&lt;/author&gt;&lt;author&gt;Reddy, E Premkumar&lt;/author&gt;&lt;/authors&gt;&lt;/contributors&gt;&lt;titles&gt;&lt;title&gt;Cell cycle control in mammalian cells: role of cyclins, cyclin dependent kinases (CDKs), growth suppressor genes and cyclin-dependent kinase inhibitors (CKIs)&lt;/title&gt;&lt;secondary-title&gt;Oncogene&lt;/secondary-title&gt;&lt;/titles&gt;&lt;periodical&gt;&lt;full-title&gt;Oncogene&lt;/full-title&gt;&lt;/periodical&gt;&lt;pages&gt;211-220&lt;/pages&gt;&lt;volume&gt;11&lt;/volume&gt;&lt;number&gt;2&lt;/number&gt;&lt;dates&gt;&lt;year&gt;1995&lt;/year&gt;&lt;/dates&gt;&lt;isbn&gt;0950-9232&lt;/isbn&gt;&lt;urls&gt;&lt;/urls&gt;&lt;/record&gt;&lt;/Cite&gt;&lt;/EndNote&gt;</w:instrText>
      </w:r>
      <w:r w:rsidRPr="003C43FE">
        <w:rPr>
          <w:rFonts w:ascii="Arial" w:eastAsia="Malgun Gothic" w:hAnsi="Arial" w:cs="Arial"/>
          <w:sz w:val="22"/>
          <w:szCs w:val="22"/>
          <w:lang w:eastAsia="en-US"/>
        </w:rPr>
        <w:fldChar w:fldCharType="separate"/>
      </w:r>
      <w:r>
        <w:rPr>
          <w:rFonts w:ascii="Arial" w:eastAsia="Malgun Gothic" w:hAnsi="Arial" w:cs="Arial"/>
          <w:noProof/>
          <w:sz w:val="22"/>
          <w:szCs w:val="22"/>
          <w:lang w:eastAsia="en-US"/>
        </w:rPr>
        <w:t>(42)</w:t>
      </w:r>
      <w:r w:rsidRPr="003C43FE">
        <w:rPr>
          <w:rFonts w:ascii="Arial" w:eastAsia="Malgun Gothic" w:hAnsi="Arial" w:cs="Arial"/>
          <w:sz w:val="22"/>
          <w:szCs w:val="22"/>
          <w:lang w:eastAsia="en-US"/>
        </w:rPr>
        <w:fldChar w:fldCharType="end"/>
      </w:r>
      <w:r>
        <w:rPr>
          <w:rFonts w:ascii="Arial" w:eastAsia="Malgun Gothic" w:hAnsi="Arial" w:cs="Arial"/>
          <w:sz w:val="22"/>
          <w:szCs w:val="22"/>
          <w:lang w:eastAsia="en-US"/>
        </w:rPr>
        <w:t>;</w:t>
      </w:r>
      <w:r w:rsidRPr="003C43FE">
        <w:rPr>
          <w:rFonts w:ascii="Arial" w:hAnsi="Arial" w:cs="Arial"/>
          <w:sz w:val="21"/>
          <w:szCs w:val="21"/>
          <w:shd w:val="clear" w:color="auto" w:fill="FFFFFF"/>
        </w:rPr>
        <w:t xml:space="preserve"> </w:t>
      </w:r>
      <w:r>
        <w:rPr>
          <w:rFonts w:ascii="Arial" w:hAnsi="Arial" w:cs="Arial"/>
          <w:sz w:val="21"/>
          <w:szCs w:val="21"/>
          <w:shd w:val="clear" w:color="auto" w:fill="FFFFFF"/>
        </w:rPr>
        <w:t>2)</w:t>
      </w:r>
      <w:r w:rsidRPr="003C43FE">
        <w:rPr>
          <w:rFonts w:ascii="Arial" w:hAnsi="Arial" w:cs="Arial"/>
          <w:sz w:val="21"/>
          <w:szCs w:val="21"/>
          <w:shd w:val="clear" w:color="auto" w:fill="FFFFFF"/>
        </w:rPr>
        <w:t xml:space="preserve"> cyclin dependent kinase inhibitor 1A (CDKN1A) inhibits the activity of CDK2 and CDK4 complexes, and thus functions as a regulator of cell cycle progression at G1 </w:t>
      </w:r>
      <w:r w:rsidRPr="003C43FE">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ADDIN EN.CITE &lt;EndNote&gt;&lt;Cite&gt;&lt;Author&gt;Weinberg&lt;/Author&gt;&lt;Year&gt;2002&lt;/Year&gt;&lt;RecNum&gt;69&lt;/RecNum&gt;&lt;DisplayText&gt;(43)&lt;/DisplayText&gt;&lt;record&gt;&lt;rec-number&gt;69&lt;/rec-number&gt;&lt;foreign-keys&gt;&lt;key app="EN" db-id="2fdv2aet75rtdqew2ad50ff8vzrxpefptw9x" timestamp="1527701518"&gt;69&lt;/key&gt;&lt;/foreign-keys&gt;&lt;ref-type name="Journal Article"&gt;17&lt;/ref-type&gt;&lt;contributors&gt;&lt;authors&gt;&lt;author&gt;Weinberg, Wendy C&lt;/author&gt;&lt;author&gt;Denning, Mitchell F&lt;/author&gt;&lt;/authors&gt;&lt;/contributors&gt;&lt;titles&gt;&lt;title&gt;P21Waf1 control of epithelial cell cycle and cell fate&lt;/title&gt;&lt;secondary-title&gt;Critical Reviews in Oral Biology &amp;amp; Medicine&lt;/secondary-title&gt;&lt;/titles&gt;&lt;periodical&gt;&lt;full-title&gt;Critical Reviews in Oral Biology &amp;amp; Medicine&lt;/full-title&gt;&lt;/periodical&gt;&lt;pages&gt;453-464&lt;/pages&gt;&lt;volume&gt;13&lt;/volume&gt;&lt;number&gt;6&lt;/number&gt;&lt;dates&gt;&lt;year&gt;2002&lt;/year&gt;&lt;/dates&gt;&lt;isbn&gt;1045-4411&lt;/isbn&gt;&lt;urls&gt;&lt;/urls&gt;&lt;/record&gt;&lt;/Cite&gt;&lt;/EndNote&gt;</w:instrText>
      </w:r>
      <w:r w:rsidRPr="003C43FE">
        <w:rPr>
          <w:rFonts w:ascii="Arial" w:hAnsi="Arial" w:cs="Arial"/>
          <w:sz w:val="21"/>
          <w:szCs w:val="21"/>
          <w:shd w:val="clear" w:color="auto" w:fill="FFFFFF"/>
        </w:rPr>
        <w:fldChar w:fldCharType="separate"/>
      </w:r>
      <w:r>
        <w:rPr>
          <w:rFonts w:ascii="Arial" w:hAnsi="Arial" w:cs="Arial"/>
          <w:noProof/>
          <w:sz w:val="21"/>
          <w:szCs w:val="21"/>
          <w:shd w:val="clear" w:color="auto" w:fill="FFFFFF"/>
        </w:rPr>
        <w:t>(43)</w:t>
      </w:r>
      <w:r w:rsidRPr="003C43FE">
        <w:rPr>
          <w:rFonts w:ascii="Arial" w:hAnsi="Arial" w:cs="Arial"/>
          <w:sz w:val="21"/>
          <w:szCs w:val="21"/>
          <w:shd w:val="clear" w:color="auto" w:fill="FFFFFF"/>
        </w:rPr>
        <w:fldChar w:fldCharType="end"/>
      </w:r>
      <w:r>
        <w:rPr>
          <w:rFonts w:ascii="Arial" w:hAnsi="Arial" w:cs="Arial"/>
          <w:sz w:val="21"/>
          <w:szCs w:val="21"/>
          <w:shd w:val="clear" w:color="auto" w:fill="FFFFFF"/>
        </w:rPr>
        <w:t>;</w:t>
      </w:r>
      <w:r w:rsidRPr="003C43FE">
        <w:rPr>
          <w:rFonts w:ascii="Arial" w:hAnsi="Arial" w:cs="Arial"/>
          <w:sz w:val="21"/>
          <w:szCs w:val="21"/>
          <w:shd w:val="clear" w:color="auto" w:fill="FFFFFF"/>
        </w:rPr>
        <w:t xml:space="preserve"> </w:t>
      </w:r>
      <w:r>
        <w:rPr>
          <w:rFonts w:ascii="Arial" w:hAnsi="Arial" w:cs="Arial"/>
          <w:sz w:val="21"/>
          <w:szCs w:val="21"/>
          <w:shd w:val="clear" w:color="auto" w:fill="FFFFFF"/>
        </w:rPr>
        <w:t>3)</w:t>
      </w:r>
      <w:r w:rsidRPr="003C43FE">
        <w:rPr>
          <w:rFonts w:ascii="Arial" w:hAnsi="Arial" w:cs="Arial"/>
          <w:sz w:val="21"/>
          <w:szCs w:val="21"/>
          <w:shd w:val="clear" w:color="auto" w:fill="FFFFFF"/>
        </w:rPr>
        <w:t xml:space="preserve"> growth arrest- and DNA damage-inducible 45a (GADD45a) encodes a predominantly nuclear protein that influences G2/M cell cycle progression, access to DNA on damaged chromatin, genomic stability, nucleotide excision repair, apoptosis, and signaling through the mitogen-activated protein (MAP) kinases p38 and c-Jun N-terminal kinase (JNK) </w:t>
      </w:r>
      <w:r w:rsidRPr="003C43FE">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ADDIN EN.CITE &lt;EndNote&gt;&lt;Cite&gt;&lt;Author&gt;Lal&lt;/Author&gt;&lt;Year&gt;2006&lt;/Year&gt;&lt;RecNum&gt;67&lt;/RecNum&gt;&lt;DisplayText&gt;(44)&lt;/DisplayText&gt;&lt;record&gt;&lt;rec-number&gt;67&lt;/rec-number&gt;&lt;foreign-keys&gt;&lt;key app="EN" db-id="2fdv2aet75rtdqew2ad50ff8vzrxpefptw9x" timestamp="1527700281"&gt;67&lt;/key&gt;&lt;/foreign-keys&gt;&lt;ref-type name="Journal Article"&gt;17&lt;/ref-type&gt;&lt;contributors&gt;&lt;authors&gt;&lt;author&gt;Lal, Ashish&lt;/author&gt;&lt;author&gt;Gorospe, Myriam&lt;/author&gt;&lt;/authors&gt;&lt;/contributors&gt;&lt;titles&gt;&lt;title&gt;Egad, More Forms of Gene Regulation: The gadd45a Story&lt;/title&gt;&lt;secondary-title&gt;Cell Cycle&lt;/secondary-title&gt;&lt;/titles&gt;&lt;periodical&gt;&lt;full-title&gt;Cell Cycle&lt;/full-title&gt;&lt;/periodical&gt;&lt;pages&gt;1422-1425&lt;/pages&gt;&lt;volume&gt;5&lt;/volume&gt;&lt;number&gt;13&lt;/number&gt;&lt;dates&gt;&lt;year&gt;2006&lt;/year&gt;&lt;pub-dates&gt;&lt;date&gt;2006/07/01&lt;/date&gt;&lt;/pub-dates&gt;&lt;/dates&gt;&lt;publisher&gt;Taylor &amp;amp; Francis&lt;/publisher&gt;&lt;isbn&gt;1538-4101&lt;/isbn&gt;&lt;urls&gt;&lt;related-urls&gt;&lt;url&gt;https://doi.org/10.4161/cc.5.13.2902&lt;/url&gt;&lt;/related-urls&gt;&lt;/urls&gt;&lt;electronic-resource-num&gt;10.4161/cc.5.13.2902&lt;/electronic-resource-num&gt;&lt;/record&gt;&lt;/Cite&gt;&lt;/EndNote&gt;</w:instrText>
      </w:r>
      <w:r w:rsidRPr="003C43FE">
        <w:rPr>
          <w:rFonts w:ascii="Arial" w:hAnsi="Arial" w:cs="Arial"/>
          <w:sz w:val="21"/>
          <w:szCs w:val="21"/>
          <w:shd w:val="clear" w:color="auto" w:fill="FFFFFF"/>
        </w:rPr>
        <w:fldChar w:fldCharType="separate"/>
      </w:r>
      <w:r>
        <w:rPr>
          <w:rFonts w:ascii="Arial" w:hAnsi="Arial" w:cs="Arial"/>
          <w:noProof/>
          <w:sz w:val="21"/>
          <w:szCs w:val="21"/>
          <w:shd w:val="clear" w:color="auto" w:fill="FFFFFF"/>
        </w:rPr>
        <w:t>(44)</w:t>
      </w:r>
      <w:r w:rsidRPr="003C43FE">
        <w:rPr>
          <w:rFonts w:ascii="Arial" w:hAnsi="Arial" w:cs="Arial"/>
          <w:sz w:val="21"/>
          <w:szCs w:val="21"/>
          <w:shd w:val="clear" w:color="auto" w:fill="FFFFFF"/>
        </w:rPr>
        <w:fldChar w:fldCharType="end"/>
      </w:r>
      <w:r>
        <w:rPr>
          <w:rFonts w:ascii="Arial" w:hAnsi="Arial" w:cs="Arial"/>
          <w:sz w:val="21"/>
          <w:szCs w:val="21"/>
          <w:shd w:val="clear" w:color="auto" w:fill="FFFFFF"/>
        </w:rPr>
        <w:t>;</w:t>
      </w:r>
      <w:r w:rsidRPr="003C43FE">
        <w:rPr>
          <w:rFonts w:ascii="Arial" w:hAnsi="Arial" w:cs="Arial"/>
          <w:sz w:val="21"/>
          <w:szCs w:val="21"/>
          <w:shd w:val="clear" w:color="auto" w:fill="FFFFFF"/>
        </w:rPr>
        <w:t xml:space="preserve"> </w:t>
      </w:r>
      <w:r>
        <w:rPr>
          <w:rFonts w:ascii="Arial" w:hAnsi="Arial" w:cs="Arial"/>
          <w:sz w:val="21"/>
          <w:szCs w:val="21"/>
          <w:shd w:val="clear" w:color="auto" w:fill="FFFFFF"/>
        </w:rPr>
        <w:t>4)</w:t>
      </w:r>
      <w:r w:rsidRPr="003C43FE">
        <w:rPr>
          <w:rFonts w:ascii="Arial" w:hAnsi="Arial" w:cs="Arial"/>
          <w:sz w:val="21"/>
          <w:szCs w:val="21"/>
          <w:shd w:val="clear" w:color="auto" w:fill="FFFFFF"/>
        </w:rPr>
        <w:t xml:space="preserve"> </w:t>
      </w:r>
      <w:r w:rsidRPr="003C43FE">
        <w:rPr>
          <w:rFonts w:ascii="Arial" w:hAnsi="Arial" w:cs="Arial"/>
          <w:bCs/>
          <w:sz w:val="21"/>
          <w:szCs w:val="21"/>
          <w:shd w:val="clear" w:color="auto" w:fill="FFFFFF"/>
        </w:rPr>
        <w:t>proliferating cell nuclear antigen</w:t>
      </w:r>
      <w:r w:rsidRPr="003C43FE">
        <w:rPr>
          <w:rFonts w:ascii="Arial" w:hAnsi="Arial" w:cs="Arial"/>
          <w:sz w:val="21"/>
          <w:szCs w:val="21"/>
          <w:shd w:val="clear" w:color="auto" w:fill="FFFFFF"/>
        </w:rPr>
        <w:t> (</w:t>
      </w:r>
      <w:r w:rsidRPr="003C43FE">
        <w:rPr>
          <w:rFonts w:ascii="Arial" w:hAnsi="Arial" w:cs="Arial"/>
          <w:bCs/>
          <w:sz w:val="21"/>
          <w:szCs w:val="21"/>
          <w:shd w:val="clear" w:color="auto" w:fill="FFFFFF"/>
        </w:rPr>
        <w:t>PCNA</w:t>
      </w:r>
      <w:r w:rsidRPr="003C43FE">
        <w:rPr>
          <w:rFonts w:ascii="Arial" w:hAnsi="Arial" w:cs="Arial"/>
          <w:sz w:val="21"/>
          <w:szCs w:val="21"/>
          <w:shd w:val="clear" w:color="auto" w:fill="FFFFFF"/>
        </w:rPr>
        <w:t xml:space="preserve">) is found in the nucleus and is a cofactor of DNA polymerase delta that acts as a homotrimer and helps increase the processivity of leading strand synthesis during DNA replication </w:t>
      </w:r>
      <w:r w:rsidRPr="003C43FE">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ADDIN EN.CITE &lt;EndNote&gt;&lt;Cite&gt;&lt;Author&gt;McNally&lt;/Author&gt;&lt;Year&gt;2010&lt;/Year&gt;&lt;RecNum&gt;70&lt;/RecNum&gt;&lt;DisplayText&gt;(45)&lt;/DisplayText&gt;&lt;record&gt;&lt;rec-number&gt;70&lt;/rec-number&gt;&lt;foreign-keys&gt;&lt;key app="EN" db-id="2fdv2aet75rtdqew2ad50ff8vzrxpefptw9x" timestamp="1527702097"&gt;70&lt;/key&gt;&lt;/foreign-keys&gt;&lt;ref-type name="Journal Article"&gt;17&lt;/ref-type&gt;&lt;contributors&gt;&lt;authors&gt;&lt;author&gt;McNally, Randall&lt;/author&gt;&lt;author&gt;Bowman, Gregory D&lt;/author&gt;&lt;author&gt;Goedken, Eric R&lt;/author&gt;&lt;author&gt;O&amp;apos;Donnell, Mike&lt;/author&gt;&lt;author&gt;Kuriyan, John&lt;/author&gt;&lt;/authors&gt;&lt;/contributors&gt;&lt;titles&gt;&lt;title&gt;Analysis of the role of PCNA-DNA contacts during clamp loading&lt;/title&gt;&lt;secondary-title&gt;BMC structural biology&lt;/secondary-title&gt;&lt;/titles&gt;&lt;periodical&gt;&lt;full-title&gt;BMC structural biology&lt;/full-title&gt;&lt;/periodical&gt;&lt;pages&gt;3&lt;/pages&gt;&lt;volume&gt;10&lt;/volume&gt;&lt;number&gt;1&lt;/number&gt;&lt;dates&gt;&lt;year&gt;2010&lt;/year&gt;&lt;/dates&gt;&lt;isbn&gt;1472-6807&lt;/isbn&gt;&lt;urls&gt;&lt;/urls&gt;&lt;/record&gt;&lt;/Cite&gt;&lt;/EndNote&gt;</w:instrText>
      </w:r>
      <w:r w:rsidRPr="003C43FE">
        <w:rPr>
          <w:rFonts w:ascii="Arial" w:hAnsi="Arial" w:cs="Arial"/>
          <w:sz w:val="21"/>
          <w:szCs w:val="21"/>
          <w:shd w:val="clear" w:color="auto" w:fill="FFFFFF"/>
        </w:rPr>
        <w:fldChar w:fldCharType="separate"/>
      </w:r>
      <w:r>
        <w:rPr>
          <w:rFonts w:ascii="Arial" w:hAnsi="Arial" w:cs="Arial"/>
          <w:noProof/>
          <w:sz w:val="21"/>
          <w:szCs w:val="21"/>
          <w:shd w:val="clear" w:color="auto" w:fill="FFFFFF"/>
        </w:rPr>
        <w:t>(45)</w:t>
      </w:r>
      <w:r w:rsidRPr="003C43FE">
        <w:rPr>
          <w:rFonts w:ascii="Arial" w:hAnsi="Arial" w:cs="Arial"/>
          <w:sz w:val="21"/>
          <w:szCs w:val="21"/>
          <w:shd w:val="clear" w:color="auto" w:fill="FFFFFF"/>
        </w:rPr>
        <w:fldChar w:fldCharType="end"/>
      </w:r>
      <w:r w:rsidRPr="003C43FE">
        <w:rPr>
          <w:rFonts w:ascii="Arial" w:hAnsi="Arial" w:cs="Arial"/>
          <w:sz w:val="21"/>
          <w:szCs w:val="21"/>
          <w:shd w:val="clear" w:color="auto" w:fill="FFFFFF"/>
        </w:rPr>
        <w:t xml:space="preserve">. Interestingly, </w:t>
      </w:r>
      <w:r w:rsidRPr="003C43FE">
        <w:rPr>
          <w:rFonts w:ascii="Arial" w:hAnsi="Arial" w:cs="Arial"/>
          <w:bCs/>
          <w:sz w:val="21"/>
          <w:szCs w:val="21"/>
          <w:shd w:val="clear" w:color="auto" w:fill="FFFFFF"/>
        </w:rPr>
        <w:t xml:space="preserve">PCNA-CDKN1A and PCNA-GADD45A interactions are essential for nucleotide excision repair </w:t>
      </w:r>
      <w:r w:rsidRPr="003C43FE">
        <w:rPr>
          <w:rFonts w:ascii="Arial" w:hAnsi="Arial" w:cs="Arial"/>
          <w:bCs/>
          <w:sz w:val="21"/>
          <w:szCs w:val="21"/>
          <w:shd w:val="clear" w:color="auto" w:fill="FFFFFF"/>
        </w:rPr>
        <w:fldChar w:fldCharType="begin">
          <w:fldData xml:space="preserve">PEVuZE5vdGU+PENpdGU+PEF1dGhvcj5DYXp6YWxpbmk8L0F1dGhvcj48WWVhcj4yMDA4PC9ZZWFy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</w:fldData>
        </w:fldChar>
      </w:r>
      <w:r>
        <w:rPr>
          <w:rFonts w:ascii="Arial" w:hAnsi="Arial" w:cs="Arial"/>
          <w:bCs/>
          <w:sz w:val="21"/>
          <w:szCs w:val="21"/>
          <w:shd w:val="clear" w:color="auto" w:fill="FFFFFF"/>
        </w:rPr>
        <w:instrText xml:space="preserve"> ADDIN EN.CITE </w:instrText>
      </w:r>
      <w:r>
        <w:rPr>
          <w:rFonts w:ascii="Arial" w:hAnsi="Arial" w:cs="Arial"/>
          <w:bCs/>
          <w:sz w:val="21"/>
          <w:szCs w:val="21"/>
          <w:shd w:val="clear" w:color="auto" w:fill="FFFFFF"/>
        </w:rPr>
        <w:fldChar w:fldCharType="begin">
          <w:fldData xml:space="preserve">PEVuZE5vdGU+PENpdGU+PEF1dGhvcj5DYXp6YWxpbmk8L0F1dGhvcj48WWVhcj4yMDA4PC9ZZWFy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</w:fldData>
        </w:fldChar>
      </w:r>
      <w:r>
        <w:rPr>
          <w:rFonts w:ascii="Arial" w:hAnsi="Arial" w:cs="Arial"/>
          <w:bCs/>
          <w:sz w:val="21"/>
          <w:szCs w:val="21"/>
          <w:shd w:val="clear" w:color="auto" w:fill="FFFFFF"/>
        </w:rPr>
        <w:instrText xml:space="preserve"> ADDIN EN.CITE.DATA </w:instrText>
      </w:r>
      <w:r>
        <w:rPr>
          <w:rFonts w:ascii="Arial" w:hAnsi="Arial" w:cs="Arial"/>
          <w:bCs/>
          <w:sz w:val="21"/>
          <w:szCs w:val="21"/>
          <w:shd w:val="clear" w:color="auto" w:fill="FFFFFF"/>
        </w:rPr>
      </w:r>
      <w:r>
        <w:rPr>
          <w:rFonts w:ascii="Arial" w:hAnsi="Arial" w:cs="Arial"/>
          <w:bCs/>
          <w:sz w:val="21"/>
          <w:szCs w:val="21"/>
          <w:shd w:val="clear" w:color="auto" w:fill="FFFFFF"/>
        </w:rPr>
        <w:fldChar w:fldCharType="end"/>
      </w:r>
      <w:r w:rsidRPr="003C43FE">
        <w:rPr>
          <w:rFonts w:ascii="Arial" w:hAnsi="Arial" w:cs="Arial"/>
          <w:bCs/>
          <w:sz w:val="21"/>
          <w:szCs w:val="21"/>
          <w:shd w:val="clear" w:color="auto" w:fill="FFFFFF"/>
        </w:rPr>
      </w:r>
      <w:r w:rsidRPr="003C43FE">
        <w:rPr>
          <w:rFonts w:ascii="Arial" w:hAnsi="Arial" w:cs="Arial"/>
          <w:bCs/>
          <w:sz w:val="21"/>
          <w:szCs w:val="21"/>
          <w:shd w:val="clear" w:color="auto" w:fill="FFFFFF"/>
        </w:rPr>
        <w:fldChar w:fldCharType="separate"/>
      </w:r>
      <w:r>
        <w:rPr>
          <w:rFonts w:ascii="Arial" w:hAnsi="Arial" w:cs="Arial"/>
          <w:bCs/>
          <w:noProof/>
          <w:sz w:val="21"/>
          <w:szCs w:val="21"/>
          <w:shd w:val="clear" w:color="auto" w:fill="FFFFFF"/>
        </w:rPr>
        <w:t>(46, 47)</w:t>
      </w:r>
      <w:r w:rsidRPr="003C43FE">
        <w:rPr>
          <w:rFonts w:ascii="Arial" w:hAnsi="Arial" w:cs="Arial"/>
          <w:bCs/>
          <w:sz w:val="21"/>
          <w:szCs w:val="21"/>
          <w:shd w:val="clear" w:color="auto" w:fill="FFFFFF"/>
        </w:rPr>
        <w:fldChar w:fldCharType="end"/>
      </w:r>
      <w:r w:rsidRPr="003C43FE">
        <w:rPr>
          <w:rFonts w:ascii="Arial" w:hAnsi="Arial" w:cs="Arial"/>
          <w:bCs/>
          <w:sz w:val="21"/>
          <w:szCs w:val="21"/>
          <w:shd w:val="clear" w:color="auto" w:fill="FFFFFF"/>
        </w:rPr>
        <w:t xml:space="preserve">. </w:t>
      </w:r>
      <w:r w:rsidRPr="003C43FE">
        <w:rPr>
          <w:rFonts w:ascii="Arial" w:eastAsia="Malgun Gothic" w:hAnsi="Arial" w:cs="Arial"/>
          <w:sz w:val="22"/>
          <w:szCs w:val="22"/>
          <w:lang w:eastAsia="en-US"/>
        </w:rPr>
        <w:t>This result indicates that the Bayesian SBM has the potential to identify MIEs as subnetworks and hub genes within a unified framework.</w:t>
      </w:r>
    </w:p>
    <w:p w:rsidR="00C75216" w:rsidRDefault="00C75216"/>
    <w:sectPr w:rsidR="00C7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848"/>
    <w:rsid w:val="00350848"/>
    <w:rsid w:val="00724096"/>
    <w:rsid w:val="00B84C68"/>
    <w:rsid w:val="00C75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2C4A6-8711-45BB-9576-F0CE95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848"/>
    <w:pPr>
      <w:spacing w:after="40" w:line="240" w:lineRule="auto"/>
      <w:ind w:firstLine="72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848"/>
    <w:rPr>
      <w:color w:val="0000FF"/>
      <w:u w:val="single"/>
    </w:rPr>
  </w:style>
  <w:style w:type="table" w:styleId="TableGrid">
    <w:name w:val="Table Grid"/>
    <w:basedOn w:val="TableNormal"/>
    <w:uiPriority w:val="59"/>
    <w:rsid w:val="00350848"/>
    <w:pPr>
      <w:spacing w:after="0" w:line="240" w:lineRule="auto"/>
      <w:ind w:firstLine="720"/>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ga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Cell_cycle" TargetMode="External"/><Relationship Id="rId4" Type="http://schemas.openxmlformats.org/officeDocument/2006/relationships/image" Target="media/image1.png"/><Relationship Id="rId9" Type="http://schemas.openxmlformats.org/officeDocument/2006/relationships/hyperlink" Target="https://en.wikipedia.org/wiki/Kin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1453</Words>
  <Characters>8283</Characters>
  <Application>Microsoft Office Word</Application>
  <DocSecurity>0</DocSecurity>
  <Lines>69</Lines>
  <Paragraphs>19</Paragraphs>
  <ScaleCrop>false</ScaleCrop>
  <Company>Medical University of South Carolina</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Dongjun Chung</dc:creator>
  <cp:keywords/>
  <dc:description/>
  <cp:lastModifiedBy>Carter Allen</cp:lastModifiedBy>
  <cp:revision>2</cp:revision>
  <dcterms:created xsi:type="dcterms:W3CDTF">2019-03-27T17:01:00Z</dcterms:created>
  <dcterms:modified xsi:type="dcterms:W3CDTF">2019-03-27T17:01:00Z</dcterms:modified>
</cp:coreProperties>
</file>