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Digital Technology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Technology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Solutions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15775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13100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26/03/2020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20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Digital Technology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Digital Solutions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Exam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assignment is to be completed individually 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