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8"/>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9"/>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9"/>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9"/>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5"/>
              </w:numPr>
            </w:pPr>
            <w:r>
              <w:t>An introduction to the topic</w:t>
            </w:r>
          </w:p>
          <w:p w14:paraId="13836A29" w14:textId="07C5953D" w:rsidR="00A65F2C" w:rsidRDefault="00A65F2C" w:rsidP="00A65F2C">
            <w:pPr>
              <w:pStyle w:val="ListParagraph"/>
              <w:numPr>
                <w:ilvl w:val="0"/>
                <w:numId w:val="5"/>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5"/>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5"/>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BC40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58AEC9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5AE9794"/>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AE487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3A1E8B"/>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CC6A8D"/>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03054A3"/>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D3513"/>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752C0"/>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553692720">
    <w:abstractNumId w:val="4"/>
  </w:num>
  <w:num w:numId="5" w16cid:durableId="131291700">
    <w:abstractNumId w:val="4"/>
  </w:num>
  <w:num w:numId="5" w16cid:durableId="418410589">
    <w:abstractNumId w:val="4"/>
  </w:num>
  <w:num w:numId="6" w16cid:durableId="951395428">
    <w:abstractNumId w:val="5"/>
  </w:num>
  <w:num w:numId="7" w16cid:durableId="1350328867">
    <w:abstractNumId w:val="6"/>
  </w:num>
  <w:num w:numId="8" w16cid:durableId="664673521">
    <w:abstractNumId w:val="7"/>
  </w:num>
  <w:num w:numId="9" w16cid:durableId="1330988961">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