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tabs>
          <w:tab w:val="clear" w:pos="720"/>
        </w:tabs>
        <w:spacing w:before="200" w:after="0"/>
        <w:ind w:left="567" w:hanging="0"/>
        <w:rPr/>
      </w:pPr>
      <w:r>
        <w:rPr/>
        <w:t xml:space="preserve">Task 1: Evidence Guide </w:t>
      </w:r>
    </w:p>
    <w:p>
      <w:pPr>
        <w:pStyle w:val="Heading2"/>
        <w:numPr>
          <w:ilvl w:val="1"/>
          <w:numId w:val="1"/>
        </w:numPr>
        <w:tabs>
          <w:tab w:val="clear" w:pos="720"/>
        </w:tabs>
        <w:ind w:left="567" w:hanging="0"/>
        <w:rPr/>
      </w:pPr>
      <w:r>
        <w:rPr/>
        <w:t>Rubric</w:t>
      </w:r>
    </w:p>
    <w:tbl>
      <w:tblPr>
        <w:tblW w:w="1082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692"/>
        <w:gridCol w:w="4283"/>
        <w:gridCol w:w="794"/>
        <w:gridCol w:w="1136"/>
        <w:gridCol w:w="808"/>
        <w:gridCol w:w="851"/>
        <w:gridCol w:w="1263"/>
      </w:tblGrid>
      <w:tr>
        <w:trPr/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POSS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Q1.1 1-1 network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You have submitted evidence of your knowledge to connect two computers together and provide static IP addresses suitable for automated testing. 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Q1.2 Simple switch network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your knowledge of how to provide two computers static IP addresses and utalise a switch with given ports suitable for automated testing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Q1.3 DHCP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a simple network for DHCP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Q1.4 DNS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a simple network for DNS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Q1.5 Email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SMTP/POP3 email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Q1.6 FTP Services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FTP for a simple network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54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Q1.7 VLANS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VLANs on a simple network for autmated testing.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2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Tx1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t>A __ / 4</w:t>
              <w:br/>
              <w:t>T __ / 2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Analysis, Synthesis &amp; Evaluation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A __ / 24</w:t>
            </w:r>
          </w:p>
          <w:p>
            <w:pPr>
              <w:pStyle w:val="Normal"/>
              <w:widowControl w:val="false"/>
              <w:jc w:val="center"/>
              <w:rPr>
                <w:color w:val="auto"/>
              </w:rPr>
            </w:pPr>
            <w:r>
              <w:rPr>
                <w:b/>
                <w:bCs/>
              </w:rPr>
              <w:t>T__ /   14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Q2.1 Routers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routers to construct a bridge that providves insight or command of mastery for automated testing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Q2.2 Two networks one router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two networks over one router that providves insight or command of mastery for automated testing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Q2.3 Routers and DHCP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multiple networks via a router which provides DHCP that providves insight or command of mastery for automated testing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--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__ / 4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Q3.1 Fix Chad’s network</w:t>
            </w:r>
          </w:p>
        </w:tc>
        <w:tc>
          <w:tcPr>
            <w:tcW w:w="42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you have been able to diagnose and repiar a broken network that providves insight or command of mastery for automated testing</w:t>
            </w:r>
          </w:p>
        </w:tc>
        <w:tc>
          <w:tcPr>
            <w:tcW w:w="7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__ / 4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Tx2</w:t>
            </w:r>
          </w:p>
        </w:tc>
        <w:tc>
          <w:tcPr>
            <w:tcW w:w="12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Q3.2 VLAN router DHCP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 have submitted evidence of configuring a network via routers and vlans that providves insight or command of mastery for automated testing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__ / 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 x1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Tx2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 __ / 4</w:t>
              <w:br/>
              <w:t>T __ / 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6A6A6" w:themeFill="background1" w:themeFillShade="a6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Submission Guidelines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A __/ 2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br/>
              <w:t xml:space="preserve">T __/ </w:t>
            </w:r>
            <w:r>
              <w:rPr>
                <w:b/>
                <w:bCs/>
              </w:rPr>
              <w:t>28</w:t>
            </w:r>
          </w:p>
        </w:tc>
      </w:tr>
      <w:tr>
        <w:trPr>
          <w:trHeight w:val="480" w:hRule="atLeast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/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7B7B7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 xml:space="preserve">A __/ </w:t>
            </w:r>
            <w:r>
              <w:rPr>
                <w:b/>
                <w:bCs/>
              </w:rPr>
              <w:t>44</w:t>
            </w:r>
            <w:r>
              <w:rPr>
                <w:b/>
                <w:bCs/>
              </w:rPr>
              <w:br/>
              <w:t xml:space="preserve">T __/ </w:t>
            </w:r>
            <w:r>
              <w:rPr>
                <w:b/>
                <w:bCs/>
              </w:rPr>
              <w:t>42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426" w:right="282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TextBody"/>
    <w:link w:val="Heading2Char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qFormat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character" w:styleId="BodyTextChar" w:customStyle="1">
    <w:name w:val="Body Text Char"/>
    <w:basedOn w:val="DefaultParagraphFont"/>
    <w:uiPriority w:val="99"/>
    <w:semiHidden/>
    <w:qFormat/>
    <w:rPr>
      <w:rFonts w:ascii="Calibri" w:hAnsi="Calibri" w:eastAsia="Times New Roman" w:cs="Calibri"/>
      <w:color w:val="000000"/>
      <w:sz w:val="24"/>
      <w:szCs w:val="24"/>
      <w:lang w:eastAsia="en-A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LibreOffice/7.5.5.2$Linux_X86_64 LibreOffice_project/50$Build-2</Application>
  <AppVersion>15.0000</AppVersion>
  <Pages>2</Pages>
  <Words>472</Words>
  <Characters>1884</Characters>
  <CharactersWithSpaces>2249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2022-05-08T02:23:00Z</dcterms:created>
  <dc:creator>Carter, Adam</dc:creator>
  <dc:description/>
  <dc:language>en-AU</dc:language>
  <cp:lastModifiedBy/>
  <dcterms:modified xsi:type="dcterms:W3CDTF">2023-09-13T11:26:16Z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