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11827"/>
          <w:sz w:val="26"/>
          <w:szCs w:val="26"/>
        </w:rPr>
        <w:t xml:space="preserve">Challenge 4 — Architecture / Workflow Diagram</w:t>
      </w:r>
    </w:p>
    <w:p>
      <w:pPr>
        <w:spacing w:after="180"/>
        <w:jc w:val="center"/>
      </w:pPr>
      <w:r>
        <w:rPr>
          <w:i/>
          <w:iCs/>
          <w:color w:val="4B5563"/>
          <w:sz w:val="18"/>
          <w:szCs w:val="18"/>
        </w:rPr>
        <w:t xml:space="preserve">Seaport Operations Dashboard — Port of Long Beach, CA</w:t>
      </w:r>
    </w:p>
    <w:p>
      <w:pPr>
        <w:jc w:val="center"/>
      </w:pPr>
      <w:r>
        <w:drawing>
          <wp:inline distT="0" distB="0" distL="0" distR="0">
            <wp:extent cx="6629400" cy="773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32e8535d7cbf2c238192eb2cd3c4b5c05e92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2026-09-12T18:58:19.275Z</dcterms:created>
  <dcterms:modified xsi:type="dcterms:W3CDTF">2026-09-12T18:58:19.275Z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