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Tesla Investment Committee Memo</w:t>
      </w:r>
    </w:p>
    <w:p>
      <w:r>
        <w:t>FIN 43900 Project 1 | Valuation reference date October 19 2026</w:t>
      </w:r>
    </w:p>
    <w:p>
      <w:pPr>
        <w:pStyle w:val="Heading1"/>
      </w:pPr>
      <w:r>
        <w:t>Recommendation</w:t>
      </w:r>
    </w:p>
    <w:p>
      <w:r>
        <w:t>Watch/Defer. The base established-business FCFF DCF values Tesla at $9.90 per share, compared with the October 16, 2026 NASDAQ regular-session close of $354.72, used because the October 19 market session was still open. The model does not support an initiation under its stated operating assumptions. This conclusion remains conditional on completing a source-backed comparable-company workpaper.</w:t>
      </w:r>
    </w:p>
    <w:p>
      <w:pPr>
        <w:pStyle w:val="Heading1"/>
      </w:pPr>
      <w:r>
        <w:t>Point-in-time evidence</w:t>
      </w:r>
    </w:p>
    <w:p>
      <w:r>
        <w:t>The financial base is Tesla’s FY2025 Form 10-K. The 2026 bridge uses Q2 2026 GAAP results and Q3 operating statistics available by October 19. Tesla reported Q3 production of 464,391 vehicles, deliveries of 486,532 vehicles, and 13.7 GWh of energy-storage deployment on October 2. Q3 financial results were scheduled for October 21 and are not treated as actual results.</w:t>
      </w:r>
    </w:p>
    <w:p>
      <w:pPr>
        <w:pStyle w:val="Heading1"/>
      </w:pPr>
      <w:r>
        <w:t>Forecast and reinvestment</w:t>
      </w:r>
    </w:p>
    <w:p>
      <w:r>
        <w:t>The forecast separates automotive vehicle sales, regulatory credits, leasing, energy, and services. The model forecasts $121.7bn of 2026 revenue and $178.3bn by 2031. It retains $26bn of 2026 CapEx, reflecting Tesla’s Q2 outlook for CapEx above $25bn. The balance sheet uses a transparent $10bn minimum-cash policy with debt issuance for shortfalls. Robotaxi, FSD licensing, and Optimus receive no separately valued base-case cash flow.</w:t>
      </w:r>
    </w:p>
    <w:p>
      <w:pPr>
        <w:pStyle w:val="Heading1"/>
      </w:pPr>
      <w:r>
        <w:t>DCF and market-implied expectations</w:t>
      </w:r>
    </w:p>
    <w:p>
      <w:r>
        <w:t>The base case uses a provisional 15.6% WACC and 3.0% terminal growth. Enterprise value is $1,470m, equity value is $37,153m, and value per share is $9.90. The terminal-value share of enterprise value is 1564.0%; this unusually high dependency signals a model weakness caused by negative near-term FCFF. Holding explicit FCFF and WACC fixed, a 15.4% terminal-growth rate is required to match the $354.72 reference price. That result is diagnostic, not a forecast.</w:t>
      </w:r>
    </w:p>
    <w:p>
      <w:pPr>
        <w:pStyle w:val="Heading1"/>
      </w:pPr>
      <w:r>
        <w:t>Risks and reversal triggers</w:t>
      </w:r>
    </w:p>
    <w:p>
      <w:r>
        <w:t>The principal risks are delivery and realized-price weakness, automotive-margin pressure, energy project timing, CapEx persistence, and unsupported AI economics. Reconsider the action only if Tesla demonstrates sustained delivery and energy growth, margin improvement, funding discipline, or separately measurable software cash flows that materially change FCFF.</w:t>
      </w:r>
    </w:p>
    <w:p>
      <w:pPr>
        <w:pStyle w:val="Heading1"/>
      </w:pPr>
      <w:r>
        <w:t>Validation and limitations</w:t>
      </w:r>
    </w:p>
    <w:p>
      <w:r>
        <w:t>The executed test suite passed 3 of 3 tests. The model checks balance-sheet articulation, cash-flow linkage, minimum cash, and DCF directionality. Outstanding work includes same-date peer valuation inputs, clean-environment validation, and required human course activities. Sources are listed in data/source_register.csv and research/wacc_workpaper.md.</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