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65D7" w14:textId="77777777" w:rsidR="00B72C3F" w:rsidRPr="00B72C3F" w:rsidRDefault="00B72C3F" w:rsidP="00B72C3F">
      <w:pPr>
        <w:jc w:val="center"/>
        <w:rPr>
          <w:b/>
          <w:bCs/>
          <w:lang w:val="en-US"/>
        </w:rPr>
      </w:pPr>
      <w:r w:rsidRPr="00B72C3F">
        <w:rPr>
          <w:b/>
          <w:bCs/>
          <w:lang w:val="en-US"/>
        </w:rPr>
        <w:t>Memorandum</w:t>
      </w:r>
    </w:p>
    <w:p w14:paraId="49DCC63E" w14:textId="75657653" w:rsidR="00B72C3F" w:rsidRPr="00B72C3F" w:rsidRDefault="00B72C3F" w:rsidP="00B72C3F">
      <w:pPr>
        <w:rPr>
          <w:lang w:val="en-US"/>
        </w:rPr>
      </w:pPr>
      <w:r w:rsidRPr="00B72C3F">
        <w:rPr>
          <w:b/>
          <w:bCs/>
          <w:lang w:val="en-US"/>
        </w:rPr>
        <w:t>To:</w:t>
      </w:r>
      <w:r w:rsidRPr="00B72C3F">
        <w:rPr>
          <w:lang w:val="en-US"/>
        </w:rPr>
        <w:t xml:space="preserve"> Chief Technology Officer</w:t>
      </w:r>
      <w:r w:rsidRPr="00B72C3F">
        <w:rPr>
          <w:lang w:val="en-US"/>
        </w:rPr>
        <w:br/>
      </w:r>
      <w:r w:rsidRPr="00B72C3F">
        <w:rPr>
          <w:b/>
          <w:bCs/>
          <w:lang w:val="en-US"/>
        </w:rPr>
        <w:t>From:</w:t>
      </w:r>
      <w:r w:rsidRPr="00B72C3F">
        <w:rPr>
          <w:lang w:val="en-US"/>
        </w:rPr>
        <w:t xml:space="preserve"> </w:t>
      </w:r>
      <w:r w:rsidRPr="00B72C3F">
        <w:rPr>
          <w:lang w:val="en-US"/>
        </w:rPr>
        <w:t>Dr. Christopher A. Tucker</w:t>
      </w:r>
      <w:r w:rsidR="00E14F7A">
        <w:rPr>
          <w:lang w:val="en-US"/>
        </w:rPr>
        <w:t xml:space="preserve"> / F18 Architecture Group</w:t>
      </w:r>
      <w:r w:rsidRPr="00B72C3F">
        <w:rPr>
          <w:lang w:val="en-US"/>
        </w:rPr>
        <w:br/>
      </w:r>
      <w:r w:rsidRPr="00B72C3F">
        <w:rPr>
          <w:b/>
          <w:bCs/>
          <w:lang w:val="en-US"/>
        </w:rPr>
        <w:t>Subject:</w:t>
      </w:r>
      <w:r w:rsidRPr="00B72C3F">
        <w:rPr>
          <w:lang w:val="en-US"/>
        </w:rPr>
        <w:t xml:space="preserve"> GA144 Asynchronous Multi-Core Fabric for HVDC Converter Control</w:t>
      </w:r>
      <w:r w:rsidRPr="00B72C3F">
        <w:rPr>
          <w:lang w:val="en-US"/>
        </w:rPr>
        <w:br/>
      </w:r>
      <w:r w:rsidRPr="00B72C3F">
        <w:rPr>
          <w:b/>
          <w:bCs/>
          <w:lang w:val="en-US"/>
        </w:rPr>
        <w:t>Date:</w:t>
      </w:r>
      <w:r w:rsidRPr="00B72C3F">
        <w:rPr>
          <w:lang w:val="en-US"/>
        </w:rPr>
        <w:t xml:space="preserve"> </w:t>
      </w:r>
      <w:r w:rsidRPr="00B72C3F">
        <w:rPr>
          <w:lang w:val="en-US"/>
        </w:rPr>
        <w:t>13 February 2026</w:t>
      </w:r>
    </w:p>
    <w:p w14:paraId="35AE09F9" w14:textId="77777777" w:rsidR="00B72C3F" w:rsidRPr="00B72C3F" w:rsidRDefault="00B72C3F" w:rsidP="00B72C3F">
      <w:pPr>
        <w:jc w:val="both"/>
        <w:rPr>
          <w:lang w:val="en-US"/>
        </w:rPr>
      </w:pPr>
      <w:r w:rsidRPr="00B72C3F">
        <w:rPr>
          <w:lang w:val="en-US"/>
        </w:rPr>
        <w:pict w14:anchorId="47D79D13">
          <v:rect id="_x0000_i1220" style="width:0;height:1.5pt" o:hralign="center" o:hrstd="t" o:hr="t" fillcolor="#a0a0a0" stroked="f"/>
        </w:pict>
      </w:r>
    </w:p>
    <w:p w14:paraId="70C159F0" w14:textId="77777777" w:rsidR="00B72C3F" w:rsidRPr="00B72C3F" w:rsidRDefault="00B72C3F" w:rsidP="00B72C3F">
      <w:pPr>
        <w:jc w:val="both"/>
        <w:rPr>
          <w:b/>
          <w:bCs/>
          <w:lang w:val="en-US"/>
        </w:rPr>
      </w:pPr>
      <w:r w:rsidRPr="00B72C3F">
        <w:rPr>
          <w:b/>
          <w:bCs/>
          <w:lang w:val="en-US"/>
        </w:rPr>
        <w:t>Executive Summary</w:t>
      </w:r>
    </w:p>
    <w:p w14:paraId="44A44D24" w14:textId="77777777" w:rsidR="00B72C3F" w:rsidRPr="00B72C3F" w:rsidRDefault="00B72C3F" w:rsidP="00B72C3F">
      <w:pPr>
        <w:jc w:val="both"/>
        <w:rPr>
          <w:lang w:val="en-US"/>
        </w:rPr>
      </w:pPr>
      <w:r w:rsidRPr="00B72C3F">
        <w:rPr>
          <w:lang w:val="en-US"/>
        </w:rPr>
        <w:t>This memo outlines the applicability of the GA144 asynchronous multi-core processor fabric to HVDC converter control systems employing voltage-sourced converter (VSC) topologies with high-frequency switching devices such as IGBTs. Based on direct engineering experience with the device in power-electronics contexts, the architecture demonstrates capabilities in high-resolution PWM generation, deterministic control-loop execution, and low-latency parameter updates that are directly relevant to modern HVDC installations.</w:t>
      </w:r>
    </w:p>
    <w:p w14:paraId="6E3028C7" w14:textId="77777777" w:rsidR="00B72C3F" w:rsidRPr="00B72C3F" w:rsidRDefault="00B72C3F" w:rsidP="00B72C3F">
      <w:pPr>
        <w:jc w:val="both"/>
        <w:rPr>
          <w:lang w:val="en-US"/>
        </w:rPr>
      </w:pPr>
      <w:r w:rsidRPr="00B72C3F">
        <w:rPr>
          <w:lang w:val="en-US"/>
        </w:rPr>
        <w:t>The GA144’s asynchronous, partitioned architecture provides deterministic timing, EMI resilience, and tight control-loop behavior suited for high-frequency PWM-driven converter systems.</w:t>
      </w:r>
    </w:p>
    <w:p w14:paraId="48995E2B" w14:textId="77777777" w:rsidR="00B72C3F" w:rsidRPr="00B72C3F" w:rsidRDefault="00B72C3F" w:rsidP="00B72C3F">
      <w:pPr>
        <w:jc w:val="both"/>
        <w:rPr>
          <w:lang w:val="en-US"/>
        </w:rPr>
      </w:pPr>
      <w:r w:rsidRPr="00B72C3F">
        <w:rPr>
          <w:lang w:val="en-US"/>
        </w:rPr>
        <w:pict w14:anchorId="35B1B885">
          <v:rect id="_x0000_i1221" style="width:0;height:1.5pt" o:hralign="center" o:hrstd="t" o:hr="t" fillcolor="#a0a0a0" stroked="f"/>
        </w:pict>
      </w:r>
    </w:p>
    <w:p w14:paraId="3EBE6579" w14:textId="77777777" w:rsidR="00B72C3F" w:rsidRPr="00B72C3F" w:rsidRDefault="00B72C3F" w:rsidP="00B72C3F">
      <w:pPr>
        <w:jc w:val="both"/>
        <w:rPr>
          <w:b/>
          <w:bCs/>
          <w:lang w:val="en-US"/>
        </w:rPr>
      </w:pPr>
      <w:r w:rsidRPr="00B72C3F">
        <w:rPr>
          <w:b/>
          <w:bCs/>
          <w:lang w:val="en-US"/>
        </w:rPr>
        <w:t>Architectural Context for VSC-Based HVDC</w:t>
      </w:r>
    </w:p>
    <w:p w14:paraId="2947A23C" w14:textId="77777777" w:rsidR="00B72C3F" w:rsidRPr="00B72C3F" w:rsidRDefault="00B72C3F" w:rsidP="00B72C3F">
      <w:pPr>
        <w:jc w:val="both"/>
        <w:rPr>
          <w:lang w:val="en-US"/>
        </w:rPr>
      </w:pPr>
      <w:r w:rsidRPr="00B72C3F">
        <w:rPr>
          <w:lang w:val="en-US"/>
        </w:rPr>
        <w:t>Modern HVDC inverters using voltage-sourced converters and IGBT-based switching achieve harmonic control by pulse-width modulating devices at frequencies significantly above line frequency. This approach reduces dependence on bulky passive filtering while enabling tighter control of output waveforms.</w:t>
      </w:r>
    </w:p>
    <w:p w14:paraId="3C279204" w14:textId="77777777" w:rsidR="00B72C3F" w:rsidRPr="00B72C3F" w:rsidRDefault="00B72C3F" w:rsidP="00B72C3F">
      <w:pPr>
        <w:jc w:val="both"/>
        <w:rPr>
          <w:lang w:val="en-US"/>
        </w:rPr>
      </w:pPr>
      <w:r w:rsidRPr="00B72C3F">
        <w:rPr>
          <w:lang w:val="en-US"/>
        </w:rPr>
        <w:t>The GA144 architecture—comprising 144 independent processing nodes arranged in a mesh—supports precision PWM generation and high-speed control loops without reliance on global clock distribution or shared memory subsystems.</w:t>
      </w:r>
    </w:p>
    <w:p w14:paraId="7BC6D263" w14:textId="77777777" w:rsidR="00B72C3F" w:rsidRPr="00B72C3F" w:rsidRDefault="00B72C3F" w:rsidP="00B72C3F">
      <w:pPr>
        <w:jc w:val="both"/>
        <w:rPr>
          <w:lang w:val="en-US"/>
        </w:rPr>
      </w:pPr>
      <w:r w:rsidRPr="00B72C3F">
        <w:rPr>
          <w:lang w:val="en-US"/>
        </w:rPr>
        <w:t>Each node executes independently with local memory and hardware-defined neighbor communication. There is no global clock tree. Execution is asynchronous and event-driven.</w:t>
      </w:r>
    </w:p>
    <w:p w14:paraId="15820FFC" w14:textId="77777777" w:rsidR="00B72C3F" w:rsidRPr="00B72C3F" w:rsidRDefault="00B72C3F" w:rsidP="00B72C3F">
      <w:pPr>
        <w:jc w:val="both"/>
        <w:rPr>
          <w:lang w:val="en-US"/>
        </w:rPr>
      </w:pPr>
      <w:r w:rsidRPr="00B72C3F">
        <w:rPr>
          <w:lang w:val="en-US"/>
        </w:rPr>
        <w:pict w14:anchorId="254CC294">
          <v:rect id="_x0000_i1226" style="width:0;height:1.5pt" o:hralign="center" o:hrstd="t" o:hr="t" fillcolor="#a0a0a0" stroked="f"/>
        </w:pict>
      </w:r>
    </w:p>
    <w:p w14:paraId="39ABFF4E" w14:textId="77777777" w:rsidR="00B72C3F" w:rsidRPr="00B72C3F" w:rsidRDefault="00B72C3F" w:rsidP="00B72C3F">
      <w:pPr>
        <w:jc w:val="both"/>
        <w:rPr>
          <w:b/>
          <w:bCs/>
          <w:lang w:val="en-US"/>
        </w:rPr>
      </w:pPr>
      <w:r w:rsidRPr="00B72C3F">
        <w:rPr>
          <w:b/>
          <w:bCs/>
          <w:lang w:val="en-US"/>
        </w:rPr>
        <w:t>Precision PWM Generation</w:t>
      </w:r>
    </w:p>
    <w:p w14:paraId="166E1520" w14:textId="66379BBE" w:rsidR="00B72C3F" w:rsidRPr="00B72C3F" w:rsidRDefault="00B72C3F" w:rsidP="00B72C3F">
      <w:pPr>
        <w:jc w:val="both"/>
        <w:rPr>
          <w:lang w:val="en-US"/>
        </w:rPr>
      </w:pPr>
      <w:r w:rsidRPr="00B72C3F">
        <w:rPr>
          <w:lang w:val="en-US"/>
        </w:rPr>
        <w:t xml:space="preserve">A G144A12 device can implement high-frequency PWM control loops approaching fundamental switching frequencies near 1 </w:t>
      </w:r>
      <w:r w:rsidR="00BA7E3F" w:rsidRPr="00B72C3F">
        <w:rPr>
          <w:lang w:val="en-US"/>
        </w:rPr>
        <w:t>MHz</w:t>
      </w:r>
      <w:r w:rsidR="00BA7E3F">
        <w:rPr>
          <w:lang w:val="en-US"/>
        </w:rPr>
        <w:t>.</w:t>
      </w:r>
      <w:r w:rsidRPr="00B72C3F">
        <w:rPr>
          <w:lang w:val="en-US"/>
        </w:rPr>
        <w:t xml:space="preserve"> At lower frequencies, greater resolution is achievable because high and low pulse durations are measured via loop counts with approximately 2.4 ns granularity.</w:t>
      </w:r>
    </w:p>
    <w:p w14:paraId="182D3289" w14:textId="77777777" w:rsidR="00B72C3F" w:rsidRPr="00B72C3F" w:rsidRDefault="00B72C3F" w:rsidP="00B72C3F">
      <w:pPr>
        <w:jc w:val="both"/>
        <w:rPr>
          <w:lang w:val="en-US"/>
        </w:rPr>
      </w:pPr>
      <w:r w:rsidRPr="00B72C3F">
        <w:rPr>
          <w:lang w:val="en-US"/>
        </w:rPr>
        <w:t>A key characteristic of this approach is ratio stability. The architecture does not attempt to regulate the fundamental frequency directly. Instead, it controls the high/low duty-cycle ratio of the PWM waveform. Because the PWM node is dedicated exclusively to generating this waveform, the ratio remains stable even as process, voltage, temperature, or transistor aging influence absolute switching characteristics.</w:t>
      </w:r>
    </w:p>
    <w:p w14:paraId="18F8774E" w14:textId="77777777" w:rsidR="00B72C3F" w:rsidRPr="00B72C3F" w:rsidRDefault="00B72C3F" w:rsidP="00B72C3F">
      <w:pPr>
        <w:jc w:val="both"/>
        <w:rPr>
          <w:lang w:val="en-US"/>
        </w:rPr>
      </w:pPr>
      <w:r w:rsidRPr="00B72C3F">
        <w:rPr>
          <w:lang w:val="en-US"/>
        </w:rPr>
        <w:t xml:space="preserve">In practice, one node (or a small set of nodes) is assigned exclusively to PWM generation. Separate nodes compute control-loop outputs and updated duty-cycle parameters. The PWM </w:t>
      </w:r>
      <w:r w:rsidRPr="00B72C3F">
        <w:rPr>
          <w:lang w:val="en-US"/>
        </w:rPr>
        <w:lastRenderedPageBreak/>
        <w:t>node pauses only long enough to receive new parameters onto its stack. Transfer time is on the order of ~5 ns per value. Updating a full set of four PWM loop-count pairs typically requires &lt;100 ns of down time.</w:t>
      </w:r>
    </w:p>
    <w:p w14:paraId="0F05B465" w14:textId="77777777" w:rsidR="00B72C3F" w:rsidRPr="00B72C3F" w:rsidRDefault="00B72C3F" w:rsidP="00B72C3F">
      <w:pPr>
        <w:jc w:val="both"/>
        <w:rPr>
          <w:lang w:val="en-US"/>
        </w:rPr>
      </w:pPr>
      <w:r w:rsidRPr="00B72C3F">
        <w:rPr>
          <w:lang w:val="en-US"/>
        </w:rPr>
        <w:t>More granular strategies are possible. For example, updating one high/low pair at a time within a four-part cycle allows smoother transitions and even shorter effective interruption windows. Because the architecture is distributed, buffering and scheduling of parameter updates can be tailored to waveform-shaping goals.</w:t>
      </w:r>
    </w:p>
    <w:p w14:paraId="68E63DFC" w14:textId="77777777" w:rsidR="00B72C3F" w:rsidRPr="00B72C3F" w:rsidRDefault="00B72C3F" w:rsidP="00B72C3F">
      <w:pPr>
        <w:jc w:val="both"/>
        <w:rPr>
          <w:lang w:val="en-US"/>
        </w:rPr>
      </w:pPr>
      <w:r w:rsidRPr="00B72C3F">
        <w:rPr>
          <w:lang w:val="en-US"/>
        </w:rPr>
        <w:t>This separation of concerns—dedicated PWM generation nodes and independent control computation nodes—eliminates jitter from scheduler preemption, interrupt latency, or shared-resource contention.</w:t>
      </w:r>
    </w:p>
    <w:p w14:paraId="63E4EEB2" w14:textId="77777777" w:rsidR="00B72C3F" w:rsidRPr="00B72C3F" w:rsidRDefault="00B72C3F" w:rsidP="00B72C3F">
      <w:pPr>
        <w:jc w:val="both"/>
        <w:rPr>
          <w:lang w:val="en-US"/>
        </w:rPr>
      </w:pPr>
      <w:r w:rsidRPr="00B72C3F">
        <w:rPr>
          <w:lang w:val="en-US"/>
        </w:rPr>
        <w:pict w14:anchorId="0CD18176">
          <v:rect id="_x0000_i1227" style="width:0;height:1.5pt" o:hralign="center" o:hrstd="t" o:hr="t" fillcolor="#a0a0a0" stroked="f"/>
        </w:pict>
      </w:r>
    </w:p>
    <w:p w14:paraId="60A6100F" w14:textId="77777777" w:rsidR="00B72C3F" w:rsidRPr="00B72C3F" w:rsidRDefault="00B72C3F" w:rsidP="00B72C3F">
      <w:pPr>
        <w:jc w:val="both"/>
        <w:rPr>
          <w:b/>
          <w:bCs/>
          <w:lang w:val="en-US"/>
        </w:rPr>
      </w:pPr>
      <w:r w:rsidRPr="00B72C3F">
        <w:rPr>
          <w:b/>
          <w:bCs/>
          <w:lang w:val="en-US"/>
        </w:rPr>
        <w:t>High-Speed Control Loop Cycling</w:t>
      </w:r>
    </w:p>
    <w:p w14:paraId="5DC2F0C8" w14:textId="77777777" w:rsidR="00B72C3F" w:rsidRPr="00B72C3F" w:rsidRDefault="00B72C3F" w:rsidP="00B72C3F">
      <w:pPr>
        <w:jc w:val="both"/>
        <w:rPr>
          <w:lang w:val="en-US"/>
        </w:rPr>
      </w:pPr>
      <w:r w:rsidRPr="00B72C3F">
        <w:rPr>
          <w:lang w:val="en-US"/>
        </w:rPr>
        <w:t>The GA144 architecture supports extremely fast control-loop cycling when high-speed input data is available. In highly dynamic load conditions or during transient events, the delay between sensing and updated PWM output can be materially reduced compared to conventional MCU + RTOS architectures.</w:t>
      </w:r>
    </w:p>
    <w:p w14:paraId="1A9C00A0" w14:textId="77777777" w:rsidR="00B72C3F" w:rsidRPr="00B72C3F" w:rsidRDefault="00B72C3F" w:rsidP="00B72C3F">
      <w:pPr>
        <w:jc w:val="both"/>
        <w:rPr>
          <w:lang w:val="en-US"/>
        </w:rPr>
      </w:pPr>
      <w:r w:rsidRPr="00B72C3F">
        <w:rPr>
          <w:lang w:val="en-US"/>
        </w:rPr>
        <w:t>Traditional MCUs often introduce phase delay due to interrupt servicing, cache effects, and task scheduling. In contrast, a GA144 node running a dedicated control loop executes deterministically and without interference from unrelated tasks. When dynamic load events occur, updated duty-cycle ratios can be computed and propagated to PWM nodes with minimal latency.</w:t>
      </w:r>
    </w:p>
    <w:p w14:paraId="6DD0B70A" w14:textId="77777777" w:rsidR="00B72C3F" w:rsidRPr="00B72C3F" w:rsidRDefault="00B72C3F" w:rsidP="00B72C3F">
      <w:pPr>
        <w:jc w:val="both"/>
        <w:rPr>
          <w:lang w:val="en-US"/>
        </w:rPr>
      </w:pPr>
      <w:r w:rsidRPr="00B72C3F">
        <w:rPr>
          <w:lang w:val="en-US"/>
        </w:rPr>
        <w:t>This reduced phase delay improves responsiveness in:</w:t>
      </w:r>
    </w:p>
    <w:p w14:paraId="7B0AEE52" w14:textId="77777777" w:rsidR="00B72C3F" w:rsidRPr="00B72C3F" w:rsidRDefault="00B72C3F" w:rsidP="00B72C3F">
      <w:pPr>
        <w:numPr>
          <w:ilvl w:val="0"/>
          <w:numId w:val="12"/>
        </w:numPr>
        <w:jc w:val="both"/>
        <w:rPr>
          <w:lang w:val="en-US"/>
        </w:rPr>
      </w:pPr>
      <w:r w:rsidRPr="00B72C3F">
        <w:rPr>
          <w:lang w:val="en-US"/>
        </w:rPr>
        <w:t>Rapid load variation</w:t>
      </w:r>
    </w:p>
    <w:p w14:paraId="6D65AB02" w14:textId="77777777" w:rsidR="00B72C3F" w:rsidRPr="00B72C3F" w:rsidRDefault="00B72C3F" w:rsidP="00B72C3F">
      <w:pPr>
        <w:numPr>
          <w:ilvl w:val="0"/>
          <w:numId w:val="12"/>
        </w:numPr>
        <w:jc w:val="both"/>
        <w:rPr>
          <w:lang w:val="en-US"/>
        </w:rPr>
      </w:pPr>
      <w:r w:rsidRPr="00B72C3F">
        <w:rPr>
          <w:lang w:val="en-US"/>
        </w:rPr>
        <w:t>Fault onset detection</w:t>
      </w:r>
    </w:p>
    <w:p w14:paraId="705E693B" w14:textId="77777777" w:rsidR="00B72C3F" w:rsidRPr="00B72C3F" w:rsidRDefault="00B72C3F" w:rsidP="00B72C3F">
      <w:pPr>
        <w:numPr>
          <w:ilvl w:val="0"/>
          <w:numId w:val="12"/>
        </w:numPr>
        <w:jc w:val="both"/>
        <w:rPr>
          <w:lang w:val="en-US"/>
        </w:rPr>
      </w:pPr>
      <w:r w:rsidRPr="00B72C3F">
        <w:rPr>
          <w:lang w:val="en-US"/>
        </w:rPr>
        <w:t>Harmonic compensation adjustments</w:t>
      </w:r>
    </w:p>
    <w:p w14:paraId="70F7DFDC" w14:textId="77777777" w:rsidR="00B72C3F" w:rsidRPr="00B72C3F" w:rsidRDefault="00B72C3F" w:rsidP="00B72C3F">
      <w:pPr>
        <w:numPr>
          <w:ilvl w:val="0"/>
          <w:numId w:val="12"/>
        </w:numPr>
        <w:jc w:val="both"/>
        <w:rPr>
          <w:lang w:val="en-US"/>
        </w:rPr>
      </w:pPr>
      <w:r w:rsidRPr="00B72C3F">
        <w:rPr>
          <w:lang w:val="en-US"/>
        </w:rPr>
        <w:t>Fast transient suppression</w:t>
      </w:r>
    </w:p>
    <w:p w14:paraId="7053FC9F" w14:textId="77777777" w:rsidR="00B72C3F" w:rsidRPr="00B72C3F" w:rsidRDefault="00B72C3F" w:rsidP="00B72C3F">
      <w:pPr>
        <w:jc w:val="both"/>
        <w:rPr>
          <w:lang w:val="en-US"/>
        </w:rPr>
      </w:pPr>
      <w:r w:rsidRPr="00B72C3F">
        <w:rPr>
          <w:lang w:val="en-US"/>
        </w:rPr>
        <w:t>For HVDC systems operating under dynamic grid conditions, this characteristic enables tighter closed-loop behavior.</w:t>
      </w:r>
    </w:p>
    <w:p w14:paraId="610F49C9" w14:textId="77777777" w:rsidR="00B72C3F" w:rsidRPr="00B72C3F" w:rsidRDefault="00B72C3F" w:rsidP="00B72C3F">
      <w:pPr>
        <w:jc w:val="both"/>
        <w:rPr>
          <w:lang w:val="en-US"/>
        </w:rPr>
      </w:pPr>
      <w:r w:rsidRPr="00B72C3F">
        <w:rPr>
          <w:lang w:val="en-US"/>
        </w:rPr>
        <w:pict w14:anchorId="5C60403E">
          <v:rect id="_x0000_i1228" style="width:0;height:1.5pt" o:hralign="center" o:hrstd="t" o:hr="t" fillcolor="#a0a0a0" stroked="f"/>
        </w:pict>
      </w:r>
    </w:p>
    <w:p w14:paraId="228E7EC3" w14:textId="77777777" w:rsidR="00B72C3F" w:rsidRPr="00B72C3F" w:rsidRDefault="00B72C3F" w:rsidP="00B72C3F">
      <w:pPr>
        <w:jc w:val="both"/>
        <w:rPr>
          <w:b/>
          <w:bCs/>
          <w:lang w:val="en-US"/>
        </w:rPr>
      </w:pPr>
      <w:r w:rsidRPr="00B72C3F">
        <w:rPr>
          <w:b/>
          <w:bCs/>
          <w:lang w:val="en-US"/>
        </w:rPr>
        <w:t>Partitioning and Fault Containment</w:t>
      </w:r>
    </w:p>
    <w:p w14:paraId="4FA1B10B" w14:textId="77777777" w:rsidR="00B72C3F" w:rsidRPr="00B72C3F" w:rsidRDefault="00B72C3F" w:rsidP="00B72C3F">
      <w:pPr>
        <w:jc w:val="both"/>
        <w:rPr>
          <w:lang w:val="en-US"/>
        </w:rPr>
      </w:pPr>
      <w:r w:rsidRPr="00B72C3F">
        <w:rPr>
          <w:lang w:val="en-US"/>
        </w:rPr>
        <w:t>Because nodes operate independently, HVDC control responsibilities can be physically partitioned:</w:t>
      </w:r>
    </w:p>
    <w:p w14:paraId="0911C14D" w14:textId="77777777" w:rsidR="00B72C3F" w:rsidRPr="00B72C3F" w:rsidRDefault="00B72C3F" w:rsidP="00B72C3F">
      <w:pPr>
        <w:numPr>
          <w:ilvl w:val="0"/>
          <w:numId w:val="13"/>
        </w:numPr>
        <w:jc w:val="both"/>
        <w:rPr>
          <w:lang w:val="en-US"/>
        </w:rPr>
      </w:pPr>
      <w:r w:rsidRPr="00B72C3F">
        <w:rPr>
          <w:lang w:val="en-US"/>
        </w:rPr>
        <w:t>Dedicated PWM generation nodes</w:t>
      </w:r>
    </w:p>
    <w:p w14:paraId="09315355" w14:textId="77777777" w:rsidR="00B72C3F" w:rsidRPr="00B72C3F" w:rsidRDefault="00B72C3F" w:rsidP="00B72C3F">
      <w:pPr>
        <w:numPr>
          <w:ilvl w:val="0"/>
          <w:numId w:val="13"/>
        </w:numPr>
        <w:jc w:val="both"/>
        <w:rPr>
          <w:lang w:val="en-US"/>
        </w:rPr>
      </w:pPr>
      <w:r w:rsidRPr="00B72C3F">
        <w:rPr>
          <w:lang w:val="en-US"/>
        </w:rPr>
        <w:t>Control-loop computation nodes</w:t>
      </w:r>
    </w:p>
    <w:p w14:paraId="4456ABBC" w14:textId="77777777" w:rsidR="00B72C3F" w:rsidRPr="00B72C3F" w:rsidRDefault="00B72C3F" w:rsidP="00B72C3F">
      <w:pPr>
        <w:numPr>
          <w:ilvl w:val="0"/>
          <w:numId w:val="13"/>
        </w:numPr>
        <w:jc w:val="both"/>
        <w:rPr>
          <w:lang w:val="en-US"/>
        </w:rPr>
      </w:pPr>
      <w:r w:rsidRPr="00B72C3F">
        <w:rPr>
          <w:lang w:val="en-US"/>
        </w:rPr>
        <w:t>Protection logic nodes</w:t>
      </w:r>
    </w:p>
    <w:p w14:paraId="4C072C8E" w14:textId="77777777" w:rsidR="00B72C3F" w:rsidRPr="00B72C3F" w:rsidRDefault="00B72C3F" w:rsidP="00B72C3F">
      <w:pPr>
        <w:numPr>
          <w:ilvl w:val="0"/>
          <w:numId w:val="13"/>
        </w:numPr>
        <w:jc w:val="both"/>
        <w:rPr>
          <w:lang w:val="en-US"/>
        </w:rPr>
      </w:pPr>
      <w:r w:rsidRPr="00B72C3F">
        <w:rPr>
          <w:lang w:val="en-US"/>
        </w:rPr>
        <w:t>Thermal monitoring nodes</w:t>
      </w:r>
    </w:p>
    <w:p w14:paraId="4A451495" w14:textId="77777777" w:rsidR="00B72C3F" w:rsidRPr="00B72C3F" w:rsidRDefault="00B72C3F" w:rsidP="00B72C3F">
      <w:pPr>
        <w:numPr>
          <w:ilvl w:val="0"/>
          <w:numId w:val="13"/>
        </w:numPr>
        <w:jc w:val="both"/>
        <w:rPr>
          <w:lang w:val="en-US"/>
        </w:rPr>
      </w:pPr>
      <w:r w:rsidRPr="00B72C3F">
        <w:rPr>
          <w:lang w:val="en-US"/>
        </w:rPr>
        <w:t>Telemetry and communications nodes</w:t>
      </w:r>
    </w:p>
    <w:p w14:paraId="57337F87" w14:textId="77777777" w:rsidR="00B72C3F" w:rsidRPr="00B72C3F" w:rsidRDefault="00B72C3F" w:rsidP="00B72C3F">
      <w:pPr>
        <w:jc w:val="both"/>
        <w:rPr>
          <w:lang w:val="en-US"/>
        </w:rPr>
      </w:pPr>
      <w:r w:rsidRPr="00B72C3F">
        <w:rPr>
          <w:lang w:val="en-US"/>
        </w:rPr>
        <w:lastRenderedPageBreak/>
        <w:t>There is no shared cache or global scheduler that could introduce coupling between safety-critical control paths and noncritical functions. Communication between nodes is explicit and hardware-defined, improving analyzability and fault containment.</w:t>
      </w:r>
    </w:p>
    <w:p w14:paraId="6DB0515B" w14:textId="77777777" w:rsidR="00B72C3F" w:rsidRPr="00B72C3F" w:rsidRDefault="00B72C3F" w:rsidP="00B72C3F">
      <w:pPr>
        <w:jc w:val="both"/>
        <w:rPr>
          <w:lang w:val="en-US"/>
        </w:rPr>
      </w:pPr>
      <w:r w:rsidRPr="00B72C3F">
        <w:rPr>
          <w:lang w:val="en-US"/>
        </w:rPr>
        <w:pict w14:anchorId="738D6316">
          <v:rect id="_x0000_i1229" style="width:0;height:1.5pt" o:hralign="center" o:hrstd="t" o:hr="t" fillcolor="#a0a0a0" stroked="f"/>
        </w:pict>
      </w:r>
    </w:p>
    <w:p w14:paraId="202DFECE" w14:textId="77777777" w:rsidR="00B72C3F" w:rsidRPr="00B72C3F" w:rsidRDefault="00B72C3F" w:rsidP="00B72C3F">
      <w:pPr>
        <w:jc w:val="both"/>
        <w:rPr>
          <w:b/>
          <w:bCs/>
          <w:lang w:val="en-US"/>
        </w:rPr>
      </w:pPr>
      <w:r w:rsidRPr="00B72C3F">
        <w:rPr>
          <w:b/>
          <w:bCs/>
          <w:lang w:val="en-US"/>
        </w:rPr>
        <w:t>EMI and Thermal Considerations</w:t>
      </w:r>
    </w:p>
    <w:p w14:paraId="1F94EA4C" w14:textId="77777777" w:rsidR="00B72C3F" w:rsidRPr="00B72C3F" w:rsidRDefault="00B72C3F" w:rsidP="00B72C3F">
      <w:pPr>
        <w:jc w:val="both"/>
        <w:rPr>
          <w:lang w:val="en-US"/>
        </w:rPr>
      </w:pPr>
      <w:r w:rsidRPr="00B72C3F">
        <w:rPr>
          <w:lang w:val="en-US"/>
        </w:rPr>
        <w:t>The absence of a global clock distribution network reduces susceptibility to electromagnetic interference—an important factor in high-voltage switching environments. Asynchronous switching also reduces unnecessary dynamic power consumption, as nodes consume power only when active.</w:t>
      </w:r>
    </w:p>
    <w:p w14:paraId="2EED27B3" w14:textId="77777777" w:rsidR="00B72C3F" w:rsidRPr="00B72C3F" w:rsidRDefault="00B72C3F" w:rsidP="00B72C3F">
      <w:pPr>
        <w:jc w:val="both"/>
        <w:rPr>
          <w:lang w:val="en-US"/>
        </w:rPr>
      </w:pPr>
      <w:r w:rsidRPr="00B72C3F">
        <w:rPr>
          <w:lang w:val="en-US"/>
        </w:rPr>
        <w:t>Lower switching overhead contributes to improved thermal behavior, supporting long service life in infrastructure installations.</w:t>
      </w:r>
    </w:p>
    <w:p w14:paraId="5B18B972" w14:textId="77777777" w:rsidR="00B72C3F" w:rsidRPr="00B72C3F" w:rsidRDefault="00B72C3F" w:rsidP="00B72C3F">
      <w:pPr>
        <w:jc w:val="both"/>
        <w:rPr>
          <w:lang w:val="en-US"/>
        </w:rPr>
      </w:pPr>
      <w:r w:rsidRPr="00B72C3F">
        <w:rPr>
          <w:lang w:val="en-US"/>
        </w:rPr>
        <w:pict w14:anchorId="121F37A9">
          <v:rect id="_x0000_i1230" style="width:0;height:1.5pt" o:hralign="center" o:hrstd="t" o:hr="t" fillcolor="#a0a0a0" stroked="f"/>
        </w:pict>
      </w:r>
    </w:p>
    <w:p w14:paraId="5E8F25D3" w14:textId="77777777" w:rsidR="00B72C3F" w:rsidRPr="00B72C3F" w:rsidRDefault="00B72C3F" w:rsidP="00B72C3F">
      <w:pPr>
        <w:jc w:val="both"/>
        <w:rPr>
          <w:b/>
          <w:bCs/>
          <w:lang w:val="en-US"/>
        </w:rPr>
      </w:pPr>
      <w:r w:rsidRPr="00B72C3F">
        <w:rPr>
          <w:b/>
          <w:bCs/>
          <w:lang w:val="en-US"/>
        </w:rPr>
        <w:t>Deployment Position</w:t>
      </w:r>
    </w:p>
    <w:p w14:paraId="34AB0092" w14:textId="77777777" w:rsidR="00B72C3F" w:rsidRPr="00B72C3F" w:rsidRDefault="00B72C3F" w:rsidP="00B72C3F">
      <w:pPr>
        <w:jc w:val="both"/>
        <w:rPr>
          <w:lang w:val="en-US"/>
        </w:rPr>
      </w:pPr>
      <w:r w:rsidRPr="00B72C3F">
        <w:rPr>
          <w:lang w:val="en-US"/>
        </w:rPr>
        <w:t>The GA144 is well suited as a deterministic edge-control layer within an HVDC converter architecture. It is not positioned as a SCADA replacement but as a high-resolution PWM and control-loop engine capable of:</w:t>
      </w:r>
    </w:p>
    <w:p w14:paraId="1F41B09D" w14:textId="77777777" w:rsidR="00B72C3F" w:rsidRPr="00B72C3F" w:rsidRDefault="00B72C3F" w:rsidP="00B72C3F">
      <w:pPr>
        <w:numPr>
          <w:ilvl w:val="0"/>
          <w:numId w:val="14"/>
        </w:numPr>
        <w:jc w:val="both"/>
        <w:rPr>
          <w:lang w:val="en-US"/>
        </w:rPr>
      </w:pPr>
      <w:r w:rsidRPr="00B72C3F">
        <w:rPr>
          <w:lang w:val="en-US"/>
        </w:rPr>
        <w:t>Generating stable, high-frequency PWM signals</w:t>
      </w:r>
    </w:p>
    <w:p w14:paraId="36214D21" w14:textId="77777777" w:rsidR="00B72C3F" w:rsidRPr="00B72C3F" w:rsidRDefault="00B72C3F" w:rsidP="00B72C3F">
      <w:pPr>
        <w:numPr>
          <w:ilvl w:val="0"/>
          <w:numId w:val="14"/>
        </w:numPr>
        <w:jc w:val="both"/>
        <w:rPr>
          <w:lang w:val="en-US"/>
        </w:rPr>
      </w:pPr>
      <w:r w:rsidRPr="00B72C3F">
        <w:rPr>
          <w:lang w:val="en-US"/>
        </w:rPr>
        <w:t>Supporting rapid closed-loop adjustments</w:t>
      </w:r>
    </w:p>
    <w:p w14:paraId="3698B984" w14:textId="77777777" w:rsidR="00B72C3F" w:rsidRPr="00B72C3F" w:rsidRDefault="00B72C3F" w:rsidP="00B72C3F">
      <w:pPr>
        <w:numPr>
          <w:ilvl w:val="0"/>
          <w:numId w:val="14"/>
        </w:numPr>
        <w:jc w:val="both"/>
        <w:rPr>
          <w:lang w:val="en-US"/>
        </w:rPr>
      </w:pPr>
      <w:r w:rsidRPr="00B72C3F">
        <w:rPr>
          <w:lang w:val="en-US"/>
        </w:rPr>
        <w:t>Maintaining deterministic behavior under dynamic load</w:t>
      </w:r>
    </w:p>
    <w:p w14:paraId="1C11BE38" w14:textId="77777777" w:rsidR="00B72C3F" w:rsidRPr="00B72C3F" w:rsidRDefault="00B72C3F" w:rsidP="00B72C3F">
      <w:pPr>
        <w:numPr>
          <w:ilvl w:val="0"/>
          <w:numId w:val="14"/>
        </w:numPr>
        <w:jc w:val="both"/>
        <w:rPr>
          <w:lang w:val="en-US"/>
        </w:rPr>
      </w:pPr>
      <w:r w:rsidRPr="00B72C3F">
        <w:rPr>
          <w:lang w:val="en-US"/>
        </w:rPr>
        <w:t>Enabling flexible waveform-update strategies</w:t>
      </w:r>
    </w:p>
    <w:p w14:paraId="6FBB25D6" w14:textId="77777777" w:rsidR="00B72C3F" w:rsidRPr="00B72C3F" w:rsidRDefault="00B72C3F" w:rsidP="00B72C3F">
      <w:pPr>
        <w:jc w:val="both"/>
        <w:rPr>
          <w:lang w:val="en-US"/>
        </w:rPr>
      </w:pPr>
      <w:r w:rsidRPr="00B72C3F">
        <w:rPr>
          <w:lang w:val="en-US"/>
        </w:rPr>
        <w:pict w14:anchorId="52A6FAD4">
          <v:rect id="_x0000_i1231" style="width:0;height:1.5pt" o:hralign="center" o:hrstd="t" o:hr="t" fillcolor="#a0a0a0" stroked="f"/>
        </w:pict>
      </w:r>
    </w:p>
    <w:p w14:paraId="79A7651F" w14:textId="77777777" w:rsidR="00B72C3F" w:rsidRPr="00B72C3F" w:rsidRDefault="00B72C3F" w:rsidP="00B72C3F">
      <w:pPr>
        <w:jc w:val="both"/>
        <w:rPr>
          <w:b/>
          <w:bCs/>
          <w:lang w:val="en-US"/>
        </w:rPr>
      </w:pPr>
      <w:r w:rsidRPr="00B72C3F">
        <w:rPr>
          <w:b/>
          <w:bCs/>
          <w:lang w:val="en-US"/>
        </w:rPr>
        <w:t>Conclusion</w:t>
      </w:r>
    </w:p>
    <w:p w14:paraId="25DF4322" w14:textId="77777777" w:rsidR="00B72C3F" w:rsidRPr="00B72C3F" w:rsidRDefault="00B72C3F" w:rsidP="00B72C3F">
      <w:pPr>
        <w:jc w:val="both"/>
        <w:rPr>
          <w:lang w:val="en-US"/>
        </w:rPr>
      </w:pPr>
      <w:r w:rsidRPr="00B72C3F">
        <w:rPr>
          <w:lang w:val="en-US"/>
        </w:rPr>
        <w:t>In VSC-based HVDC environments using IGBT switching, the GA144 provides:</w:t>
      </w:r>
    </w:p>
    <w:p w14:paraId="011F4659" w14:textId="77777777" w:rsidR="00B72C3F" w:rsidRPr="00B72C3F" w:rsidRDefault="00B72C3F" w:rsidP="00B72C3F">
      <w:pPr>
        <w:numPr>
          <w:ilvl w:val="0"/>
          <w:numId w:val="15"/>
        </w:numPr>
        <w:jc w:val="both"/>
        <w:rPr>
          <w:lang w:val="en-US"/>
        </w:rPr>
      </w:pPr>
      <w:r w:rsidRPr="00B72C3F">
        <w:rPr>
          <w:lang w:val="en-US"/>
        </w:rPr>
        <w:t>Nanosecond-scale PWM resolution</w:t>
      </w:r>
    </w:p>
    <w:p w14:paraId="27DA7364" w14:textId="77777777" w:rsidR="00B72C3F" w:rsidRPr="00B72C3F" w:rsidRDefault="00B72C3F" w:rsidP="00B72C3F">
      <w:pPr>
        <w:numPr>
          <w:ilvl w:val="0"/>
          <w:numId w:val="15"/>
        </w:numPr>
        <w:jc w:val="both"/>
        <w:rPr>
          <w:lang w:val="en-US"/>
        </w:rPr>
      </w:pPr>
      <w:r w:rsidRPr="00B72C3F">
        <w:rPr>
          <w:lang w:val="en-US"/>
        </w:rPr>
        <w:t>Stable duty-cycle ratio control independent of PVT variation</w:t>
      </w:r>
    </w:p>
    <w:p w14:paraId="02897982" w14:textId="77777777" w:rsidR="00B72C3F" w:rsidRPr="00B72C3F" w:rsidRDefault="00B72C3F" w:rsidP="00B72C3F">
      <w:pPr>
        <w:numPr>
          <w:ilvl w:val="0"/>
          <w:numId w:val="15"/>
        </w:numPr>
        <w:jc w:val="both"/>
        <w:rPr>
          <w:lang w:val="en-US"/>
        </w:rPr>
      </w:pPr>
      <w:r w:rsidRPr="00B72C3F">
        <w:rPr>
          <w:lang w:val="en-US"/>
        </w:rPr>
        <w:t>Sub-100 ns parameter update capability</w:t>
      </w:r>
    </w:p>
    <w:p w14:paraId="6F07155A" w14:textId="77777777" w:rsidR="00B72C3F" w:rsidRPr="00B72C3F" w:rsidRDefault="00B72C3F" w:rsidP="00B72C3F">
      <w:pPr>
        <w:numPr>
          <w:ilvl w:val="0"/>
          <w:numId w:val="15"/>
        </w:numPr>
        <w:jc w:val="both"/>
        <w:rPr>
          <w:lang w:val="en-US"/>
        </w:rPr>
      </w:pPr>
      <w:r w:rsidRPr="00B72C3F">
        <w:rPr>
          <w:lang w:val="en-US"/>
        </w:rPr>
        <w:t>Extremely fast control-loop cycling</w:t>
      </w:r>
    </w:p>
    <w:p w14:paraId="7DCB0AD4" w14:textId="77777777" w:rsidR="00B72C3F" w:rsidRPr="00B72C3F" w:rsidRDefault="00B72C3F" w:rsidP="00B72C3F">
      <w:pPr>
        <w:numPr>
          <w:ilvl w:val="0"/>
          <w:numId w:val="15"/>
        </w:numPr>
        <w:jc w:val="both"/>
        <w:rPr>
          <w:lang w:val="en-US"/>
        </w:rPr>
      </w:pPr>
      <w:r w:rsidRPr="00B72C3F">
        <w:rPr>
          <w:lang w:val="en-US"/>
        </w:rPr>
        <w:t>Deterministic partitioned execution</w:t>
      </w:r>
    </w:p>
    <w:p w14:paraId="716B5A2D" w14:textId="77777777" w:rsidR="00B72C3F" w:rsidRPr="00B72C3F" w:rsidRDefault="00B72C3F" w:rsidP="00B72C3F">
      <w:pPr>
        <w:jc w:val="both"/>
        <w:rPr>
          <w:lang w:val="en-US"/>
        </w:rPr>
      </w:pPr>
      <w:r w:rsidRPr="00B72C3F">
        <w:rPr>
          <w:lang w:val="en-US"/>
        </w:rPr>
        <w:t>These characteristics align closely with the performance and reliability requirements of modern HVDC converter control systems. A focused technical evaluation integrating PWM generation and closed-loop control under representative load dynamics is recommended as the next step.</w:t>
      </w:r>
    </w:p>
    <w:p w14:paraId="17AFAD5D" w14:textId="77777777" w:rsidR="00906291" w:rsidRPr="00B72C3F" w:rsidRDefault="00906291" w:rsidP="00B72C3F">
      <w:pPr>
        <w:jc w:val="both"/>
        <w:rPr>
          <w:lang w:val="en-US"/>
        </w:rPr>
      </w:pPr>
    </w:p>
    <w:sectPr w:rsidR="00906291" w:rsidRPr="00B72C3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C2C78" w14:textId="77777777" w:rsidR="003136A3" w:rsidRDefault="003136A3" w:rsidP="00B72C3F">
      <w:pPr>
        <w:spacing w:after="0" w:line="240" w:lineRule="auto"/>
      </w:pPr>
      <w:r>
        <w:separator/>
      </w:r>
    </w:p>
  </w:endnote>
  <w:endnote w:type="continuationSeparator" w:id="0">
    <w:p w14:paraId="24F64F77" w14:textId="77777777" w:rsidR="003136A3" w:rsidRDefault="003136A3" w:rsidP="00B72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47637"/>
      <w:docPartObj>
        <w:docPartGallery w:val="Page Numbers (Bottom of Page)"/>
        <w:docPartUnique/>
      </w:docPartObj>
    </w:sdtPr>
    <w:sdtEndPr>
      <w:rPr>
        <w:noProof/>
      </w:rPr>
    </w:sdtEndPr>
    <w:sdtContent>
      <w:p w14:paraId="6EFE72F8" w14:textId="0C715B50" w:rsidR="00B72C3F" w:rsidRDefault="00B72C3F">
        <w:pPr>
          <w:pStyle w:val="Footer"/>
          <w:jc w:val="center"/>
        </w:pPr>
        <w:r w:rsidRPr="00B72C3F">
          <w:rPr>
            <w:sz w:val="18"/>
            <w:szCs w:val="18"/>
          </w:rPr>
          <w:fldChar w:fldCharType="begin"/>
        </w:r>
        <w:r w:rsidRPr="00B72C3F">
          <w:rPr>
            <w:sz w:val="18"/>
            <w:szCs w:val="18"/>
          </w:rPr>
          <w:instrText xml:space="preserve"> PAGE   \* MERGEFORMAT </w:instrText>
        </w:r>
        <w:r w:rsidRPr="00B72C3F">
          <w:rPr>
            <w:sz w:val="18"/>
            <w:szCs w:val="18"/>
          </w:rPr>
          <w:fldChar w:fldCharType="separate"/>
        </w:r>
        <w:r w:rsidRPr="00B72C3F">
          <w:rPr>
            <w:noProof/>
            <w:sz w:val="18"/>
            <w:szCs w:val="18"/>
          </w:rPr>
          <w:t>2</w:t>
        </w:r>
        <w:r w:rsidRPr="00B72C3F">
          <w:rPr>
            <w:noProof/>
            <w:sz w:val="18"/>
            <w:szCs w:val="18"/>
          </w:rPr>
          <w:fldChar w:fldCharType="end"/>
        </w:r>
      </w:p>
    </w:sdtContent>
  </w:sdt>
  <w:p w14:paraId="67C1E712" w14:textId="77777777" w:rsidR="00B72C3F" w:rsidRDefault="00B72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75C7" w14:textId="77777777" w:rsidR="003136A3" w:rsidRDefault="003136A3" w:rsidP="00B72C3F">
      <w:pPr>
        <w:spacing w:after="0" w:line="240" w:lineRule="auto"/>
      </w:pPr>
      <w:r>
        <w:separator/>
      </w:r>
    </w:p>
  </w:footnote>
  <w:footnote w:type="continuationSeparator" w:id="0">
    <w:p w14:paraId="58C1D953" w14:textId="77777777" w:rsidR="003136A3" w:rsidRDefault="003136A3" w:rsidP="00B72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F0BC1"/>
    <w:multiLevelType w:val="multilevel"/>
    <w:tmpl w:val="4AA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E655B"/>
    <w:multiLevelType w:val="multilevel"/>
    <w:tmpl w:val="3B5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0F03"/>
    <w:multiLevelType w:val="multilevel"/>
    <w:tmpl w:val="26F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A1B30"/>
    <w:multiLevelType w:val="multilevel"/>
    <w:tmpl w:val="4A46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49B9"/>
    <w:multiLevelType w:val="multilevel"/>
    <w:tmpl w:val="07D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6114F"/>
    <w:multiLevelType w:val="multilevel"/>
    <w:tmpl w:val="660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F4322"/>
    <w:multiLevelType w:val="multilevel"/>
    <w:tmpl w:val="42B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01D2B"/>
    <w:multiLevelType w:val="multilevel"/>
    <w:tmpl w:val="3E1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A23C5"/>
    <w:multiLevelType w:val="multilevel"/>
    <w:tmpl w:val="D13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E162E"/>
    <w:multiLevelType w:val="multilevel"/>
    <w:tmpl w:val="1E6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A52D0"/>
    <w:multiLevelType w:val="multilevel"/>
    <w:tmpl w:val="8010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479DB"/>
    <w:multiLevelType w:val="multilevel"/>
    <w:tmpl w:val="2EF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C1D1F"/>
    <w:multiLevelType w:val="multilevel"/>
    <w:tmpl w:val="C0F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B768A"/>
    <w:multiLevelType w:val="multilevel"/>
    <w:tmpl w:val="D5A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51290"/>
    <w:multiLevelType w:val="multilevel"/>
    <w:tmpl w:val="95E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437636">
    <w:abstractNumId w:val="2"/>
  </w:num>
  <w:num w:numId="2" w16cid:durableId="1975022947">
    <w:abstractNumId w:val="12"/>
  </w:num>
  <w:num w:numId="3" w16cid:durableId="489758698">
    <w:abstractNumId w:val="4"/>
  </w:num>
  <w:num w:numId="4" w16cid:durableId="1117408605">
    <w:abstractNumId w:val="0"/>
  </w:num>
  <w:num w:numId="5" w16cid:durableId="2121341516">
    <w:abstractNumId w:val="6"/>
  </w:num>
  <w:num w:numId="6" w16cid:durableId="411854835">
    <w:abstractNumId w:val="1"/>
  </w:num>
  <w:num w:numId="7" w16cid:durableId="1870214890">
    <w:abstractNumId w:val="5"/>
  </w:num>
  <w:num w:numId="8" w16cid:durableId="383213991">
    <w:abstractNumId w:val="13"/>
  </w:num>
  <w:num w:numId="9" w16cid:durableId="1991203452">
    <w:abstractNumId w:val="14"/>
  </w:num>
  <w:num w:numId="10" w16cid:durableId="2076854428">
    <w:abstractNumId w:val="3"/>
  </w:num>
  <w:num w:numId="11" w16cid:durableId="242187320">
    <w:abstractNumId w:val="8"/>
  </w:num>
  <w:num w:numId="12" w16cid:durableId="848368983">
    <w:abstractNumId w:val="11"/>
  </w:num>
  <w:num w:numId="13" w16cid:durableId="1244488535">
    <w:abstractNumId w:val="9"/>
  </w:num>
  <w:num w:numId="14" w16cid:durableId="381369166">
    <w:abstractNumId w:val="7"/>
  </w:num>
  <w:num w:numId="15" w16cid:durableId="1835023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3F"/>
    <w:rsid w:val="001F1A56"/>
    <w:rsid w:val="0030664A"/>
    <w:rsid w:val="003136A3"/>
    <w:rsid w:val="0031687C"/>
    <w:rsid w:val="00503FE5"/>
    <w:rsid w:val="00906291"/>
    <w:rsid w:val="00B31128"/>
    <w:rsid w:val="00B72C3F"/>
    <w:rsid w:val="00BA7E3F"/>
    <w:rsid w:val="00E14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63D2"/>
  <w15:chartTrackingRefBased/>
  <w15:docId w15:val="{9BBA55FF-0C54-4388-A9BD-76DAAE6BD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C3F"/>
    <w:rPr>
      <w:rFonts w:eastAsiaTheme="majorEastAsia" w:cstheme="majorBidi"/>
      <w:color w:val="272727" w:themeColor="text1" w:themeTint="D8"/>
    </w:rPr>
  </w:style>
  <w:style w:type="paragraph" w:styleId="Title">
    <w:name w:val="Title"/>
    <w:basedOn w:val="Normal"/>
    <w:next w:val="Normal"/>
    <w:link w:val="TitleChar"/>
    <w:uiPriority w:val="10"/>
    <w:qFormat/>
    <w:rsid w:val="00B72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C3F"/>
    <w:pPr>
      <w:spacing w:before="160"/>
      <w:jc w:val="center"/>
    </w:pPr>
    <w:rPr>
      <w:i/>
      <w:iCs/>
      <w:color w:val="404040" w:themeColor="text1" w:themeTint="BF"/>
    </w:rPr>
  </w:style>
  <w:style w:type="character" w:customStyle="1" w:styleId="QuoteChar">
    <w:name w:val="Quote Char"/>
    <w:basedOn w:val="DefaultParagraphFont"/>
    <w:link w:val="Quote"/>
    <w:uiPriority w:val="29"/>
    <w:rsid w:val="00B72C3F"/>
    <w:rPr>
      <w:i/>
      <w:iCs/>
      <w:color w:val="404040" w:themeColor="text1" w:themeTint="BF"/>
    </w:rPr>
  </w:style>
  <w:style w:type="paragraph" w:styleId="ListParagraph">
    <w:name w:val="List Paragraph"/>
    <w:basedOn w:val="Normal"/>
    <w:uiPriority w:val="34"/>
    <w:qFormat/>
    <w:rsid w:val="00B72C3F"/>
    <w:pPr>
      <w:ind w:left="720"/>
      <w:contextualSpacing/>
    </w:pPr>
  </w:style>
  <w:style w:type="character" w:styleId="IntenseEmphasis">
    <w:name w:val="Intense Emphasis"/>
    <w:basedOn w:val="DefaultParagraphFont"/>
    <w:uiPriority w:val="21"/>
    <w:qFormat/>
    <w:rsid w:val="00B72C3F"/>
    <w:rPr>
      <w:i/>
      <w:iCs/>
      <w:color w:val="0F4761" w:themeColor="accent1" w:themeShade="BF"/>
    </w:rPr>
  </w:style>
  <w:style w:type="paragraph" w:styleId="IntenseQuote">
    <w:name w:val="Intense Quote"/>
    <w:basedOn w:val="Normal"/>
    <w:next w:val="Normal"/>
    <w:link w:val="IntenseQuoteChar"/>
    <w:uiPriority w:val="30"/>
    <w:qFormat/>
    <w:rsid w:val="00B72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C3F"/>
    <w:rPr>
      <w:i/>
      <w:iCs/>
      <w:color w:val="0F4761" w:themeColor="accent1" w:themeShade="BF"/>
    </w:rPr>
  </w:style>
  <w:style w:type="character" w:styleId="IntenseReference">
    <w:name w:val="Intense Reference"/>
    <w:basedOn w:val="DefaultParagraphFont"/>
    <w:uiPriority w:val="32"/>
    <w:qFormat/>
    <w:rsid w:val="00B72C3F"/>
    <w:rPr>
      <w:b/>
      <w:bCs/>
      <w:smallCaps/>
      <w:color w:val="0F4761" w:themeColor="accent1" w:themeShade="BF"/>
      <w:spacing w:val="5"/>
    </w:rPr>
  </w:style>
  <w:style w:type="paragraph" w:styleId="Header">
    <w:name w:val="header"/>
    <w:basedOn w:val="Normal"/>
    <w:link w:val="HeaderChar"/>
    <w:uiPriority w:val="99"/>
    <w:unhideWhenUsed/>
    <w:rsid w:val="00B72C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C3F"/>
  </w:style>
  <w:style w:type="paragraph" w:styleId="Footer">
    <w:name w:val="footer"/>
    <w:basedOn w:val="Normal"/>
    <w:link w:val="FooterChar"/>
    <w:uiPriority w:val="99"/>
    <w:unhideWhenUsed/>
    <w:rsid w:val="00B72C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Tucker</dc:creator>
  <cp:keywords>Cartheur</cp:keywords>
  <dc:description/>
  <cp:lastModifiedBy>C.A. Tucker</cp:lastModifiedBy>
  <cp:revision>3</cp:revision>
  <dcterms:created xsi:type="dcterms:W3CDTF">2026-02-13T10:16:00Z</dcterms:created>
  <dcterms:modified xsi:type="dcterms:W3CDTF">2026-02-13T10:26:00Z</dcterms:modified>
</cp:coreProperties>
</file>