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D401" w14:textId="77777777" w:rsidR="004309DF" w:rsidRPr="004309DF" w:rsidRDefault="004309DF" w:rsidP="004309DF">
      <w:pPr>
        <w:jc w:val="center"/>
        <w:rPr>
          <w:b/>
          <w:bCs/>
          <w:lang w:val="en-US"/>
        </w:rPr>
      </w:pPr>
      <w:r w:rsidRPr="004309DF">
        <w:rPr>
          <w:b/>
          <w:bCs/>
          <w:lang w:val="en-US"/>
        </w:rPr>
        <w:t>Memorandum</w:t>
      </w:r>
    </w:p>
    <w:p w14:paraId="47010BD8" w14:textId="0F636EAA" w:rsidR="004309DF" w:rsidRPr="004309DF" w:rsidRDefault="004309DF" w:rsidP="004309DF">
      <w:pPr>
        <w:rPr>
          <w:lang w:val="en-US"/>
        </w:rPr>
      </w:pPr>
      <w:r w:rsidRPr="004309DF">
        <w:rPr>
          <w:b/>
          <w:bCs/>
          <w:lang w:val="en-US"/>
        </w:rPr>
        <w:t>To:</w:t>
      </w:r>
      <w:r w:rsidRPr="004309DF">
        <w:rPr>
          <w:lang w:val="en-US"/>
        </w:rPr>
        <w:t xml:space="preserve"> [Prospective Investor]</w:t>
      </w:r>
      <w:r w:rsidRPr="004309DF">
        <w:rPr>
          <w:lang w:val="en-US"/>
        </w:rPr>
        <w:br/>
      </w:r>
      <w:r w:rsidRPr="004309DF">
        <w:rPr>
          <w:b/>
          <w:bCs/>
          <w:lang w:val="en-US"/>
        </w:rPr>
        <w:t>From:</w:t>
      </w:r>
      <w:r w:rsidRPr="004309DF">
        <w:rPr>
          <w:lang w:val="en-US"/>
        </w:rPr>
        <w:t xml:space="preserve"> </w:t>
      </w:r>
      <w:r w:rsidRPr="00B72C3F">
        <w:rPr>
          <w:lang w:val="en-US"/>
        </w:rPr>
        <w:t>Dr. Christopher A. Tucker</w:t>
      </w:r>
      <w:r>
        <w:rPr>
          <w:lang w:val="en-US"/>
        </w:rPr>
        <w:t xml:space="preserve"> / F18 Architecture Group</w:t>
      </w:r>
      <w:r w:rsidRPr="004309DF">
        <w:rPr>
          <w:lang w:val="en-US"/>
        </w:rPr>
        <w:br/>
      </w:r>
      <w:r w:rsidRPr="004309DF">
        <w:rPr>
          <w:b/>
          <w:bCs/>
          <w:lang w:val="en-US"/>
        </w:rPr>
        <w:t>Subject:</w:t>
      </w:r>
      <w:r w:rsidRPr="004309DF">
        <w:rPr>
          <w:lang w:val="en-US"/>
        </w:rPr>
        <w:t xml:space="preserve"> Investment Opportunity — GA144A12-Class Asynchronous Compute Fabric</w:t>
      </w:r>
      <w:r w:rsidRPr="004309DF">
        <w:rPr>
          <w:lang w:val="en-US"/>
        </w:rPr>
        <w:br/>
      </w:r>
      <w:r w:rsidRPr="004309DF">
        <w:rPr>
          <w:b/>
          <w:bCs/>
          <w:lang w:val="en-US"/>
        </w:rPr>
        <w:t>Date:</w:t>
      </w:r>
      <w:r w:rsidRPr="004309DF">
        <w:rPr>
          <w:lang w:val="en-US"/>
        </w:rPr>
        <w:t xml:space="preserve"> </w:t>
      </w:r>
      <w:r w:rsidRPr="00B72C3F">
        <w:rPr>
          <w:lang w:val="en-US"/>
        </w:rPr>
        <w:t>13 February 2026</w:t>
      </w:r>
    </w:p>
    <w:p w14:paraId="0E304360" w14:textId="77777777" w:rsidR="004309DF" w:rsidRPr="004309DF" w:rsidRDefault="004309DF" w:rsidP="004309DF">
      <w:pPr>
        <w:jc w:val="both"/>
        <w:rPr>
          <w:lang w:val="en-US"/>
        </w:rPr>
      </w:pPr>
      <w:r w:rsidRPr="004309DF">
        <w:rPr>
          <w:lang w:val="en-US"/>
        </w:rPr>
        <w:pict w14:anchorId="0C379373">
          <v:rect id="_x0000_i1073" style="width:0;height:1.5pt" o:hralign="center" o:hrstd="t" o:hr="t" fillcolor="#a0a0a0" stroked="f"/>
        </w:pict>
      </w:r>
    </w:p>
    <w:p w14:paraId="6C956E8C" w14:textId="77777777" w:rsidR="004309DF" w:rsidRPr="004309DF" w:rsidRDefault="004309DF" w:rsidP="004309DF">
      <w:pPr>
        <w:jc w:val="both"/>
        <w:rPr>
          <w:b/>
          <w:bCs/>
          <w:lang w:val="en-US"/>
        </w:rPr>
      </w:pPr>
      <w:r w:rsidRPr="004309DF">
        <w:rPr>
          <w:b/>
          <w:bCs/>
          <w:lang w:val="en-US"/>
        </w:rPr>
        <w:t>Executive Summary</w:t>
      </w:r>
    </w:p>
    <w:p w14:paraId="3BBEE54C" w14:textId="77777777" w:rsidR="004309DF" w:rsidRPr="004309DF" w:rsidRDefault="004309DF" w:rsidP="004309DF">
      <w:pPr>
        <w:jc w:val="both"/>
        <w:rPr>
          <w:lang w:val="en-US"/>
        </w:rPr>
      </w:pPr>
      <w:r w:rsidRPr="004309DF">
        <w:rPr>
          <w:lang w:val="en-US"/>
        </w:rPr>
        <w:t>We are advancing a commercially deployable, truly asynchronous multi-core processor architecture in the class of the GA144A12. This architecture departs fundamentally from clock-driven silicon by eliminating the global clock tree and replacing it with a distributed, event-driven fabric of independent computing nodes.</w:t>
      </w:r>
    </w:p>
    <w:p w14:paraId="256F78F1" w14:textId="77777777" w:rsidR="004309DF" w:rsidRPr="004309DF" w:rsidRDefault="004309DF" w:rsidP="004309DF">
      <w:pPr>
        <w:jc w:val="both"/>
        <w:rPr>
          <w:lang w:val="en-US"/>
        </w:rPr>
      </w:pPr>
      <w:r w:rsidRPr="004309DF">
        <w:rPr>
          <w:lang w:val="en-US"/>
        </w:rPr>
        <w:t xml:space="preserve">The result is a </w:t>
      </w:r>
      <w:proofErr w:type="spellStart"/>
      <w:r w:rsidRPr="004309DF">
        <w:rPr>
          <w:lang w:val="en-US"/>
        </w:rPr>
        <w:t>compute</w:t>
      </w:r>
      <w:proofErr w:type="spellEnd"/>
      <w:r w:rsidRPr="004309DF">
        <w:rPr>
          <w:lang w:val="en-US"/>
        </w:rPr>
        <w:t xml:space="preserve"> platform that scales through physical parallelism rather than clock frequency, delivers deterministic execution without speculative complexity, and operates at materially lower energy per useful operation.</w:t>
      </w:r>
    </w:p>
    <w:p w14:paraId="407F7158" w14:textId="77777777" w:rsidR="004309DF" w:rsidRPr="004309DF" w:rsidRDefault="004309DF" w:rsidP="004309DF">
      <w:pPr>
        <w:jc w:val="both"/>
        <w:rPr>
          <w:lang w:val="en-US"/>
        </w:rPr>
      </w:pPr>
      <w:r w:rsidRPr="004309DF">
        <w:rPr>
          <w:lang w:val="en-US"/>
        </w:rPr>
        <w:t>This is not an incremental CPU improvement. It is a structural shift in how computation is organized on silicon.</w:t>
      </w:r>
    </w:p>
    <w:p w14:paraId="742C14DB" w14:textId="77777777" w:rsidR="004309DF" w:rsidRPr="004309DF" w:rsidRDefault="004309DF" w:rsidP="004309DF">
      <w:pPr>
        <w:jc w:val="both"/>
        <w:rPr>
          <w:lang w:val="en-US"/>
        </w:rPr>
      </w:pPr>
      <w:r w:rsidRPr="004309DF">
        <w:rPr>
          <w:lang w:val="en-US"/>
        </w:rPr>
        <w:pict w14:anchorId="4B2054AE">
          <v:rect id="_x0000_i1074" style="width:0;height:1.5pt" o:hralign="center" o:hrstd="t" o:hr="t" fillcolor="#a0a0a0" stroked="f"/>
        </w:pict>
      </w:r>
    </w:p>
    <w:p w14:paraId="5A29183B" w14:textId="77777777" w:rsidR="004309DF" w:rsidRPr="004309DF" w:rsidRDefault="004309DF" w:rsidP="004309DF">
      <w:pPr>
        <w:jc w:val="both"/>
        <w:rPr>
          <w:b/>
          <w:bCs/>
          <w:lang w:val="en-US"/>
        </w:rPr>
      </w:pPr>
      <w:r w:rsidRPr="004309DF">
        <w:rPr>
          <w:b/>
          <w:bCs/>
          <w:lang w:val="en-US"/>
        </w:rPr>
        <w:t>The Market Gap</w:t>
      </w:r>
    </w:p>
    <w:p w14:paraId="7593873E" w14:textId="77777777" w:rsidR="004309DF" w:rsidRPr="004309DF" w:rsidRDefault="004309DF" w:rsidP="004309DF">
      <w:pPr>
        <w:jc w:val="both"/>
        <w:rPr>
          <w:lang w:val="en-US"/>
        </w:rPr>
      </w:pPr>
      <w:r w:rsidRPr="004309DF">
        <w:rPr>
          <w:lang w:val="en-US"/>
        </w:rPr>
        <w:t>Modern processors—whether server-class or embedded—remain fundamentally synchronous. They depend on global clock distribution, deep pipelines, large caches, and speculative execution. This creates systemic constraints:</w:t>
      </w:r>
    </w:p>
    <w:p w14:paraId="37B8405F" w14:textId="77777777" w:rsidR="004309DF" w:rsidRPr="004309DF" w:rsidRDefault="004309DF" w:rsidP="004309DF">
      <w:pPr>
        <w:numPr>
          <w:ilvl w:val="0"/>
          <w:numId w:val="1"/>
        </w:numPr>
        <w:jc w:val="both"/>
        <w:rPr>
          <w:lang w:val="en-US"/>
        </w:rPr>
      </w:pPr>
      <w:r w:rsidRPr="004309DF">
        <w:rPr>
          <w:lang w:val="en-US"/>
        </w:rPr>
        <w:t>Power inefficiency due to constant clock switching</w:t>
      </w:r>
    </w:p>
    <w:p w14:paraId="328A5740" w14:textId="77777777" w:rsidR="004309DF" w:rsidRPr="004309DF" w:rsidRDefault="004309DF" w:rsidP="004309DF">
      <w:pPr>
        <w:numPr>
          <w:ilvl w:val="0"/>
          <w:numId w:val="1"/>
        </w:numPr>
        <w:jc w:val="both"/>
        <w:rPr>
          <w:lang w:val="en-US"/>
        </w:rPr>
      </w:pPr>
      <w:r w:rsidRPr="004309DF">
        <w:rPr>
          <w:lang w:val="en-US"/>
        </w:rPr>
        <w:t>Thermal ceilings limiting density</w:t>
      </w:r>
    </w:p>
    <w:p w14:paraId="00420AD2" w14:textId="77777777" w:rsidR="004309DF" w:rsidRPr="004309DF" w:rsidRDefault="004309DF" w:rsidP="004309DF">
      <w:pPr>
        <w:numPr>
          <w:ilvl w:val="0"/>
          <w:numId w:val="1"/>
        </w:numPr>
        <w:jc w:val="both"/>
        <w:rPr>
          <w:lang w:val="en-US"/>
        </w:rPr>
      </w:pPr>
      <w:r w:rsidRPr="004309DF">
        <w:rPr>
          <w:lang w:val="en-US"/>
        </w:rPr>
        <w:t>Verification complexity</w:t>
      </w:r>
    </w:p>
    <w:p w14:paraId="00A5C23B" w14:textId="77777777" w:rsidR="004309DF" w:rsidRPr="004309DF" w:rsidRDefault="004309DF" w:rsidP="004309DF">
      <w:pPr>
        <w:numPr>
          <w:ilvl w:val="0"/>
          <w:numId w:val="1"/>
        </w:numPr>
        <w:jc w:val="both"/>
        <w:rPr>
          <w:lang w:val="en-US"/>
        </w:rPr>
      </w:pPr>
      <w:r w:rsidRPr="004309DF">
        <w:rPr>
          <w:lang w:val="en-US"/>
        </w:rPr>
        <w:t>Diminishing returns from frequency scaling</w:t>
      </w:r>
    </w:p>
    <w:p w14:paraId="7218FDCA" w14:textId="77777777" w:rsidR="004309DF" w:rsidRPr="004309DF" w:rsidRDefault="004309DF" w:rsidP="004309DF">
      <w:pPr>
        <w:numPr>
          <w:ilvl w:val="0"/>
          <w:numId w:val="1"/>
        </w:numPr>
        <w:jc w:val="both"/>
        <w:rPr>
          <w:lang w:val="en-US"/>
        </w:rPr>
      </w:pPr>
      <w:r w:rsidRPr="004309DF">
        <w:rPr>
          <w:lang w:val="en-US"/>
        </w:rPr>
        <w:t>Increased architectural fragility at advanced nodes</w:t>
      </w:r>
    </w:p>
    <w:p w14:paraId="43CD2AFA" w14:textId="77777777" w:rsidR="004309DF" w:rsidRPr="004309DF" w:rsidRDefault="004309DF" w:rsidP="004309DF">
      <w:pPr>
        <w:jc w:val="both"/>
        <w:rPr>
          <w:lang w:val="en-US"/>
        </w:rPr>
      </w:pPr>
      <w:r w:rsidRPr="004309DF">
        <w:rPr>
          <w:lang w:val="en-US"/>
        </w:rPr>
        <w:t>As Moore-scale frequency gains stall, the industry continues to layer complexity on a clocked foundation. A truly asynchronous alternative remains underdeveloped and undercapitalized.</w:t>
      </w:r>
    </w:p>
    <w:p w14:paraId="30F689F8" w14:textId="77777777" w:rsidR="004309DF" w:rsidRPr="004309DF" w:rsidRDefault="004309DF" w:rsidP="004309DF">
      <w:pPr>
        <w:jc w:val="both"/>
        <w:rPr>
          <w:lang w:val="en-US"/>
        </w:rPr>
      </w:pPr>
      <w:r w:rsidRPr="004309DF">
        <w:rPr>
          <w:lang w:val="en-US"/>
        </w:rPr>
        <w:pict w14:anchorId="325D7001">
          <v:rect id="_x0000_i1075" style="width:0;height:1.5pt" o:hralign="center" o:hrstd="t" o:hr="t" fillcolor="#a0a0a0" stroked="f"/>
        </w:pict>
      </w:r>
    </w:p>
    <w:p w14:paraId="7D17BE11" w14:textId="77777777" w:rsidR="004309DF" w:rsidRPr="004309DF" w:rsidRDefault="004309DF" w:rsidP="004309DF">
      <w:pPr>
        <w:jc w:val="both"/>
        <w:rPr>
          <w:b/>
          <w:bCs/>
          <w:lang w:val="en-US"/>
        </w:rPr>
      </w:pPr>
      <w:r w:rsidRPr="004309DF">
        <w:rPr>
          <w:b/>
          <w:bCs/>
          <w:lang w:val="en-US"/>
        </w:rPr>
        <w:t>The Architecture</w:t>
      </w:r>
    </w:p>
    <w:p w14:paraId="12E37D40" w14:textId="77777777" w:rsidR="004309DF" w:rsidRPr="004309DF" w:rsidRDefault="004309DF" w:rsidP="004309DF">
      <w:pPr>
        <w:jc w:val="both"/>
        <w:rPr>
          <w:lang w:val="en-US"/>
        </w:rPr>
      </w:pPr>
      <w:r w:rsidRPr="004309DF">
        <w:rPr>
          <w:lang w:val="en-US"/>
        </w:rPr>
        <w:t>The GA144A12-class design is a many-node mesh fabric composed of independent computing elements. Each node contains:</w:t>
      </w:r>
    </w:p>
    <w:p w14:paraId="3C48C975" w14:textId="77777777" w:rsidR="004309DF" w:rsidRPr="004309DF" w:rsidRDefault="004309DF" w:rsidP="004309DF">
      <w:pPr>
        <w:numPr>
          <w:ilvl w:val="0"/>
          <w:numId w:val="2"/>
        </w:numPr>
        <w:spacing w:after="0"/>
        <w:jc w:val="both"/>
        <w:rPr>
          <w:lang w:val="en-US"/>
        </w:rPr>
      </w:pPr>
      <w:r w:rsidRPr="004309DF">
        <w:rPr>
          <w:lang w:val="en-US"/>
        </w:rPr>
        <w:t>Local memory</w:t>
      </w:r>
    </w:p>
    <w:p w14:paraId="4F6552BD" w14:textId="77777777" w:rsidR="004309DF" w:rsidRPr="004309DF" w:rsidRDefault="004309DF" w:rsidP="004309DF">
      <w:pPr>
        <w:numPr>
          <w:ilvl w:val="0"/>
          <w:numId w:val="2"/>
        </w:numPr>
        <w:spacing w:after="0"/>
        <w:jc w:val="both"/>
        <w:rPr>
          <w:lang w:val="en-US"/>
        </w:rPr>
      </w:pPr>
      <w:r w:rsidRPr="004309DF">
        <w:rPr>
          <w:lang w:val="en-US"/>
        </w:rPr>
        <w:t>Deterministic execution pipeline</w:t>
      </w:r>
    </w:p>
    <w:p w14:paraId="7D23F034" w14:textId="77777777" w:rsidR="004309DF" w:rsidRPr="004309DF" w:rsidRDefault="004309DF" w:rsidP="004309DF">
      <w:pPr>
        <w:numPr>
          <w:ilvl w:val="0"/>
          <w:numId w:val="2"/>
        </w:numPr>
        <w:spacing w:after="0"/>
        <w:jc w:val="both"/>
        <w:rPr>
          <w:lang w:val="en-US"/>
        </w:rPr>
      </w:pPr>
      <w:r w:rsidRPr="004309DF">
        <w:rPr>
          <w:lang w:val="en-US"/>
        </w:rPr>
        <w:t>Direct neighbor interconnect</w:t>
      </w:r>
    </w:p>
    <w:p w14:paraId="66C2E908" w14:textId="77777777" w:rsidR="004309DF" w:rsidRPr="004309DF" w:rsidRDefault="004309DF" w:rsidP="004309DF">
      <w:pPr>
        <w:numPr>
          <w:ilvl w:val="0"/>
          <w:numId w:val="2"/>
        </w:numPr>
        <w:spacing w:after="0"/>
        <w:jc w:val="both"/>
        <w:rPr>
          <w:lang w:val="en-US"/>
        </w:rPr>
      </w:pPr>
      <w:r w:rsidRPr="004309DF">
        <w:rPr>
          <w:lang w:val="en-US"/>
        </w:rPr>
        <w:t>No shared cache</w:t>
      </w:r>
    </w:p>
    <w:p w14:paraId="5E72D8B5" w14:textId="77777777" w:rsidR="004309DF" w:rsidRPr="004309DF" w:rsidRDefault="004309DF" w:rsidP="004309DF">
      <w:pPr>
        <w:numPr>
          <w:ilvl w:val="0"/>
          <w:numId w:val="2"/>
        </w:numPr>
        <w:jc w:val="both"/>
        <w:rPr>
          <w:lang w:val="en-US"/>
        </w:rPr>
      </w:pPr>
      <w:r w:rsidRPr="004309DF">
        <w:rPr>
          <w:lang w:val="en-US"/>
        </w:rPr>
        <w:t>No global clock</w:t>
      </w:r>
    </w:p>
    <w:p w14:paraId="76F07ACE" w14:textId="77777777" w:rsidR="004309DF" w:rsidRPr="004309DF" w:rsidRDefault="004309DF" w:rsidP="004309DF">
      <w:pPr>
        <w:jc w:val="both"/>
        <w:rPr>
          <w:lang w:val="en-US"/>
        </w:rPr>
      </w:pPr>
      <w:r w:rsidRPr="004309DF">
        <w:rPr>
          <w:lang w:val="en-US"/>
        </w:rPr>
        <w:lastRenderedPageBreak/>
        <w:t>Nodes execute only when active. Communication is explicit. Timing is local.</w:t>
      </w:r>
    </w:p>
    <w:p w14:paraId="02A435FD" w14:textId="77777777" w:rsidR="004309DF" w:rsidRPr="004309DF" w:rsidRDefault="004309DF" w:rsidP="004309DF">
      <w:pPr>
        <w:jc w:val="both"/>
        <w:rPr>
          <w:lang w:val="en-US"/>
        </w:rPr>
      </w:pPr>
      <w:r w:rsidRPr="004309DF">
        <w:rPr>
          <w:lang w:val="en-US"/>
        </w:rPr>
        <w:t>This architecture scales by spatial replication, not by increasing frequency. Performance per watt improves because idle regions consume negligible dynamic power. Determinism improves because execution does not depend on speculative state machines or shared memory arbitration.</w:t>
      </w:r>
    </w:p>
    <w:p w14:paraId="70B7D5D7" w14:textId="77777777" w:rsidR="004309DF" w:rsidRPr="004309DF" w:rsidRDefault="004309DF" w:rsidP="004309DF">
      <w:pPr>
        <w:jc w:val="both"/>
        <w:rPr>
          <w:lang w:val="en-US"/>
        </w:rPr>
      </w:pPr>
      <w:r w:rsidRPr="004309DF">
        <w:rPr>
          <w:lang w:val="en-US"/>
        </w:rPr>
        <w:pict w14:anchorId="459E9334">
          <v:rect id="_x0000_i1076" style="width:0;height:1.5pt" o:hralign="center" o:hrstd="t" o:hr="t" fillcolor="#a0a0a0" stroked="f"/>
        </w:pict>
      </w:r>
    </w:p>
    <w:p w14:paraId="57939C62" w14:textId="77777777" w:rsidR="004309DF" w:rsidRPr="004309DF" w:rsidRDefault="004309DF" w:rsidP="004309DF">
      <w:pPr>
        <w:jc w:val="both"/>
        <w:rPr>
          <w:b/>
          <w:bCs/>
          <w:lang w:val="en-US"/>
        </w:rPr>
      </w:pPr>
      <w:r w:rsidRPr="004309DF">
        <w:rPr>
          <w:b/>
          <w:bCs/>
          <w:lang w:val="en-US"/>
        </w:rPr>
        <w:t>Why Asynchronous Matters Now</w:t>
      </w:r>
    </w:p>
    <w:p w14:paraId="54E32F25" w14:textId="77777777" w:rsidR="004309DF" w:rsidRPr="004309DF" w:rsidRDefault="004309DF" w:rsidP="004309DF">
      <w:pPr>
        <w:jc w:val="both"/>
        <w:rPr>
          <w:lang w:val="en-US"/>
        </w:rPr>
      </w:pPr>
      <w:r w:rsidRPr="004309DF">
        <w:rPr>
          <w:lang w:val="en-US"/>
        </w:rPr>
        <w:t>Three industry inflection points create a strategic opportunity:</w:t>
      </w:r>
    </w:p>
    <w:p w14:paraId="2A948C96" w14:textId="77777777" w:rsidR="004309DF" w:rsidRPr="004309DF" w:rsidRDefault="004309DF" w:rsidP="004309DF">
      <w:pPr>
        <w:numPr>
          <w:ilvl w:val="0"/>
          <w:numId w:val="3"/>
        </w:numPr>
        <w:rPr>
          <w:lang w:val="en-US"/>
        </w:rPr>
      </w:pPr>
      <w:r w:rsidRPr="004309DF">
        <w:rPr>
          <w:b/>
          <w:bCs/>
          <w:lang w:val="en-US"/>
        </w:rPr>
        <w:t>Energy Constraints</w:t>
      </w:r>
      <w:r w:rsidRPr="004309DF">
        <w:rPr>
          <w:lang w:val="en-US"/>
        </w:rPr>
        <w:br/>
        <w:t>Data centers, edge AI, and infrastructure control systems are power-limited. Eliminating the clock tree directly reduces one of the largest sources of dynamic switching power.</w:t>
      </w:r>
    </w:p>
    <w:p w14:paraId="1FE230C8" w14:textId="77777777" w:rsidR="004309DF" w:rsidRPr="004309DF" w:rsidRDefault="004309DF" w:rsidP="004309DF">
      <w:pPr>
        <w:numPr>
          <w:ilvl w:val="0"/>
          <w:numId w:val="3"/>
        </w:numPr>
        <w:rPr>
          <w:lang w:val="en-US"/>
        </w:rPr>
      </w:pPr>
      <w:r w:rsidRPr="004309DF">
        <w:rPr>
          <w:b/>
          <w:bCs/>
          <w:lang w:val="en-US"/>
        </w:rPr>
        <w:t>Thermal and Reliability Limits</w:t>
      </w:r>
      <w:r w:rsidRPr="004309DF">
        <w:rPr>
          <w:lang w:val="en-US"/>
        </w:rPr>
        <w:br/>
        <w:t>Lower switching density reduces heat and extends lifetime. This matters for infrastructure, aerospace, defense, and edge deployments targeting multi-decade operation.</w:t>
      </w:r>
    </w:p>
    <w:p w14:paraId="43763DC6" w14:textId="076173A8" w:rsidR="004309DF" w:rsidRPr="004309DF" w:rsidRDefault="004309DF" w:rsidP="004309DF">
      <w:pPr>
        <w:numPr>
          <w:ilvl w:val="0"/>
          <w:numId w:val="3"/>
        </w:numPr>
        <w:rPr>
          <w:lang w:val="en-US"/>
        </w:rPr>
      </w:pPr>
      <w:r w:rsidRPr="004309DF">
        <w:rPr>
          <w:b/>
          <w:bCs/>
          <w:lang w:val="en-US"/>
        </w:rPr>
        <w:t>Parallel Workloads</w:t>
      </w:r>
      <w:r w:rsidRPr="004309DF">
        <w:rPr>
          <w:lang w:val="en-US"/>
        </w:rPr>
        <w:br/>
        <w:t>Modern workloads—AI inference, signal processing, robotics control, distributed sensing—are naturally parallel. A mesh of independent nodes maps directly onto these patterns without OS-level thread orchestration.</w:t>
      </w:r>
    </w:p>
    <w:p w14:paraId="2A2CBBF5" w14:textId="77777777" w:rsidR="004309DF" w:rsidRPr="004309DF" w:rsidRDefault="004309DF" w:rsidP="004309DF">
      <w:pPr>
        <w:jc w:val="both"/>
        <w:rPr>
          <w:lang w:val="en-US"/>
        </w:rPr>
      </w:pPr>
      <w:r w:rsidRPr="004309DF">
        <w:rPr>
          <w:lang w:val="en-US"/>
        </w:rPr>
        <w:t>The industry is architecturally misaligned with its emerging workloads.</w:t>
      </w:r>
    </w:p>
    <w:p w14:paraId="1133767B" w14:textId="77777777" w:rsidR="004309DF" w:rsidRPr="004309DF" w:rsidRDefault="004309DF" w:rsidP="004309DF">
      <w:pPr>
        <w:jc w:val="both"/>
        <w:rPr>
          <w:lang w:val="en-US"/>
        </w:rPr>
      </w:pPr>
      <w:r w:rsidRPr="004309DF">
        <w:rPr>
          <w:lang w:val="en-US"/>
        </w:rPr>
        <w:pict w14:anchorId="6F821E9C">
          <v:rect id="_x0000_i1077" style="width:0;height:1.5pt" o:hralign="center" o:hrstd="t" o:hr="t" fillcolor="#a0a0a0" stroked="f"/>
        </w:pict>
      </w:r>
    </w:p>
    <w:p w14:paraId="7E55034E" w14:textId="77777777" w:rsidR="004309DF" w:rsidRPr="004309DF" w:rsidRDefault="004309DF" w:rsidP="004309DF">
      <w:pPr>
        <w:jc w:val="both"/>
        <w:rPr>
          <w:b/>
          <w:bCs/>
          <w:lang w:val="en-US"/>
        </w:rPr>
      </w:pPr>
      <w:r w:rsidRPr="004309DF">
        <w:rPr>
          <w:b/>
          <w:bCs/>
          <w:lang w:val="en-US"/>
        </w:rPr>
        <w:t>Competitive Differentiation</w:t>
      </w:r>
    </w:p>
    <w:p w14:paraId="1E6CB123" w14:textId="77777777" w:rsidR="004309DF" w:rsidRPr="004309DF" w:rsidRDefault="004309DF" w:rsidP="004309DF">
      <w:pPr>
        <w:jc w:val="both"/>
        <w:rPr>
          <w:lang w:val="en-US"/>
        </w:rPr>
      </w:pPr>
      <w:r w:rsidRPr="004309DF">
        <w:rPr>
          <w:lang w:val="en-US"/>
        </w:rPr>
        <w:t>Unlike incremental low-power MCUs or domain-specific accelerators, a truly asynchronous multi-core fabric provides:</w:t>
      </w:r>
    </w:p>
    <w:p w14:paraId="4AD45179" w14:textId="77777777" w:rsidR="004309DF" w:rsidRPr="004309DF" w:rsidRDefault="004309DF" w:rsidP="004309DF">
      <w:pPr>
        <w:numPr>
          <w:ilvl w:val="0"/>
          <w:numId w:val="4"/>
        </w:numPr>
        <w:spacing w:after="0"/>
        <w:jc w:val="both"/>
        <w:rPr>
          <w:lang w:val="en-US"/>
        </w:rPr>
      </w:pPr>
      <w:r w:rsidRPr="004309DF">
        <w:rPr>
          <w:lang w:val="en-US"/>
        </w:rPr>
        <w:t>Native hardware-level parallelism</w:t>
      </w:r>
    </w:p>
    <w:p w14:paraId="4E466CEB" w14:textId="77777777" w:rsidR="004309DF" w:rsidRPr="004309DF" w:rsidRDefault="004309DF" w:rsidP="004309DF">
      <w:pPr>
        <w:numPr>
          <w:ilvl w:val="0"/>
          <w:numId w:val="4"/>
        </w:numPr>
        <w:spacing w:after="0"/>
        <w:jc w:val="both"/>
        <w:rPr>
          <w:lang w:val="en-US"/>
        </w:rPr>
      </w:pPr>
      <w:r w:rsidRPr="004309DF">
        <w:rPr>
          <w:lang w:val="en-US"/>
        </w:rPr>
        <w:t>Deterministic timing without RTOS complexity</w:t>
      </w:r>
    </w:p>
    <w:p w14:paraId="7ECD44AA" w14:textId="77777777" w:rsidR="004309DF" w:rsidRPr="004309DF" w:rsidRDefault="004309DF" w:rsidP="004309DF">
      <w:pPr>
        <w:numPr>
          <w:ilvl w:val="0"/>
          <w:numId w:val="4"/>
        </w:numPr>
        <w:spacing w:after="0"/>
        <w:jc w:val="both"/>
        <w:rPr>
          <w:lang w:val="en-US"/>
        </w:rPr>
      </w:pPr>
      <w:r w:rsidRPr="004309DF">
        <w:rPr>
          <w:lang w:val="en-US"/>
        </w:rPr>
        <w:t>Reduced EMI sensitivity</w:t>
      </w:r>
    </w:p>
    <w:p w14:paraId="23D03109" w14:textId="77777777" w:rsidR="004309DF" w:rsidRPr="004309DF" w:rsidRDefault="004309DF" w:rsidP="004309DF">
      <w:pPr>
        <w:numPr>
          <w:ilvl w:val="0"/>
          <w:numId w:val="4"/>
        </w:numPr>
        <w:spacing w:after="0"/>
        <w:jc w:val="both"/>
        <w:rPr>
          <w:lang w:val="en-US"/>
        </w:rPr>
      </w:pPr>
      <w:r w:rsidRPr="004309DF">
        <w:rPr>
          <w:lang w:val="en-US"/>
        </w:rPr>
        <w:t>Small, inspectable firmware footprints</w:t>
      </w:r>
    </w:p>
    <w:p w14:paraId="04F5E2BE" w14:textId="77777777" w:rsidR="004309DF" w:rsidRPr="004309DF" w:rsidRDefault="004309DF" w:rsidP="004309DF">
      <w:pPr>
        <w:numPr>
          <w:ilvl w:val="0"/>
          <w:numId w:val="4"/>
        </w:numPr>
        <w:jc w:val="both"/>
        <w:rPr>
          <w:lang w:val="en-US"/>
        </w:rPr>
      </w:pPr>
      <w:r w:rsidRPr="004309DF">
        <w:rPr>
          <w:lang w:val="en-US"/>
        </w:rPr>
        <w:t>Architectural fault containment</w:t>
      </w:r>
    </w:p>
    <w:p w14:paraId="6808368A" w14:textId="77777777" w:rsidR="004309DF" w:rsidRPr="004309DF" w:rsidRDefault="004309DF" w:rsidP="004309DF">
      <w:pPr>
        <w:jc w:val="both"/>
        <w:rPr>
          <w:lang w:val="en-US"/>
        </w:rPr>
      </w:pPr>
      <w:r w:rsidRPr="004309DF">
        <w:rPr>
          <w:lang w:val="en-US"/>
        </w:rPr>
        <w:t>It competes not by higher clock speed but by structural efficiency.</w:t>
      </w:r>
    </w:p>
    <w:p w14:paraId="1E2129B8" w14:textId="77777777" w:rsidR="004309DF" w:rsidRPr="004309DF" w:rsidRDefault="004309DF" w:rsidP="004309DF">
      <w:pPr>
        <w:jc w:val="both"/>
        <w:rPr>
          <w:lang w:val="en-US"/>
        </w:rPr>
      </w:pPr>
      <w:r w:rsidRPr="004309DF">
        <w:rPr>
          <w:lang w:val="en-US"/>
        </w:rPr>
        <w:t>There are few credible, commercially mature, fully asynchronous processor platforms in existence. This scarcity represents both a technical moat and an investment opportunity.</w:t>
      </w:r>
    </w:p>
    <w:p w14:paraId="794A4CA9" w14:textId="77777777" w:rsidR="004309DF" w:rsidRPr="004309DF" w:rsidRDefault="004309DF" w:rsidP="004309DF">
      <w:pPr>
        <w:jc w:val="both"/>
        <w:rPr>
          <w:lang w:val="en-US"/>
        </w:rPr>
      </w:pPr>
      <w:r w:rsidRPr="004309DF">
        <w:rPr>
          <w:lang w:val="en-US"/>
        </w:rPr>
        <w:pict w14:anchorId="6DDD3603">
          <v:rect id="_x0000_i1078" style="width:0;height:1.5pt" o:hralign="center" o:hrstd="t" o:hr="t" fillcolor="#a0a0a0" stroked="f"/>
        </w:pict>
      </w:r>
    </w:p>
    <w:p w14:paraId="326BE0E9" w14:textId="77777777" w:rsidR="004309DF" w:rsidRPr="004309DF" w:rsidRDefault="004309DF" w:rsidP="004309DF">
      <w:pPr>
        <w:jc w:val="both"/>
        <w:rPr>
          <w:b/>
          <w:bCs/>
          <w:lang w:val="en-US"/>
        </w:rPr>
      </w:pPr>
      <w:r w:rsidRPr="004309DF">
        <w:rPr>
          <w:b/>
          <w:bCs/>
          <w:lang w:val="en-US"/>
        </w:rPr>
        <w:t>Commercial Path</w:t>
      </w:r>
    </w:p>
    <w:p w14:paraId="6FA02BAD" w14:textId="77777777" w:rsidR="004309DF" w:rsidRPr="004309DF" w:rsidRDefault="004309DF" w:rsidP="004309DF">
      <w:pPr>
        <w:jc w:val="both"/>
        <w:rPr>
          <w:lang w:val="en-US"/>
        </w:rPr>
      </w:pPr>
      <w:r w:rsidRPr="004309DF">
        <w:rPr>
          <w:lang w:val="en-US"/>
        </w:rPr>
        <w:t>Initial markets include:</w:t>
      </w:r>
    </w:p>
    <w:p w14:paraId="6EB86E4D" w14:textId="77777777" w:rsidR="004309DF" w:rsidRPr="004309DF" w:rsidRDefault="004309DF" w:rsidP="004309DF">
      <w:pPr>
        <w:numPr>
          <w:ilvl w:val="0"/>
          <w:numId w:val="5"/>
        </w:numPr>
        <w:spacing w:after="0"/>
        <w:jc w:val="both"/>
        <w:rPr>
          <w:lang w:val="en-US"/>
        </w:rPr>
      </w:pPr>
      <w:r w:rsidRPr="004309DF">
        <w:rPr>
          <w:lang w:val="en-US"/>
        </w:rPr>
        <w:t>Power electronics control</w:t>
      </w:r>
    </w:p>
    <w:p w14:paraId="346C73E3" w14:textId="77777777" w:rsidR="004309DF" w:rsidRPr="004309DF" w:rsidRDefault="004309DF" w:rsidP="004309DF">
      <w:pPr>
        <w:numPr>
          <w:ilvl w:val="0"/>
          <w:numId w:val="5"/>
        </w:numPr>
        <w:spacing w:after="0"/>
        <w:jc w:val="both"/>
        <w:rPr>
          <w:lang w:val="en-US"/>
        </w:rPr>
      </w:pPr>
      <w:r w:rsidRPr="004309DF">
        <w:rPr>
          <w:lang w:val="en-US"/>
        </w:rPr>
        <w:t>High-reliability infrastructure systems</w:t>
      </w:r>
    </w:p>
    <w:p w14:paraId="3FA6A54E" w14:textId="77777777" w:rsidR="004309DF" w:rsidRPr="004309DF" w:rsidRDefault="004309DF" w:rsidP="004309DF">
      <w:pPr>
        <w:numPr>
          <w:ilvl w:val="0"/>
          <w:numId w:val="5"/>
        </w:numPr>
        <w:spacing w:after="0"/>
        <w:jc w:val="both"/>
        <w:rPr>
          <w:lang w:val="en-US"/>
        </w:rPr>
      </w:pPr>
      <w:r w:rsidRPr="004309DF">
        <w:rPr>
          <w:lang w:val="en-US"/>
        </w:rPr>
        <w:t>Robotics and autonomous platforms</w:t>
      </w:r>
    </w:p>
    <w:p w14:paraId="77207301" w14:textId="77777777" w:rsidR="004309DF" w:rsidRPr="004309DF" w:rsidRDefault="004309DF" w:rsidP="004309DF">
      <w:pPr>
        <w:numPr>
          <w:ilvl w:val="0"/>
          <w:numId w:val="5"/>
        </w:numPr>
        <w:spacing w:after="0"/>
        <w:jc w:val="both"/>
        <w:rPr>
          <w:lang w:val="en-US"/>
        </w:rPr>
      </w:pPr>
      <w:r w:rsidRPr="004309DF">
        <w:rPr>
          <w:lang w:val="en-US"/>
        </w:rPr>
        <w:lastRenderedPageBreak/>
        <w:t>Edge AI preprocessing</w:t>
      </w:r>
    </w:p>
    <w:p w14:paraId="32E8ED1E" w14:textId="77777777" w:rsidR="004309DF" w:rsidRPr="004309DF" w:rsidRDefault="004309DF" w:rsidP="004309DF">
      <w:pPr>
        <w:numPr>
          <w:ilvl w:val="0"/>
          <w:numId w:val="5"/>
        </w:numPr>
        <w:jc w:val="both"/>
        <w:rPr>
          <w:lang w:val="en-US"/>
        </w:rPr>
      </w:pPr>
      <w:r w:rsidRPr="004309DF">
        <w:rPr>
          <w:lang w:val="en-US"/>
        </w:rPr>
        <w:t>Aerospace and defense applications</w:t>
      </w:r>
    </w:p>
    <w:p w14:paraId="2CDD6633" w14:textId="77777777" w:rsidR="004309DF" w:rsidRPr="004309DF" w:rsidRDefault="004309DF" w:rsidP="004309DF">
      <w:pPr>
        <w:jc w:val="both"/>
        <w:rPr>
          <w:lang w:val="en-US"/>
        </w:rPr>
      </w:pPr>
      <w:r w:rsidRPr="004309DF">
        <w:rPr>
          <w:lang w:val="en-US"/>
        </w:rPr>
        <w:t>These domains prioritize determinism, power efficiency, and reliability over peak benchmark scores.</w:t>
      </w:r>
    </w:p>
    <w:p w14:paraId="44A68540" w14:textId="77777777" w:rsidR="004309DF" w:rsidRPr="004309DF" w:rsidRDefault="004309DF" w:rsidP="004309DF">
      <w:pPr>
        <w:jc w:val="both"/>
        <w:rPr>
          <w:lang w:val="en-US"/>
        </w:rPr>
      </w:pPr>
      <w:r w:rsidRPr="004309DF">
        <w:rPr>
          <w:lang w:val="en-US"/>
        </w:rPr>
        <w:t>Longer term, asynchronous fabrics offer potential integration into heterogeneous compute stacks where energy efficiency and deterministic behavior become dominant purchasing criteria.</w:t>
      </w:r>
    </w:p>
    <w:p w14:paraId="4352B01B" w14:textId="77777777" w:rsidR="004309DF" w:rsidRPr="004309DF" w:rsidRDefault="004309DF" w:rsidP="004309DF">
      <w:pPr>
        <w:jc w:val="both"/>
        <w:rPr>
          <w:lang w:val="en-US"/>
        </w:rPr>
      </w:pPr>
      <w:r w:rsidRPr="004309DF">
        <w:rPr>
          <w:lang w:val="en-US"/>
        </w:rPr>
        <w:pict w14:anchorId="5A6E0E4B">
          <v:rect id="_x0000_i1079" style="width:0;height:1.5pt" o:hralign="center" o:hrstd="t" o:hr="t" fillcolor="#a0a0a0" stroked="f"/>
        </w:pict>
      </w:r>
    </w:p>
    <w:p w14:paraId="563ADD11" w14:textId="77777777" w:rsidR="004309DF" w:rsidRPr="004309DF" w:rsidRDefault="004309DF" w:rsidP="004309DF">
      <w:pPr>
        <w:jc w:val="both"/>
        <w:rPr>
          <w:b/>
          <w:bCs/>
          <w:lang w:val="en-US"/>
        </w:rPr>
      </w:pPr>
      <w:r w:rsidRPr="004309DF">
        <w:rPr>
          <w:b/>
          <w:bCs/>
          <w:lang w:val="en-US"/>
        </w:rPr>
        <w:t>Investment Thesis</w:t>
      </w:r>
    </w:p>
    <w:p w14:paraId="2B3FA62D" w14:textId="77777777" w:rsidR="004309DF" w:rsidRPr="004309DF" w:rsidRDefault="004309DF" w:rsidP="004309DF">
      <w:pPr>
        <w:jc w:val="both"/>
        <w:rPr>
          <w:lang w:val="en-US"/>
        </w:rPr>
      </w:pPr>
      <w:r w:rsidRPr="004309DF">
        <w:rPr>
          <w:lang w:val="en-US"/>
        </w:rPr>
        <w:t>The semiconductor industry has optimized synchronous architectures for decades. The returns on that paradigm are diminishing.</w:t>
      </w:r>
    </w:p>
    <w:p w14:paraId="43D6CD63" w14:textId="77777777" w:rsidR="004309DF" w:rsidRPr="004309DF" w:rsidRDefault="004309DF" w:rsidP="004309DF">
      <w:pPr>
        <w:jc w:val="both"/>
        <w:rPr>
          <w:lang w:val="en-US"/>
        </w:rPr>
      </w:pPr>
      <w:r w:rsidRPr="004309DF">
        <w:rPr>
          <w:lang w:val="en-US"/>
        </w:rPr>
        <w:t>A commercially viable asynchronous processor fabric represents:</w:t>
      </w:r>
    </w:p>
    <w:p w14:paraId="22921BEB" w14:textId="77777777" w:rsidR="004309DF" w:rsidRPr="004309DF" w:rsidRDefault="004309DF" w:rsidP="004309DF">
      <w:pPr>
        <w:numPr>
          <w:ilvl w:val="0"/>
          <w:numId w:val="6"/>
        </w:numPr>
        <w:spacing w:after="0"/>
        <w:jc w:val="both"/>
        <w:rPr>
          <w:lang w:val="en-US"/>
        </w:rPr>
      </w:pPr>
      <w:r w:rsidRPr="004309DF">
        <w:rPr>
          <w:lang w:val="en-US"/>
        </w:rPr>
        <w:t>Architectural differentiation</w:t>
      </w:r>
    </w:p>
    <w:p w14:paraId="5A45CEC0" w14:textId="77777777" w:rsidR="004309DF" w:rsidRPr="004309DF" w:rsidRDefault="004309DF" w:rsidP="004309DF">
      <w:pPr>
        <w:numPr>
          <w:ilvl w:val="0"/>
          <w:numId w:val="6"/>
        </w:numPr>
        <w:spacing w:after="0"/>
        <w:jc w:val="both"/>
        <w:rPr>
          <w:lang w:val="en-US"/>
        </w:rPr>
      </w:pPr>
      <w:r w:rsidRPr="004309DF">
        <w:rPr>
          <w:lang w:val="en-US"/>
        </w:rPr>
        <w:t>Defensible intellectual property</w:t>
      </w:r>
    </w:p>
    <w:p w14:paraId="4319876C" w14:textId="77777777" w:rsidR="004309DF" w:rsidRPr="004309DF" w:rsidRDefault="004309DF" w:rsidP="004309DF">
      <w:pPr>
        <w:numPr>
          <w:ilvl w:val="0"/>
          <w:numId w:val="6"/>
        </w:numPr>
        <w:spacing w:after="0"/>
        <w:jc w:val="both"/>
        <w:rPr>
          <w:lang w:val="en-US"/>
        </w:rPr>
      </w:pPr>
      <w:r w:rsidRPr="004309DF">
        <w:rPr>
          <w:lang w:val="en-US"/>
        </w:rPr>
        <w:t>Entry into high-value reliability-driven markets</w:t>
      </w:r>
    </w:p>
    <w:p w14:paraId="456D14BF" w14:textId="77777777" w:rsidR="004309DF" w:rsidRPr="004309DF" w:rsidRDefault="004309DF" w:rsidP="004309DF">
      <w:pPr>
        <w:numPr>
          <w:ilvl w:val="0"/>
          <w:numId w:val="6"/>
        </w:numPr>
        <w:jc w:val="both"/>
        <w:rPr>
          <w:lang w:val="en-US"/>
        </w:rPr>
      </w:pPr>
      <w:r w:rsidRPr="004309DF">
        <w:rPr>
          <w:lang w:val="en-US"/>
        </w:rPr>
        <w:t>Strategic leverage in energy-constrained computing sectors</w:t>
      </w:r>
    </w:p>
    <w:p w14:paraId="04C1CD6A" w14:textId="77777777" w:rsidR="004309DF" w:rsidRPr="004309DF" w:rsidRDefault="004309DF" w:rsidP="004309DF">
      <w:pPr>
        <w:jc w:val="both"/>
        <w:rPr>
          <w:lang w:val="en-US"/>
        </w:rPr>
      </w:pPr>
      <w:r w:rsidRPr="004309DF">
        <w:rPr>
          <w:lang w:val="en-US"/>
        </w:rPr>
        <w:t>Capital is required not for speculative research, but for scaling fabrication, tooling, ecosystem development, and targeted market penetration.</w:t>
      </w:r>
    </w:p>
    <w:p w14:paraId="5880BA29" w14:textId="6E320C70" w:rsidR="00906291" w:rsidRDefault="004309DF" w:rsidP="004309DF">
      <w:pPr>
        <w:jc w:val="both"/>
        <w:rPr>
          <w:lang w:val="en-US"/>
        </w:rPr>
      </w:pPr>
      <w:r w:rsidRPr="004309DF">
        <w:rPr>
          <w:lang w:val="en-US"/>
        </w:rPr>
        <w:t>This is an opportunity to back a fundamentally different compute architecture at a time when the industry is actively seeking structural alternatives.</w:t>
      </w:r>
    </w:p>
    <w:p w14:paraId="75877E75" w14:textId="6D4F3091" w:rsidR="004309DF" w:rsidRPr="004309DF" w:rsidRDefault="004309DF" w:rsidP="004309DF">
      <w:pPr>
        <w:jc w:val="both"/>
        <w:rPr>
          <w:b/>
          <w:bCs/>
        </w:rPr>
      </w:pPr>
      <w:r w:rsidRPr="004309DF">
        <w:rPr>
          <w:b/>
          <w:bCs/>
        </w:rPr>
        <w:t>What Comes Next</w:t>
      </w:r>
    </w:p>
    <w:p w14:paraId="6A0B5466" w14:textId="77777777" w:rsidR="004309DF" w:rsidRPr="004309DF" w:rsidRDefault="004309DF" w:rsidP="004309DF">
      <w:pPr>
        <w:jc w:val="both"/>
      </w:pPr>
      <w:r w:rsidRPr="004309DF">
        <w:t xml:space="preserve">The next phase is disciplined execution rather than architectural discovery. The core asynchronous fabric is established; the opportunity now lies in scaling it into a commercially dominant platform. This includes advancing to modern fabrication nodes for improved density and energy efficiency, expanding high-speed interconnect and I/O capabilities for industrial integration, and developing a streamlined toolchain that lowers adoption barriers for engineering teams accustomed to synchronous MCU ecosystems. Parallel to this, we will formalize reference designs targeting high-value verticals—power electronics control, aerospace systems, robotics platforms, and edge inference modules—where deterministic </w:t>
      </w:r>
      <w:proofErr w:type="spellStart"/>
      <w:r w:rsidRPr="004309DF">
        <w:t>behavior</w:t>
      </w:r>
      <w:proofErr w:type="spellEnd"/>
      <w:r w:rsidRPr="004309DF">
        <w:t xml:space="preserve"> and power efficiency provide immediate economic advantage. Strategic partnerships with infrastructure and </w:t>
      </w:r>
      <w:proofErr w:type="spellStart"/>
      <w:r w:rsidRPr="004309DF">
        <w:t>defense</w:t>
      </w:r>
      <w:proofErr w:type="spellEnd"/>
      <w:r w:rsidRPr="004309DF">
        <w:t xml:space="preserve"> contractors will accelerate validation cycles and create early anchor customers. Over time, the architecture can evolve into heterogeneous deployments, serving as a deterministic control and signal-processing layer alongside conventional CPUs and GPUs. The objective is not to compete head-on in commodity compute, but to establish the asynchronous fabric as the default choice where reliability, efficiency, and architectural clarity are mission-critical.</w:t>
      </w:r>
    </w:p>
    <w:p w14:paraId="2610CE30" w14:textId="77777777" w:rsidR="004309DF" w:rsidRPr="004309DF" w:rsidRDefault="004309DF" w:rsidP="004309DF">
      <w:pPr>
        <w:jc w:val="both"/>
        <w:rPr>
          <w:lang w:val="en-US"/>
        </w:rPr>
      </w:pPr>
    </w:p>
    <w:sectPr w:rsidR="004309DF" w:rsidRPr="004309D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34A90" w14:textId="77777777" w:rsidR="00E94D42" w:rsidRDefault="00E94D42" w:rsidP="004309DF">
      <w:pPr>
        <w:spacing w:after="0" w:line="240" w:lineRule="auto"/>
      </w:pPr>
      <w:r>
        <w:separator/>
      </w:r>
    </w:p>
  </w:endnote>
  <w:endnote w:type="continuationSeparator" w:id="0">
    <w:p w14:paraId="49E745BD" w14:textId="77777777" w:rsidR="00E94D42" w:rsidRDefault="00E94D42" w:rsidP="00430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DB5D" w14:textId="77777777" w:rsidR="004309DF" w:rsidRDefault="004309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223996"/>
      <w:docPartObj>
        <w:docPartGallery w:val="Page Numbers (Bottom of Page)"/>
        <w:docPartUnique/>
      </w:docPartObj>
    </w:sdtPr>
    <w:sdtEndPr>
      <w:rPr>
        <w:noProof/>
      </w:rPr>
    </w:sdtEndPr>
    <w:sdtContent>
      <w:p w14:paraId="4AEA62E0" w14:textId="7D1175E3" w:rsidR="004309DF" w:rsidRDefault="004309DF">
        <w:pPr>
          <w:pStyle w:val="Footer"/>
          <w:jc w:val="center"/>
        </w:pPr>
        <w:r w:rsidRPr="004309DF">
          <w:rPr>
            <w:sz w:val="18"/>
            <w:szCs w:val="18"/>
          </w:rPr>
          <w:fldChar w:fldCharType="begin"/>
        </w:r>
        <w:r w:rsidRPr="004309DF">
          <w:rPr>
            <w:sz w:val="18"/>
            <w:szCs w:val="18"/>
          </w:rPr>
          <w:instrText xml:space="preserve"> PAGE   \* MERGEFORMAT </w:instrText>
        </w:r>
        <w:r w:rsidRPr="004309DF">
          <w:rPr>
            <w:sz w:val="18"/>
            <w:szCs w:val="18"/>
          </w:rPr>
          <w:fldChar w:fldCharType="separate"/>
        </w:r>
        <w:r w:rsidRPr="004309DF">
          <w:rPr>
            <w:noProof/>
            <w:sz w:val="18"/>
            <w:szCs w:val="18"/>
          </w:rPr>
          <w:t>2</w:t>
        </w:r>
        <w:r w:rsidRPr="004309DF">
          <w:rPr>
            <w:noProof/>
            <w:sz w:val="18"/>
            <w:szCs w:val="18"/>
          </w:rPr>
          <w:fldChar w:fldCharType="end"/>
        </w:r>
      </w:p>
    </w:sdtContent>
  </w:sdt>
  <w:p w14:paraId="0A945C2C" w14:textId="77777777" w:rsidR="004309DF" w:rsidRDefault="004309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CC7B" w14:textId="77777777" w:rsidR="004309DF" w:rsidRDefault="00430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4393B" w14:textId="77777777" w:rsidR="00E94D42" w:rsidRDefault="00E94D42" w:rsidP="004309DF">
      <w:pPr>
        <w:spacing w:after="0" w:line="240" w:lineRule="auto"/>
      </w:pPr>
      <w:r>
        <w:separator/>
      </w:r>
    </w:p>
  </w:footnote>
  <w:footnote w:type="continuationSeparator" w:id="0">
    <w:p w14:paraId="235E9D5D" w14:textId="77777777" w:rsidR="00E94D42" w:rsidRDefault="00E94D42" w:rsidP="00430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0977" w14:textId="77777777" w:rsidR="004309DF" w:rsidRDefault="004309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B40C" w14:textId="77777777" w:rsidR="004309DF" w:rsidRDefault="004309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72B0" w14:textId="77777777" w:rsidR="004309DF" w:rsidRDefault="00430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76F"/>
    <w:multiLevelType w:val="multilevel"/>
    <w:tmpl w:val="91C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36C63"/>
    <w:multiLevelType w:val="multilevel"/>
    <w:tmpl w:val="DC12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AC63A3"/>
    <w:multiLevelType w:val="multilevel"/>
    <w:tmpl w:val="713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D5E9B"/>
    <w:multiLevelType w:val="multilevel"/>
    <w:tmpl w:val="57E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A3CBB"/>
    <w:multiLevelType w:val="multilevel"/>
    <w:tmpl w:val="339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A3BE2"/>
    <w:multiLevelType w:val="multilevel"/>
    <w:tmpl w:val="14D2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76946">
    <w:abstractNumId w:val="3"/>
  </w:num>
  <w:num w:numId="2" w16cid:durableId="1490559659">
    <w:abstractNumId w:val="4"/>
  </w:num>
  <w:num w:numId="3" w16cid:durableId="1226994148">
    <w:abstractNumId w:val="1"/>
  </w:num>
  <w:num w:numId="4" w16cid:durableId="1907688027">
    <w:abstractNumId w:val="0"/>
  </w:num>
  <w:num w:numId="5" w16cid:durableId="345863034">
    <w:abstractNumId w:val="5"/>
  </w:num>
  <w:num w:numId="6" w16cid:durableId="111246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DF"/>
    <w:rsid w:val="001F1A56"/>
    <w:rsid w:val="0030664A"/>
    <w:rsid w:val="0031687C"/>
    <w:rsid w:val="004309DF"/>
    <w:rsid w:val="00503FE5"/>
    <w:rsid w:val="00906291"/>
    <w:rsid w:val="00B31128"/>
    <w:rsid w:val="00E94D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4756E1"/>
  <w15:chartTrackingRefBased/>
  <w15:docId w15:val="{7A31C4E0-E51C-4CC6-B453-75D5D96B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9DF"/>
    <w:rPr>
      <w:rFonts w:eastAsiaTheme="majorEastAsia" w:cstheme="majorBidi"/>
      <w:color w:val="272727" w:themeColor="text1" w:themeTint="D8"/>
    </w:rPr>
  </w:style>
  <w:style w:type="paragraph" w:styleId="Title">
    <w:name w:val="Title"/>
    <w:basedOn w:val="Normal"/>
    <w:next w:val="Normal"/>
    <w:link w:val="TitleChar"/>
    <w:uiPriority w:val="10"/>
    <w:qFormat/>
    <w:rsid w:val="0043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9DF"/>
    <w:pPr>
      <w:spacing w:before="160"/>
      <w:jc w:val="center"/>
    </w:pPr>
    <w:rPr>
      <w:i/>
      <w:iCs/>
      <w:color w:val="404040" w:themeColor="text1" w:themeTint="BF"/>
    </w:rPr>
  </w:style>
  <w:style w:type="character" w:customStyle="1" w:styleId="QuoteChar">
    <w:name w:val="Quote Char"/>
    <w:basedOn w:val="DefaultParagraphFont"/>
    <w:link w:val="Quote"/>
    <w:uiPriority w:val="29"/>
    <w:rsid w:val="004309DF"/>
    <w:rPr>
      <w:i/>
      <w:iCs/>
      <w:color w:val="404040" w:themeColor="text1" w:themeTint="BF"/>
    </w:rPr>
  </w:style>
  <w:style w:type="paragraph" w:styleId="ListParagraph">
    <w:name w:val="List Paragraph"/>
    <w:basedOn w:val="Normal"/>
    <w:uiPriority w:val="34"/>
    <w:qFormat/>
    <w:rsid w:val="004309DF"/>
    <w:pPr>
      <w:ind w:left="720"/>
      <w:contextualSpacing/>
    </w:pPr>
  </w:style>
  <w:style w:type="character" w:styleId="IntenseEmphasis">
    <w:name w:val="Intense Emphasis"/>
    <w:basedOn w:val="DefaultParagraphFont"/>
    <w:uiPriority w:val="21"/>
    <w:qFormat/>
    <w:rsid w:val="004309DF"/>
    <w:rPr>
      <w:i/>
      <w:iCs/>
      <w:color w:val="0F4761" w:themeColor="accent1" w:themeShade="BF"/>
    </w:rPr>
  </w:style>
  <w:style w:type="paragraph" w:styleId="IntenseQuote">
    <w:name w:val="Intense Quote"/>
    <w:basedOn w:val="Normal"/>
    <w:next w:val="Normal"/>
    <w:link w:val="IntenseQuoteChar"/>
    <w:uiPriority w:val="30"/>
    <w:qFormat/>
    <w:rsid w:val="0043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9DF"/>
    <w:rPr>
      <w:i/>
      <w:iCs/>
      <w:color w:val="0F4761" w:themeColor="accent1" w:themeShade="BF"/>
    </w:rPr>
  </w:style>
  <w:style w:type="character" w:styleId="IntenseReference">
    <w:name w:val="Intense Reference"/>
    <w:basedOn w:val="DefaultParagraphFont"/>
    <w:uiPriority w:val="32"/>
    <w:qFormat/>
    <w:rsid w:val="004309DF"/>
    <w:rPr>
      <w:b/>
      <w:bCs/>
      <w:smallCaps/>
      <w:color w:val="0F4761" w:themeColor="accent1" w:themeShade="BF"/>
      <w:spacing w:val="5"/>
    </w:rPr>
  </w:style>
  <w:style w:type="paragraph" w:styleId="Header">
    <w:name w:val="header"/>
    <w:basedOn w:val="Normal"/>
    <w:link w:val="HeaderChar"/>
    <w:uiPriority w:val="99"/>
    <w:unhideWhenUsed/>
    <w:rsid w:val="00430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9DF"/>
  </w:style>
  <w:style w:type="paragraph" w:styleId="Footer">
    <w:name w:val="footer"/>
    <w:basedOn w:val="Normal"/>
    <w:link w:val="FooterChar"/>
    <w:uiPriority w:val="99"/>
    <w:unhideWhenUsed/>
    <w:rsid w:val="00430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883</Words>
  <Characters>5039</Characters>
  <Application>Microsoft Office Word</Application>
  <DocSecurity>0</DocSecurity>
  <Lines>41</Lines>
  <Paragraphs>11</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Tucker</dc:creator>
  <cp:keywords>Cartheur</cp:keywords>
  <dc:description/>
  <cp:lastModifiedBy>C.A. Tucker</cp:lastModifiedBy>
  <cp:revision>1</cp:revision>
  <dcterms:created xsi:type="dcterms:W3CDTF">2026-02-13T10:27:00Z</dcterms:created>
  <dcterms:modified xsi:type="dcterms:W3CDTF">2026-02-13T10:31:00Z</dcterms:modified>
</cp:coreProperties>
</file>