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6240" w14:textId="77777777" w:rsidR="0070186A" w:rsidRPr="0070186A" w:rsidRDefault="0070186A" w:rsidP="0070186A">
      <w:pPr>
        <w:jc w:val="center"/>
        <w:rPr>
          <w:b/>
          <w:bCs/>
        </w:rPr>
      </w:pPr>
      <w:r w:rsidRPr="0070186A">
        <w:rPr>
          <w:b/>
          <w:bCs/>
        </w:rPr>
        <w:t>Overcoming Adoption Barriers Through an Application Discovery Process</w:t>
      </w:r>
    </w:p>
    <w:p w14:paraId="34AEF8E2" w14:textId="77777777" w:rsidR="0070186A" w:rsidRPr="0070186A" w:rsidRDefault="0070186A" w:rsidP="0070186A">
      <w:pPr>
        <w:jc w:val="both"/>
      </w:pPr>
      <w:r w:rsidRPr="0070186A">
        <w:t xml:space="preserve">Truly asynchronous architectures—and the stack-oriented programming model that often accompanies them—can appear unfamiliar to teams trained in conventional clocked MCU, C/C++, and RTOS ecosystems. The barrier is rarely technical feasibility; it is translation. To address this directly, we </w:t>
      </w:r>
      <w:proofErr w:type="spellStart"/>
      <w:r w:rsidRPr="0070186A">
        <w:t>center</w:t>
      </w:r>
      <w:proofErr w:type="spellEnd"/>
      <w:r w:rsidRPr="0070186A">
        <w:t xml:space="preserve"> commercialization on a structured </w:t>
      </w:r>
      <w:r w:rsidRPr="0070186A">
        <w:rPr>
          <w:b/>
          <w:bCs/>
        </w:rPr>
        <w:t>application discovery process</w:t>
      </w:r>
      <w:r w:rsidRPr="0070186A">
        <w:t xml:space="preserve"> designed to align architectural strengths with concrete business needs before any large-scale integration commitment is made.</w:t>
      </w:r>
    </w:p>
    <w:p w14:paraId="378EC274" w14:textId="77777777" w:rsidR="0070186A" w:rsidRPr="0070186A" w:rsidRDefault="0070186A" w:rsidP="0070186A">
      <w:pPr>
        <w:jc w:val="both"/>
      </w:pPr>
      <w:r w:rsidRPr="0070186A">
        <w:t>This process begins with joint technical workshops focused on identifying timing bottlenecks, energy constraints, determinism gaps, EMI sensitivities, or lifecycle cost drivers within a target system. Rather than positioning the architecture as a wholesale replacement, we isolate narrow, high-leverage subsystems—PWM generation, safety interlocks, signal conditioning, fast control loops, or edge preprocessing—where asynchronous determinism produces measurable advantage. The objective is not education in abstraction, but demonstration in context.</w:t>
      </w:r>
    </w:p>
    <w:p w14:paraId="7AC6B97F" w14:textId="77777777" w:rsidR="0070186A" w:rsidRPr="0070186A" w:rsidRDefault="0070186A" w:rsidP="0070186A">
      <w:pPr>
        <w:jc w:val="both"/>
      </w:pPr>
      <w:r w:rsidRPr="0070186A">
        <w:t>Knowledge transfer is handled through paired engineering engagements. Our team works directly with the client’s engineers to co-develop small, production-relevant prototypes. By exposing the architecture through working subsystems—rather than theory—the learning curve becomes experiential and outcome-driven. Tooling, documentation, and training materials are built around these real deployments, ensuring that empowerment is practical rather than conceptual.</w:t>
      </w:r>
    </w:p>
    <w:p w14:paraId="34C749C7" w14:textId="77777777" w:rsidR="0070186A" w:rsidRPr="0070186A" w:rsidRDefault="0070186A" w:rsidP="0070186A">
      <w:pPr>
        <w:jc w:val="both"/>
      </w:pPr>
      <w:r w:rsidRPr="0070186A">
        <w:t>From a business standpoint, this approach reduces perceived risk. Adoption becomes incremental, measurable, and aligned with defined KPIs: reduced phase delay, lower thermal load, simplified firmware validation, or improved reliability margins. Each engagement creates internal champions within the customer organization who understand both the technical and economic value.</w:t>
      </w:r>
    </w:p>
    <w:p w14:paraId="5C662EE2" w14:textId="77777777" w:rsidR="0070186A" w:rsidRPr="0070186A" w:rsidRDefault="0070186A" w:rsidP="0070186A">
      <w:pPr>
        <w:jc w:val="both"/>
      </w:pPr>
      <w:r w:rsidRPr="0070186A">
        <w:t>In short, we overcome unfamiliarity not by asking markets to adopt a new philosophy wholesale, but by embedding the architecture where it solves specific, high-value problems. Alignment precedes expansion. Demonstrated advantage precedes scale.</w:t>
      </w:r>
    </w:p>
    <w:p w14:paraId="48AC23FB" w14:textId="77777777" w:rsidR="00906291" w:rsidRDefault="00906291" w:rsidP="0070186A">
      <w:pPr>
        <w:jc w:val="both"/>
      </w:pPr>
    </w:p>
    <w:sectPr w:rsidR="00906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6A"/>
    <w:rsid w:val="001F1A56"/>
    <w:rsid w:val="0030664A"/>
    <w:rsid w:val="0031687C"/>
    <w:rsid w:val="00503FE5"/>
    <w:rsid w:val="0070186A"/>
    <w:rsid w:val="00906291"/>
    <w:rsid w:val="00B3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BFEA"/>
  <w15:chartTrackingRefBased/>
  <w15:docId w15:val="{554C54A1-FF82-4AAC-83CA-B60A1809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C.A. Tucker</dc:creator>
  <cp:keywords>Cartheur</cp:keywords>
  <dc:description/>
  <cp:lastModifiedBy>C.A. Tucker</cp:lastModifiedBy>
  <cp:revision>1</cp:revision>
  <dcterms:created xsi:type="dcterms:W3CDTF">2026-02-13T10:34:00Z</dcterms:created>
  <dcterms:modified xsi:type="dcterms:W3CDTF">2026-02-13T10:35:00Z</dcterms:modified>
</cp:coreProperties>
</file>