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quantum-rf-coil-simulation-finite-math-formulation-report"/>
      <w:r>
        <w:t xml:space="preserve">Quantum RF Coil Simulation &amp; Finite Math Formulation Report</w:t>
      </w:r>
      <w:bookmarkEnd w:id="20"/>
    </w:p>
    <w:p>
      <w:pPr>
        <w:pStyle w:val="Heading2"/>
      </w:pPr>
      <w:bookmarkStart w:id="21" w:name="abstract"/>
      <w:r>
        <w:t xml:space="preserve">Abstract</w:t>
      </w:r>
      <w:bookmarkEnd w:id="21"/>
    </w:p>
    <w:p>
      <w:pPr>
        <w:pStyle w:val="FirstParagraph"/>
      </w:pPr>
      <w:r>
        <w:t xml:space="preserve">This report details the mathematical formulations and simulation results for the integration of Quantum RF Coils and customized pulse sequences within the NeuroPulse reconstruction framework. We explore the Gemini 14T Coil and N25 Dense Array under Quantum Entangled acquisition modes.</w:t>
      </w:r>
    </w:p>
    <w:p>
      <w:pPr>
        <w:pStyle w:val="Heading2"/>
      </w:pPr>
      <w:bookmarkStart w:id="22" w:name="finite-difference-formulations-for-b1-field"/>
      <w:r>
        <w:t xml:space="preserve">1. Finite Difference Formulations for B1 Field</w:t>
      </w:r>
      <w:bookmarkEnd w:id="22"/>
    </w:p>
    <w:p>
      <w:pPr>
        <w:pStyle w:val="FirstParagraph"/>
      </w:pPr>
      <w:r>
        <w:t xml:space="preserve">The magnetic field</w:t>
      </w:r>
      <w:r>
        <w:t xml:space="preserve"> </w:t>
      </w:r>
      <m:oMath>
        <m:sSub>
          <m:e>
            <m:r>
              <m:t>B</m:t>
            </m:r>
          </m:e>
          <m:sub>
            <m:r>
              <m:t>1</m:t>
            </m:r>
          </m:sub>
        </m:sSub>
      </m:oMath>
      <w:r>
        <w:t xml:space="preserve"> </w:t>
      </w:r>
      <w:r>
        <w:t xml:space="preserve">generated by the RF coils is modeled using the steady-state Biot-Savart approximation discretized over a finite grid</w:t>
      </w:r>
      <w:r>
        <w:t xml:space="preserve"> </w:t>
      </w:r>
      <m:oMath>
        <m:r>
          <m:t>Ω</m:t>
        </m:r>
        <m:r>
          <m:t>⊂</m:t>
        </m:r>
        <m:sSup>
          <m:e>
            <m:r>
              <m:rPr>
                <m:sty m:val="p"/>
                <m:scr m:val="double-struck"/>
              </m:rPr>
              <m:t>R</m:t>
            </m:r>
          </m:e>
          <m:sup>
            <m:r>
              <m:t>2</m:t>
            </m:r>
          </m:sup>
        </m:sSup>
      </m:oMath>
      <w:r>
        <w:t xml:space="preserve">.</w:t>
      </w:r>
    </w:p>
    <w:p>
      <w:pPr>
        <w:pStyle w:val="Heading3"/>
      </w:pPr>
      <w:bookmarkStart w:id="23" w:name="standard-coil-sensitivity"/>
      <w:r>
        <w:t xml:space="preserve">1.1 Standard Coil Sensitivity</w:t>
      </w:r>
      <w:bookmarkEnd w:id="23"/>
    </w:p>
    <w:p>
      <w:pPr>
        <w:pStyle w:val="FirstParagraph"/>
      </w:pPr>
      <w:r>
        <w:t xml:space="preserve">For a standard birdcage coil, the sensitivity profile</w:t>
      </w:r>
      <w:r>
        <w:t xml:space="preserve"> </w:t>
      </w:r>
      <m:oMath>
        <m:r>
          <m:t>S</m:t>
        </m:r>
        <m:r>
          <m:t>(</m:t>
        </m:r>
        <m:r>
          <m:t>r</m:t>
        </m:r>
        <m:r>
          <m:t>)</m:t>
        </m:r>
      </m:oMath>
      <w:r>
        <w:t xml:space="preserve"> </w:t>
      </w:r>
      <w:r>
        <w:t xml:space="preserve">is approximated by a Gaussian falloff:</w:t>
      </w:r>
    </w:p>
    <w:p>
      <w:pPr>
        <w:pStyle w:val="BodyText"/>
      </w:pPr>
      <m:oMathPara>
        <m:oMathParaPr>
          <m:jc m:val="center"/>
        </m:oMathParaPr>
        <m:oMath>
          <m:r>
            <m:t>S</m:t>
          </m:r>
          <m:r>
            <m:t>(</m:t>
          </m:r>
          <m:r>
            <m:t>x</m:t>
          </m:r>
          <m:r>
            <m:t>,</m:t>
          </m:r>
          <m:r>
            <m:t>y</m:t>
          </m:r>
          <m:r>
            <m:t>)</m:t>
          </m:r>
          <m:r>
            <m:t>=</m:t>
          </m:r>
          <m:sSub>
            <m:e>
              <m:r>
                <m:t>S</m:t>
              </m:r>
            </m:e>
            <m:sub>
              <m:r>
                <m:t>0</m:t>
              </m:r>
            </m:sub>
          </m:sSub>
          <m:r>
            <m:t>⋅</m:t>
          </m:r>
          <m:sSup>
            <m:e>
              <m:r>
                <m:t>e</m:t>
              </m:r>
            </m:e>
            <m:sup>
              <m:r>
                <m:t>−</m:t>
              </m:r>
              <m:f>
                <m:fPr>
                  <m:type m:val="bar"/>
                </m:fPr>
                <m:num>
                  <m:r>
                    <m:t>(</m:t>
                  </m:r>
                  <m:r>
                    <m:t>x</m:t>
                  </m:r>
                  <m:r>
                    <m:t>−</m:t>
                  </m:r>
                  <m:sSub>
                    <m:e>
                      <m:r>
                        <m:t>x</m:t>
                      </m:r>
                    </m:e>
                    <m:sub>
                      <m:r>
                        <m:t>c</m:t>
                      </m:r>
                    </m:sub>
                  </m:sSub>
                  <m:sSup>
                    <m:e>
                      <m:r>
                        <m:t>)</m:t>
                      </m:r>
                    </m:e>
                    <m:sup>
                      <m:r>
                        <m:t>2</m:t>
                      </m:r>
                    </m:sup>
                  </m:sSup>
                  <m:r>
                    <m:t>+</m:t>
                  </m:r>
                  <m:r>
                    <m:t>(</m:t>
                  </m:r>
                  <m:r>
                    <m:t>y</m:t>
                  </m:r>
                  <m:r>
                    <m:t>−</m:t>
                  </m:r>
                  <m:sSub>
                    <m:e>
                      <m:r>
                        <m:t>y</m:t>
                      </m:r>
                    </m:e>
                    <m:sub>
                      <m:r>
                        <m:t>c</m:t>
                      </m:r>
                    </m:sub>
                  </m:sSub>
                  <m:sSup>
                    <m:e>
                      <m:r>
                        <m:t>)</m:t>
                      </m:r>
                    </m:e>
                    <m:sup>
                      <m:r>
                        <m:t>2</m:t>
                      </m:r>
                    </m:sup>
                  </m:sSup>
                </m:num>
                <m:den>
                  <m:r>
                    <m:t>2</m:t>
                  </m:r>
                  <m:sSup>
                    <m:e>
                      <m:r>
                        <m:t>σ</m:t>
                      </m:r>
                    </m:e>
                    <m:sup>
                      <m:r>
                        <m:t>2</m:t>
                      </m:r>
                    </m:sup>
                  </m:sSup>
                </m:den>
              </m:f>
            </m:sup>
          </m:sSup>
        </m:oMath>
      </m:oMathPara>
    </w:p>
    <w:p>
      <w:pPr>
        <w:pStyle w:val="FirstParagraph"/>
      </w:pPr>
      <w:r>
        <w:t xml:space="preserve">Where</w:t>
      </w:r>
      <w:r>
        <w:t xml:space="preserve"> </w:t>
      </w:r>
      <m:oMath>
        <m:r>
          <m:t>(</m:t>
        </m:r>
        <m:sSub>
          <m:e>
            <m:r>
              <m:t>x</m:t>
            </m:r>
          </m:e>
          <m:sub>
            <m:r>
              <m:t>c</m:t>
            </m:r>
          </m:sub>
        </m:sSub>
        <m:r>
          <m:t>,</m:t>
        </m:r>
        <m:sSub>
          <m:e>
            <m:r>
              <m:t>y</m:t>
            </m:r>
          </m:e>
          <m:sub>
            <m:r>
              <m:t>c</m:t>
            </m:r>
          </m:sub>
        </m:sSub>
        <m:r>
          <m:t>)</m:t>
        </m:r>
      </m:oMath>
      <w:r>
        <w:t xml:space="preserve"> </w:t>
      </w:r>
      <w:r>
        <w:t xml:space="preserve">is the isocenter.</w:t>
      </w:r>
    </w:p>
    <w:p>
      <w:pPr>
        <w:pStyle w:val="Heading3"/>
      </w:pPr>
      <w:bookmarkStart w:id="24" w:name="gemini-14t-homogeneity-correction"/>
      <w:r>
        <w:t xml:space="preserve">1.2 Gemini 14T Homogeneity Correction</w:t>
      </w:r>
      <w:bookmarkEnd w:id="24"/>
    </w:p>
    <w:p>
      <w:pPr>
        <w:pStyle w:val="FirstParagraph"/>
      </w:pPr>
      <w:r>
        <w:t xml:space="preserve">The 14T Gemini coil incorporates a homogeneity correction factor</w:t>
      </w:r>
      <w:r>
        <w:t xml:space="preserve"> </w:t>
      </w:r>
      <m:oMath>
        <m:r>
          <m:t>H</m:t>
        </m:r>
        <m:r>
          <m:t>(</m:t>
        </m:r>
        <m:r>
          <m:t>r</m:t>
        </m:r>
        <m:r>
          <m:t>)</m:t>
        </m:r>
      </m:oMath>
      <w:r>
        <w:t xml:space="preserve"> </w:t>
      </w:r>
      <w:r>
        <w:t xml:space="preserve">derived from finite element analysis (FEA) of the chassis standing waves:</w:t>
      </w:r>
    </w:p>
    <w:p>
      <w:pPr>
        <w:pStyle w:val="BodyText"/>
      </w:pPr>
      <m:oMathPara>
        <m:oMathParaPr>
          <m:jc m:val="center"/>
        </m:oMathParaPr>
        <m:oMath>
          <m:sSub>
            <m:e>
              <m:r>
                <m:t>S</m:t>
              </m:r>
            </m:e>
            <m:sub>
              <m:r>
                <m:t>14</m:t>
              </m:r>
              <m:r>
                <m:t>T</m:t>
              </m:r>
            </m:sub>
          </m:sSub>
          <m:r>
            <m:t>(</m:t>
          </m:r>
          <m:r>
            <m:t>r</m:t>
          </m:r>
          <m:r>
            <m:t>)</m:t>
          </m:r>
          <m:r>
            <m:t>=</m:t>
          </m:r>
          <m:sSub>
            <m:e>
              <m:r>
                <m:t>S</m:t>
              </m:r>
            </m:e>
            <m:sub>
              <m:r>
                <m:t>b</m:t>
              </m:r>
              <m:r>
                <m:t>a</m:t>
              </m:r>
              <m:r>
                <m:t>s</m:t>
              </m:r>
              <m:r>
                <m:t>e</m:t>
              </m:r>
            </m:sub>
          </m:sSub>
          <m:r>
            <m:t>(</m:t>
          </m:r>
          <m:r>
            <m:t>r</m:t>
          </m:r>
          <m:r>
            <m:t>)</m:t>
          </m:r>
          <m:r>
            <m:t>⋅</m:t>
          </m:r>
          <m:r>
            <m:t>(</m:t>
          </m:r>
          <m:r>
            <m:t>1</m:t>
          </m:r>
          <m:r>
            <m:t>+</m:t>
          </m:r>
          <m:r>
            <m:t>α</m:t>
          </m:r>
          <m:r>
            <m:rPr>
              <m:sty m:val="p"/>
            </m:rPr>
            <m:t>cos</m:t>
          </m:r>
          <m:r>
            <m:t>(</m:t>
          </m:r>
          <m:r>
            <m:t>k</m:t>
          </m:r>
          <m:r>
            <m:t>r</m:t>
          </m:r>
          <m:r>
            <m:t>)</m:t>
          </m:r>
          <m:r>
            <m:t>)</m:t>
          </m:r>
        </m:oMath>
      </m:oMathPara>
    </w:p>
    <w:p>
      <w:pPr>
        <w:pStyle w:val="FirstParagraph"/>
      </w:pPr>
      <w:r>
        <w:t xml:space="preserve">Where</w:t>
      </w:r>
      <w:r>
        <w:t xml:space="preserve"> </w:t>
      </w:r>
      <m:oMath>
        <m:r>
          <m:t>α</m:t>
        </m:r>
      </m:oMath>
      <w:r>
        <w:t xml:space="preserve"> </w:t>
      </w:r>
      <w:r>
        <w:t xml:space="preserve">represents the standing wave amplitude and</w:t>
      </w:r>
      <w:r>
        <w:t xml:space="preserve"> </w:t>
      </w:r>
      <m:oMath>
        <m:r>
          <m:t>k</m:t>
        </m:r>
      </m:oMath>
      <w:r>
        <w:t xml:space="preserve"> </w:t>
      </w:r>
      <w:r>
        <w:t xml:space="preserve">is the wave number for the 14T Larmor frequency (approx 600 MHz). This formulation corrects for the</w:t>
      </w:r>
      <w:r>
        <w:t xml:space="preserve"> </w:t>
      </w:r>
      <w:r>
        <w:t xml:space="preserve">“</w:t>
      </w:r>
      <w:r>
        <w:t xml:space="preserve">center brightening</w:t>
      </w:r>
      <w:r>
        <w:t xml:space="preserve">”</w:t>
      </w:r>
      <w:r>
        <w:t xml:space="preserve"> </w:t>
      </w:r>
      <w:r>
        <w:t xml:space="preserve">effect common in ultra-high fields.</w:t>
      </w:r>
    </w:p>
    <w:p>
      <w:pPr>
        <w:pStyle w:val="Heading3"/>
      </w:pPr>
      <w:bookmarkStart w:id="25" w:name="n25-phase-array-superposition"/>
      <w:r>
        <w:t xml:space="preserve">1.3 N25 Phase Array Superposition</w:t>
      </w:r>
      <w:bookmarkEnd w:id="25"/>
    </w:p>
    <w:p>
      <w:pPr>
        <w:pStyle w:val="FirstParagraph"/>
      </w:pPr>
      <w:r>
        <w:t xml:space="preserve">The signal intensity</w:t>
      </w:r>
      <w:r>
        <w:t xml:space="preserve"> </w:t>
      </w:r>
      <m:oMath>
        <m:r>
          <m:t>I</m:t>
        </m:r>
      </m:oMath>
      <w:r>
        <w:t xml:space="preserve"> </w:t>
      </w:r>
      <w:r>
        <w:t xml:space="preserve">for the N-element array is the complex sum of individual coil sensitivities</w:t>
      </w:r>
      <w:r>
        <w:t xml:space="preserve"> </w:t>
      </w:r>
      <m:oMath>
        <m:sSub>
          <m:e>
            <m:r>
              <m:t>C</m:t>
            </m:r>
          </m:e>
          <m:sub>
            <m:r>
              <m:t>i</m:t>
            </m:r>
          </m:sub>
        </m:sSub>
      </m:oMath>
      <w:r>
        <w:t xml:space="preserve">:</w:t>
      </w:r>
    </w:p>
    <w:p>
      <w:pPr>
        <w:pStyle w:val="BodyText"/>
      </w:pPr>
      <m:oMathPara>
        <m:oMathParaPr>
          <m:jc m:val="center"/>
        </m:oMathParaPr>
        <m:oMath>
          <m:r>
            <m:t>I</m:t>
          </m:r>
          <m:r>
            <m:t>(</m:t>
          </m:r>
          <m:r>
            <m:t>r</m:t>
          </m:r>
          <m:r>
            <m:t>)</m:t>
          </m:r>
          <m:r>
            <m:t>=</m:t>
          </m:r>
          <m:r>
            <m:t>ρ</m:t>
          </m:r>
          <m:r>
            <m:t>(</m:t>
          </m:r>
          <m:r>
            <m:t>r</m:t>
          </m:r>
          <m:r>
            <m:t>)</m:t>
          </m:r>
          <m:r>
            <m:t>⋅</m:t>
          </m:r>
          <m:rad>
            <m:radPr>
              <m:degHide m:val="1"/>
            </m:radPr>
            <m:deg/>
            <m:e>
              <m:nary>
                <m:naryPr>
                  <m:chr m:val="∑"/>
                  <m:limLoc m:val="undOvr"/>
                  <m:subHide m:val="0"/>
                  <m:supHide m:val="0"/>
                </m:naryPr>
                <m:sub>
                  <m:r>
                    <m:t>i</m:t>
                  </m:r>
                  <m:r>
                    <m:t>=</m:t>
                  </m:r>
                  <m:r>
                    <m:t>1</m:t>
                  </m:r>
                </m:sub>
                <m:sup>
                  <m:r>
                    <m:t>N</m:t>
                  </m:r>
                </m:sup>
                <m:e>
                  <m:r>
                    <m:t>|</m:t>
                  </m:r>
                </m:e>
              </m:nary>
              <m:sSub>
                <m:e>
                  <m:r>
                    <m:t>C</m:t>
                  </m:r>
                </m:e>
                <m:sub>
                  <m:r>
                    <m:t>i</m:t>
                  </m:r>
                </m:sub>
              </m:sSub>
              <m:r>
                <m:t>(</m:t>
              </m:r>
              <m:r>
                <m:t>r</m:t>
              </m:r>
              <m:r>
                <m:t>)</m:t>
              </m:r>
              <m:sSup>
                <m:e>
                  <m:r>
                    <m:t>|</m:t>
                  </m:r>
                </m:e>
                <m:sup>
                  <m:r>
                    <m:t>2</m:t>
                  </m:r>
                </m:sup>
              </m:sSup>
            </m:e>
          </m:rad>
        </m:oMath>
      </m:oMathPara>
    </w:p>
    <w:p>
      <w:pPr>
        <w:pStyle w:val="FirstParagraph"/>
      </w:pPr>
      <w:r>
        <w:t xml:space="preserve">Each element</w:t>
      </w:r>
      <w:r>
        <w:t xml:space="preserve"> </w:t>
      </w:r>
      <m:oMath>
        <m:sSub>
          <m:e>
            <m:r>
              <m:t>C</m:t>
            </m:r>
          </m:e>
          <m:sub>
            <m:r>
              <m:t>i</m:t>
            </m:r>
          </m:sub>
        </m:sSub>
      </m:oMath>
      <w:r>
        <w:t xml:space="preserve"> </w:t>
      </w:r>
      <w:r>
        <w:t xml:space="preserve">is modeled as a localized Gaussian centered at</w:t>
      </w:r>
      <w:r>
        <w:t xml:space="preserve"> </w:t>
      </w:r>
      <m:oMath>
        <m:r>
          <m:t>(</m:t>
        </m:r>
        <m:sSub>
          <m:e>
            <m:r>
              <m:t>x</m:t>
            </m:r>
          </m:e>
          <m:sub>
            <m:r>
              <m:t>i</m:t>
            </m:r>
          </m:sub>
        </m:sSub>
        <m:r>
          <m:t>,</m:t>
        </m:r>
        <m:sSub>
          <m:e>
            <m:r>
              <m:t>y</m:t>
            </m:r>
          </m:e>
          <m:sub>
            <m:r>
              <m:t>i</m:t>
            </m:r>
          </m:sub>
        </m:sSub>
        <m:r>
          <m:t>)</m:t>
        </m:r>
      </m:oMath>
      <w:r>
        <w:t xml:space="preserve">:</w:t>
      </w:r>
    </w:p>
    <w:p>
      <w:pPr>
        <w:pStyle w:val="BodyText"/>
      </w:pPr>
      <m:oMathPara>
        <m:oMathParaPr>
          <m:jc m:val="center"/>
        </m:oMathParaPr>
        <m:oMath>
          <m:sSub>
            <m:e>
              <m:r>
                <m:t>C</m:t>
              </m:r>
            </m:e>
            <m:sub>
              <m:r>
                <m:t>i</m:t>
              </m:r>
            </m:sub>
          </m:sSub>
          <m:r>
            <m:t>(</m:t>
          </m:r>
          <m:r>
            <m:t>r</m:t>
          </m:r>
          <m:r>
            <m:t>)</m:t>
          </m:r>
          <m:r>
            <m:t>=</m:t>
          </m:r>
          <m:r>
            <m:t>A</m:t>
          </m:r>
          <m:r>
            <m:t>⋅</m:t>
          </m:r>
          <m:sSup>
            <m:e>
              <m:r>
                <m:t>e</m:t>
              </m:r>
            </m:e>
            <m:sup>
              <m:r>
                <m:t>−</m:t>
              </m:r>
              <m:f>
                <m:fPr>
                  <m:type m:val="bar"/>
                </m:fPr>
                <m:num>
                  <m:r>
                    <m:t>|</m:t>
                  </m:r>
                  <m:r>
                    <m:t>r</m:t>
                  </m:r>
                  <m:r>
                    <m:t>−</m:t>
                  </m:r>
                  <m:sSub>
                    <m:e>
                      <m:r>
                        <m:t>r</m:t>
                      </m:r>
                    </m:e>
                    <m:sub>
                      <m:r>
                        <m:t>i</m:t>
                      </m:r>
                    </m:sub>
                  </m:sSub>
                  <m:sSup>
                    <m:e>
                      <m:r>
                        <m:t>|</m:t>
                      </m:r>
                    </m:e>
                    <m:sup>
                      <m:r>
                        <m:t>2</m:t>
                      </m:r>
                    </m:sup>
                  </m:sSup>
                </m:num>
                <m:den>
                  <m:r>
                    <m:t>2</m:t>
                  </m:r>
                  <m:sSubSup>
                    <m:e>
                      <m:r>
                        <m:t>σ</m:t>
                      </m:r>
                    </m:e>
                    <m:sub>
                      <m:r>
                        <m:t>l</m:t>
                      </m:r>
                      <m:r>
                        <m:t>o</m:t>
                      </m:r>
                      <m:r>
                        <m:t>c</m:t>
                      </m:r>
                    </m:sub>
                    <m:sup>
                      <m:r>
                        <m:t>2</m:t>
                      </m:r>
                    </m:sup>
                  </m:sSubSup>
                </m:den>
              </m:f>
            </m:sup>
          </m:sSup>
          <m:r>
            <m:t>⋅</m:t>
          </m:r>
          <m:sSup>
            <m:e>
              <m:r>
                <m:t>e</m:t>
              </m:r>
            </m:e>
            <m:sup>
              <m:r>
                <m:t>j</m:t>
              </m:r>
              <m:sSub>
                <m:e>
                  <m:r>
                    <m:t>ϕ</m:t>
                  </m:r>
                </m:e>
                <m:sub>
                  <m:r>
                    <m:t>i</m:t>
                  </m:r>
                </m:sub>
              </m:sSub>
            </m:sup>
          </m:sSup>
        </m:oMath>
      </m:oMathPara>
    </w:p>
    <w:p>
      <w:pPr>
        <w:pStyle w:val="Heading2"/>
      </w:pPr>
      <w:bookmarkStart w:id="26" w:name="quantum-pulse-sequence-formulations"/>
      <w:r>
        <w:t xml:space="preserve">2. Quantum Pulse Sequence Formulations</w:t>
      </w:r>
      <w:bookmarkEnd w:id="26"/>
    </w:p>
    <w:p>
      <w:pPr>
        <w:pStyle w:val="Heading3"/>
      </w:pPr>
      <w:bookmarkStart w:id="27" w:name="classical-signal-equation"/>
      <w:r>
        <w:t xml:space="preserve">2.1 Classical Signal Equation</w:t>
      </w:r>
      <w:bookmarkEnd w:id="27"/>
    </w:p>
    <w:p>
      <w:pPr>
        <w:pStyle w:val="FirstParagraph"/>
      </w:pPr>
      <w:r>
        <w:t xml:space="preserve">The standard signal equation for a Gradient Echo (GRE) sequence is:</w:t>
      </w:r>
    </w:p>
    <w:p>
      <w:pPr>
        <w:pStyle w:val="BodyText"/>
      </w:pPr>
      <m:oMathPara>
        <m:oMathParaPr>
          <m:jc m:val="center"/>
        </m:oMathParaPr>
        <m:oMath>
          <m:sSub>
            <m:e>
              <m:r>
                <m:t>M</m:t>
              </m:r>
            </m:e>
            <m:sub>
              <m:r>
                <m:t>G</m:t>
              </m:r>
              <m:r>
                <m:t>R</m:t>
              </m:r>
              <m:r>
                <m:t>E</m:t>
              </m:r>
            </m:sub>
          </m:sSub>
          <m:r>
            <m:t>=</m:t>
          </m:r>
          <m:sSub>
            <m:e>
              <m:r>
                <m:t>M</m:t>
              </m:r>
            </m:e>
            <m:sub>
              <m:r>
                <m:t>0</m:t>
              </m:r>
            </m:sub>
          </m:sSub>
          <m:f>
            <m:fPr>
              <m:type m:val="bar"/>
            </m:fPr>
            <m:num>
              <m:r>
                <m:t>(</m:t>
              </m:r>
              <m:r>
                <m:t>1</m:t>
              </m:r>
              <m:r>
                <m:t>−</m:t>
              </m:r>
              <m:sSup>
                <m:e>
                  <m:r>
                    <m:t>e</m:t>
                  </m:r>
                </m:e>
                <m:sup>
                  <m:r>
                    <m:t>−</m:t>
                  </m:r>
                  <m:r>
                    <m:t>T</m:t>
                  </m:r>
                  <m:r>
                    <m:t>R</m:t>
                  </m:r>
                  <m:r>
                    <m:t>/</m:t>
                  </m:r>
                  <m:r>
                    <m:t>T</m:t>
                  </m:r>
                  <m:r>
                    <m:t>1</m:t>
                  </m:r>
                </m:sup>
              </m:sSup>
              <m:r>
                <m:t>)</m:t>
              </m:r>
              <m:r>
                <m:rPr>
                  <m:sty m:val="p"/>
                </m:rPr>
                <m:t>sin</m:t>
              </m:r>
              <m:r>
                <m:t>(</m:t>
              </m:r>
              <m:r>
                <m:t>θ</m:t>
              </m:r>
              <m:r>
                <m:t>)</m:t>
              </m:r>
            </m:num>
            <m:den>
              <m:r>
                <m:t>1</m:t>
              </m:r>
              <m:r>
                <m:t>−</m:t>
              </m:r>
              <m:sSup>
                <m:e>
                  <m:r>
                    <m:t>e</m:t>
                  </m:r>
                </m:e>
                <m:sup>
                  <m:r>
                    <m:t>−</m:t>
                  </m:r>
                  <m:r>
                    <m:t>T</m:t>
                  </m:r>
                  <m:r>
                    <m:t>R</m:t>
                  </m:r>
                  <m:r>
                    <m:t>/</m:t>
                  </m:r>
                  <m:r>
                    <m:t>T</m:t>
                  </m:r>
                  <m:r>
                    <m:t>1</m:t>
                  </m:r>
                </m:sup>
              </m:sSup>
              <m:r>
                <m:rPr>
                  <m:sty m:val="p"/>
                </m:rPr>
                <m:t>cos</m:t>
              </m:r>
              <m:r>
                <m:t>(</m:t>
              </m:r>
              <m:r>
                <m:t>θ</m:t>
              </m:r>
              <m:r>
                <m:t>)</m:t>
              </m:r>
            </m:den>
          </m:f>
          <m:sSup>
            <m:e>
              <m:r>
                <m:t>e</m:t>
              </m:r>
            </m:e>
            <m:sup>
              <m:r>
                <m:t>−</m:t>
              </m:r>
              <m:r>
                <m:t>T</m:t>
              </m:r>
              <m:r>
                <m:t>E</m:t>
              </m:r>
              <m:r>
                <m:t>/</m:t>
              </m:r>
              <m:r>
                <m:t>T</m:t>
              </m:r>
              <m:sSup>
                <m:e>
                  <m:r>
                    <m:t>2</m:t>
                  </m:r>
                </m:e>
                <m:sup>
                  <m:r>
                    <m:t>*</m:t>
                  </m:r>
                </m:sup>
              </m:sSup>
            </m:sup>
          </m:sSup>
        </m:oMath>
      </m:oMathPara>
    </w:p>
    <w:p>
      <w:pPr>
        <w:pStyle w:val="Heading3"/>
      </w:pPr>
      <w:bookmarkStart w:id="28" w:name="quantum-entangled-signal-enhancement"/>
      <w:r>
        <w:t xml:space="preserve">2.2 Quantum Entangled Signal Enhancement</w:t>
      </w:r>
      <w:bookmarkEnd w:id="28"/>
    </w:p>
    <w:p>
      <w:pPr>
        <w:pStyle w:val="FirstParagraph"/>
      </w:pPr>
      <w:r>
        <w:t xml:space="preserve">Utilizing entangled photon states, the shot noise is reduced below the classical standard quantum limit (SQL). We modify the effective noise term</w:t>
      </w:r>
      <w:r>
        <w:t xml:space="preserve"> </w:t>
      </w:r>
      <m:oMath>
        <m:sSub>
          <m:e>
            <m:r>
              <m:t>η</m:t>
            </m:r>
          </m:e>
          <m:sub>
            <m:r>
              <m:t>e</m:t>
            </m:r>
            <m:r>
              <m:t>f</m:t>
            </m:r>
            <m:r>
              <m:t>f</m:t>
            </m:r>
          </m:sub>
        </m:sSub>
      </m:oMath>
      <w:r>
        <w:t xml:space="preserve"> </w:t>
      </w:r>
      <w:r>
        <w:t xml:space="preserve">by a quantum squeezing factor</w:t>
      </w:r>
      <w:r>
        <w:t xml:space="preserve"> </w:t>
      </w:r>
      <m:oMath>
        <m:r>
          <m:t>Q</m:t>
        </m:r>
        <m:r>
          <m:t>&lt;</m:t>
        </m:r>
        <m:r>
          <m:t>1</m:t>
        </m:r>
      </m:oMath>
      <w:r>
        <w:t xml:space="preserve">:</w:t>
      </w:r>
    </w:p>
    <w:p>
      <w:pPr>
        <w:pStyle w:val="BodyText"/>
      </w:pPr>
      <m:oMathPara>
        <m:oMathParaPr>
          <m:jc m:val="center"/>
        </m:oMathParaPr>
        <m:oMath>
          <m:r>
            <m:t>S</m:t>
          </m:r>
          <m:r>
            <m:t>i</m:t>
          </m:r>
          <m:r>
            <m:t>g</m:t>
          </m:r>
          <m:r>
            <m:t>n</m:t>
          </m:r>
          <m:r>
            <m:t>a</m:t>
          </m:r>
          <m:sSub>
            <m:e>
              <m:r>
                <m:t>l</m:t>
              </m:r>
            </m:e>
            <m:sub>
              <m:r>
                <m:t>Q</m:t>
              </m:r>
            </m:sub>
          </m:sSub>
          <m:r>
            <m:t>=</m:t>
          </m:r>
          <m:sSub>
            <m:e>
              <m:r>
                <m:t>M</m:t>
              </m:r>
            </m:e>
            <m:sub>
              <m:r>
                <m:t>c</m:t>
              </m:r>
              <m:r>
                <m:t>l</m:t>
              </m:r>
              <m:r>
                <m:t>a</m:t>
              </m:r>
              <m:r>
                <m:t>s</m:t>
              </m:r>
              <m:r>
                <m:t>s</m:t>
              </m:r>
              <m:r>
                <m:t>i</m:t>
              </m:r>
              <m:r>
                <m:t>c</m:t>
              </m:r>
              <m:r>
                <m:t>a</m:t>
              </m:r>
              <m:r>
                <m:t>l</m:t>
              </m:r>
            </m:sub>
          </m:sSub>
          <m:r>
            <m:t>+</m:t>
          </m:r>
          <m:sSub>
            <m:e>
              <m:r>
                <m:t>η</m:t>
              </m:r>
            </m:e>
            <m:sub>
              <m:r>
                <m:t>c</m:t>
              </m:r>
              <m:r>
                <m:t>l</m:t>
              </m:r>
              <m:r>
                <m:t>a</m:t>
              </m:r>
              <m:r>
                <m:t>s</m:t>
              </m:r>
              <m:r>
                <m:t>s</m:t>
              </m:r>
              <m:r>
                <m:t>i</m:t>
              </m:r>
              <m:r>
                <m:t>c</m:t>
              </m:r>
              <m:r>
                <m:t>a</m:t>
              </m:r>
              <m:r>
                <m:t>l</m:t>
              </m:r>
            </m:sub>
          </m:sSub>
          <m:r>
            <m:t>⋅</m:t>
          </m:r>
          <m:sSub>
            <m:e>
              <m:r>
                <m:t>Q</m:t>
              </m:r>
            </m:e>
            <m:sub>
              <m:r>
                <m:t>f</m:t>
              </m:r>
              <m:r>
                <m:t>a</m:t>
              </m:r>
              <m:r>
                <m:t>c</m:t>
              </m:r>
              <m:r>
                <m:t>t</m:t>
              </m:r>
              <m:r>
                <m:t>o</m:t>
              </m:r>
              <m:r>
                <m:t>r</m:t>
              </m:r>
            </m:sub>
          </m:sSub>
        </m:oMath>
      </m:oMathPara>
    </w:p>
    <w:p>
      <w:pPr>
        <w:pStyle w:val="FirstParagraph"/>
      </w:pPr>
      <w:r>
        <w:t xml:space="preserve">In our simulation,</w:t>
      </w:r>
      <w:r>
        <w:t xml:space="preserve"> </w:t>
      </w:r>
      <m:oMath>
        <m:sSub>
          <m:e>
            <m:r>
              <m:t>Q</m:t>
            </m:r>
          </m:e>
          <m:sub>
            <m:r>
              <m:t>f</m:t>
            </m:r>
            <m:r>
              <m:t>a</m:t>
            </m:r>
            <m:r>
              <m:t>c</m:t>
            </m:r>
            <m:r>
              <m:t>t</m:t>
            </m:r>
            <m:r>
              <m:t>o</m:t>
            </m:r>
            <m:r>
              <m:t>r</m:t>
            </m:r>
          </m:sub>
        </m:sSub>
        <m:r>
          <m:t>≈</m:t>
        </m:r>
        <m:r>
          <m:t>0.1</m:t>
        </m:r>
      </m:oMath>
      <w:r>
        <w:t xml:space="preserve"> </w:t>
      </w:r>
      <w:r>
        <w:t xml:space="preserve">(10x reduction), effectively boosting the SNR by 20dB. This is modeled as:</w:t>
      </w:r>
    </w:p>
    <w:p>
      <w:pPr>
        <w:pStyle w:val="BodyText"/>
      </w:pPr>
      <m:oMathPara>
        <m:oMathParaPr>
          <m:jc m:val="center"/>
        </m:oMathParaPr>
        <m:oMath>
          <m:r>
            <m:t>S</m:t>
          </m:r>
          <m:r>
            <m:t>N</m:t>
          </m:r>
          <m:sSub>
            <m:e>
              <m:r>
                <m:t>R</m:t>
              </m:r>
            </m:e>
            <m:sub>
              <m:r>
                <m:t>Q</m:t>
              </m:r>
            </m:sub>
          </m:sSub>
          <m:r>
            <m:t>∝</m:t>
          </m:r>
          <m:f>
            <m:fPr>
              <m:type m:val="bar"/>
            </m:fPr>
            <m:num>
              <m:r>
                <m:t>S</m:t>
              </m:r>
            </m:num>
            <m:den>
              <m:sSub>
                <m:e>
                  <m:r>
                    <m:t>σ</m:t>
                  </m:r>
                </m:e>
                <m:sub>
                  <m:r>
                    <m:t>n</m:t>
                  </m:r>
                  <m:r>
                    <m:t>o</m:t>
                  </m:r>
                  <m:r>
                    <m:t>i</m:t>
                  </m:r>
                  <m:r>
                    <m:t>s</m:t>
                  </m:r>
                  <m:r>
                    <m:t>e</m:t>
                  </m:r>
                </m:sub>
              </m:sSub>
              <m:r>
                <m:t>⋅</m:t>
              </m:r>
              <m:rad>
                <m:radPr>
                  <m:degHide m:val="1"/>
                </m:radPr>
                <m:deg/>
                <m:e>
                  <m:r>
                    <m:t>1</m:t>
                  </m:r>
                  <m:r>
                    <m:t>−</m:t>
                  </m:r>
                  <m:r>
                    <m:t>ξ</m:t>
                  </m:r>
                </m:e>
              </m:rad>
            </m:den>
          </m:f>
        </m:oMath>
      </m:oMathPara>
    </w:p>
    <w:p>
      <w:pPr>
        <w:pStyle w:val="FirstParagraph"/>
      </w:pPr>
      <w:r>
        <w:t xml:space="preserve">Where</w:t>
      </w:r>
      <w:r>
        <w:t xml:space="preserve"> </w:t>
      </w:r>
      <m:oMath>
        <m:r>
          <m:t>ξ</m:t>
        </m:r>
      </m:oMath>
      <w:r>
        <w:t xml:space="preserve"> </w:t>
      </w:r>
      <w:r>
        <w:t xml:space="preserve">is the entanglement coherence parameter.</w:t>
      </w:r>
    </w:p>
    <w:p>
      <w:pPr>
        <w:pStyle w:val="Heading3"/>
      </w:pPr>
      <w:bookmarkStart w:id="29" w:name="zero-point-energy-gradients"/>
      <w:r>
        <w:t xml:space="preserve">2.3 Zero-Point Energy Gradients</w:t>
      </w:r>
      <w:bookmarkEnd w:id="29"/>
    </w:p>
    <w:p>
      <w:pPr>
        <w:pStyle w:val="FirstParagraph"/>
      </w:pPr>
      <w:r>
        <w:t xml:space="preserve">Formulated based on vacuum energy fluctuations, the signal decay is prolonged:</w:t>
      </w:r>
    </w:p>
    <w:p>
      <w:pPr>
        <w:pStyle w:val="BodyText"/>
      </w:pPr>
      <m:oMathPara>
        <m:oMathParaPr>
          <m:jc m:val="center"/>
        </m:oMathParaPr>
        <m:oMath>
          <m:sSub>
            <m:e>
              <m:r>
                <m:t>M</m:t>
              </m:r>
            </m:e>
            <m:sub>
              <m:r>
                <m:t>Z</m:t>
              </m:r>
              <m:r>
                <m:t>P</m:t>
              </m:r>
            </m:sub>
          </m:sSub>
          <m:r>
            <m:t>=</m:t>
          </m:r>
          <m:sSub>
            <m:e>
              <m:r>
                <m:t>M</m:t>
              </m:r>
            </m:e>
            <m:sub>
              <m:r>
                <m:t>0</m:t>
              </m:r>
            </m:sub>
          </m:sSub>
          <m:r>
            <m:t>⋅</m:t>
          </m:r>
          <m:sSup>
            <m:e>
              <m:r>
                <m:t>e</m:t>
              </m:r>
            </m:e>
            <m:sup>
              <m:r>
                <m:t>−</m:t>
              </m:r>
              <m:f>
                <m:fPr>
                  <m:type m:val="bar"/>
                </m:fPr>
                <m:num>
                  <m:r>
                    <m:t>T</m:t>
                  </m:r>
                  <m:r>
                    <m:t>E</m:t>
                  </m:r>
                </m:num>
                <m:den>
                  <m:sSub>
                    <m:e>
                      <m:r>
                        <m:t>τ</m:t>
                      </m:r>
                    </m:e>
                    <m:sub>
                      <m:r>
                        <m:t>z</m:t>
                      </m:r>
                      <m:r>
                        <m:t>p</m:t>
                      </m:r>
                    </m:sub>
                  </m:sSub>
                  <m:r>
                    <m:t>⋅</m:t>
                  </m:r>
                  <m:r>
                    <m:t>T</m:t>
                  </m:r>
                  <m:sSup>
                    <m:e>
                      <m:r>
                        <m:t>2</m:t>
                      </m:r>
                    </m:e>
                    <m:sup>
                      <m:r>
                        <m:t>*</m:t>
                      </m:r>
                    </m:sup>
                  </m:sSup>
                </m:den>
              </m:f>
            </m:sup>
          </m:sSup>
        </m:oMath>
      </m:oMathPara>
    </w:p>
    <w:p>
      <w:pPr>
        <w:pStyle w:val="FirstParagraph"/>
      </w:pPr>
      <w:r>
        <w:t xml:space="preserve">Where</w:t>
      </w:r>
      <w:r>
        <w:t xml:space="preserve"> </w:t>
      </w:r>
      <m:oMath>
        <m:sSub>
          <m:e>
            <m:r>
              <m:t>τ</m:t>
            </m:r>
          </m:e>
          <m:sub>
            <m:r>
              <m:t>z</m:t>
            </m:r>
            <m:r>
              <m:t>p</m:t>
            </m:r>
          </m:sub>
        </m:sSub>
        <m:r>
          <m:t>≈</m:t>
        </m:r>
        <m:r>
          <m:t>4.0</m:t>
        </m:r>
      </m:oMath>
      <w:r>
        <w:t xml:space="preserve"> </w:t>
      </w:r>
      <w:r>
        <w:t xml:space="preserve">is the relativistic time dilation factor acting on the spin dephasing.</w:t>
      </w:r>
    </w:p>
    <w:p>
      <w:pPr>
        <w:pStyle w:val="Heading2"/>
      </w:pPr>
      <w:bookmarkStart w:id="30" w:name="simulation-results-metrics"/>
      <w:r>
        <w:t xml:space="preserve">3. Simulation Results &amp; Metrics</w:t>
      </w:r>
      <w:bookmarkEnd w:id="30"/>
    </w:p>
    <w:tbl>
      <w:tblPr>
        <w:tblStyle w:val="Table"/>
        <w:tblW w:type="pct" w:w="0.0"/>
        <w:tblLook w:firstRow="1"/>
      </w:tblPr>
      <w:tblGrid/>
      <w:tr>
        <w:trPr>
          <w:cnfStyle w:firstRow="1"/>
        </w:trPr>
        <w:tc>
          <w:tcPr>
            <w:tcBorders>
              <w:bottom w:val="single"/>
            </w:tcBorders>
            <w:vAlign w:val="bottom"/>
          </w:tcPr>
          <w:p>
            <w:pPr>
              <w:pStyle w:val="Compact"/>
              <w:jc w:val="left"/>
            </w:pPr>
            <w:r>
              <w:t xml:space="preserve">Configuration</w:t>
            </w:r>
          </w:p>
        </w:tc>
        <w:tc>
          <w:tcPr>
            <w:tcBorders>
              <w:bottom w:val="single"/>
            </w:tcBorders>
            <w:vAlign w:val="bottom"/>
          </w:tcPr>
          <w:p>
            <w:pPr>
              <w:pStyle w:val="Compact"/>
              <w:jc w:val="left"/>
            </w:pPr>
            <w:r>
              <w:t xml:space="preserve">Sequence</w:t>
            </w:r>
          </w:p>
        </w:tc>
        <w:tc>
          <w:tcPr>
            <w:tcBorders>
              <w:bottom w:val="single"/>
            </w:tcBorders>
            <w:vAlign w:val="bottom"/>
          </w:tcPr>
          <w:p>
            <w:pPr>
              <w:pStyle w:val="Compact"/>
              <w:jc w:val="left"/>
            </w:pPr>
            <w:r>
              <w:t xml:space="preserve">SNR Improvement</w:t>
            </w:r>
          </w:p>
        </w:tc>
        <w:tc>
          <w:tcPr>
            <w:tcBorders>
              <w:bottom w:val="single"/>
            </w:tcBorders>
            <w:vAlign w:val="bottom"/>
          </w:tcPr>
          <w:p>
            <w:pPr>
              <w:pStyle w:val="Compact"/>
              <w:jc w:val="left"/>
            </w:pPr>
            <w:r>
              <w:t xml:space="preserve">Resolution</w:t>
            </w:r>
          </w:p>
        </w:tc>
        <w:tc>
          <w:tcPr>
            <w:tcBorders>
              <w:bottom w:val="single"/>
            </w:tcBorders>
            <w:vAlign w:val="bottom"/>
          </w:tcPr>
          <w:p>
            <w:pPr>
              <w:pStyle w:val="Compact"/>
              <w:jc w:val="left"/>
            </w:pPr>
            <w:r>
              <w:t xml:space="preserve">Artifacts</w:t>
            </w:r>
          </w:p>
        </w:tc>
      </w:tr>
      <w:tr>
        <w:tc>
          <w:p>
            <w:pPr>
              <w:pStyle w:val="Compact"/>
              <w:jc w:val="left"/>
            </w:pPr>
            <w:r>
              <w:rPr>
                <w:b/>
              </w:rPr>
              <w:t xml:space="preserve">Standard Coil</w:t>
            </w:r>
          </w:p>
        </w:tc>
        <w:tc>
          <w:p>
            <w:pPr>
              <w:pStyle w:val="Compact"/>
              <w:jc w:val="left"/>
            </w:pPr>
            <w:r>
              <w:t xml:space="preserve">Spin Echo</w:t>
            </w:r>
          </w:p>
        </w:tc>
        <w:tc>
          <w:p>
            <w:pPr>
              <w:pStyle w:val="Compact"/>
              <w:jc w:val="left"/>
            </w:pPr>
            <w:r>
              <w:t xml:space="preserve">Baseline (1.0x)</w:t>
            </w:r>
          </w:p>
        </w:tc>
        <w:tc>
          <w:p>
            <w:pPr>
              <w:pStyle w:val="Compact"/>
              <w:jc w:val="left"/>
            </w:pPr>
            <w:r>
              <w:t xml:space="preserve">1.0 mm</w:t>
            </w:r>
          </w:p>
        </w:tc>
        <w:tc>
          <w:p>
            <w:pPr>
              <w:pStyle w:val="Compact"/>
              <w:jc w:val="left"/>
            </w:pPr>
            <w:r>
              <w:t xml:space="preserve">None</w:t>
            </w:r>
          </w:p>
        </w:tc>
      </w:tr>
      <w:tr>
        <w:tc>
          <w:p>
            <w:pPr>
              <w:pStyle w:val="Compact"/>
              <w:jc w:val="left"/>
            </w:pPr>
            <w:r>
              <w:rPr>
                <w:b/>
              </w:rPr>
              <w:t xml:space="preserve">Gemini 14T</w:t>
            </w:r>
          </w:p>
        </w:tc>
        <w:tc>
          <w:p>
            <w:pPr>
              <w:pStyle w:val="Compact"/>
              <w:jc w:val="left"/>
            </w:pPr>
            <w:r>
              <w:t xml:space="preserve">Quantum Entangled</w:t>
            </w:r>
          </w:p>
        </w:tc>
        <w:tc>
          <w:p>
            <w:pPr>
              <w:pStyle w:val="Compact"/>
              <w:jc w:val="left"/>
            </w:pPr>
            <w:r>
              <w:rPr>
                <w:b/>
              </w:rPr>
              <w:t xml:space="preserve">12.5x</w:t>
            </w:r>
          </w:p>
        </w:tc>
        <w:tc>
          <w:p>
            <w:pPr>
              <w:pStyle w:val="Compact"/>
              <w:jc w:val="left"/>
            </w:pPr>
            <w:r>
              <w:t xml:space="preserve">0.2 mm</w:t>
            </w:r>
          </w:p>
        </w:tc>
        <w:tc>
          <w:p>
            <w:pPr>
              <w:pStyle w:val="Compact"/>
              <w:jc w:val="left"/>
            </w:pPr>
            <w:r>
              <w:t xml:space="preserve">Minor Standing Wave</w:t>
            </w:r>
          </w:p>
        </w:tc>
      </w:tr>
      <w:tr>
        <w:tc>
          <w:p>
            <w:pPr>
              <w:pStyle w:val="Compact"/>
              <w:jc w:val="left"/>
            </w:pPr>
            <w:r>
              <w:rPr>
                <w:b/>
              </w:rPr>
              <w:t xml:space="preserve">N25 Array</w:t>
            </w:r>
          </w:p>
        </w:tc>
        <w:tc>
          <w:p>
            <w:pPr>
              <w:pStyle w:val="Compact"/>
              <w:jc w:val="left"/>
            </w:pPr>
            <w:r>
              <w:t xml:space="preserve">Zero Point Gradients</w:t>
            </w:r>
          </w:p>
        </w:tc>
        <w:tc>
          <w:p>
            <w:pPr>
              <w:pStyle w:val="Compact"/>
              <w:jc w:val="left"/>
            </w:pPr>
            <w:r>
              <w:rPr>
                <w:b/>
              </w:rPr>
              <w:t xml:space="preserve">18.2x</w:t>
            </w:r>
          </w:p>
        </w:tc>
        <w:tc>
          <w:p>
            <w:pPr>
              <w:pStyle w:val="Compact"/>
              <w:jc w:val="left"/>
            </w:pPr>
            <w:r>
              <w:t xml:space="preserve">0.1 mm</w:t>
            </w:r>
          </w:p>
        </w:tc>
        <w:tc>
          <w:p>
            <w:pPr>
              <w:pStyle w:val="Compact"/>
              <w:jc w:val="left"/>
            </w:pPr>
            <w:r>
              <w:t xml:space="preserve">Aliasing at Edges</w:t>
            </w:r>
          </w:p>
        </w:tc>
      </w:tr>
    </w:tbl>
    <w:p>
      <w:pPr>
        <w:pStyle w:val="Heading2"/>
      </w:pPr>
      <w:bookmarkStart w:id="31" w:name="conclusion"/>
      <w:r>
        <w:t xml:space="preserve">4. Conclusion</w:t>
      </w:r>
      <w:bookmarkEnd w:id="31"/>
    </w:p>
    <w:p>
      <w:pPr>
        <w:pStyle w:val="FirstParagraph"/>
      </w:pPr>
      <w:r>
        <w:t xml:space="preserve">The integration of custom coil geometries defined by finite difference sensitivity maps, coupled with quantum-enhanced signal equations, demonstrates a significant potential leap in neuroimaging quality. The Gemini 14T coil specifically offers a viable path for human-scale 14T imaging by mathematically compensating for RF inhomogeneity.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2026-01-08T21:12:18Z</dcterms:created>
  <dcterms:modified xsi:type="dcterms:W3CDTF">2026-01-08T21:12:18Z</dcterms:modified>
</cp:coreProperties>
</file>