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emini-3.0-orthopedic-finite-math-physics-report"/>
      <w:r>
        <w:t xml:space="preserve">Gemini 3.0 Orthopedic Finite Math &amp; Physics Report</w:t>
      </w:r>
      <w:bookmarkEnd w:id="20"/>
    </w:p>
    <w:p>
      <w:pPr>
        <w:pStyle w:val="FirstParagraph"/>
      </w:pPr>
      <w:r>
        <w:rPr>
          <w:b/>
        </w:rPr>
        <w:t xml:space="preserve">System Version:</w:t>
      </w:r>
      <w:r>
        <w:t xml:space="preserve"> </w:t>
      </w:r>
      <w:r>
        <w:t xml:space="preserve">3.0.1</w:t>
      </w:r>
      <w:r>
        <w:br w:type="textWrapping"/>
      </w:r>
      <w:r>
        <w:rPr>
          <w:b/>
        </w:rPr>
        <w:t xml:space="preserve">Module:</w:t>
      </w:r>
      <w:r>
        <w:t xml:space="preserve"> </w:t>
      </w:r>
      <w:r>
        <w:t xml:space="preserve">Orthopedic Intelligent Guidance System (IGS)</w:t>
      </w:r>
      <w:r>
        <w:br w:type="textWrapping"/>
      </w:r>
      <w:r>
        <w:rPr>
          <w:b/>
        </w:rPr>
        <w:t xml:space="preserve">Date:</w:t>
      </w:r>
      <w:r>
        <w:t xml:space="preserve"> </w:t>
      </w:r>
      <w:r>
        <w:t xml:space="preserve">January 18,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olumetric-image-acquisition-acquisition-tab"/>
      <w:r>
        <w:t xml:space="preserve">1. Volumetric Image Acquisition (Acquisition Tab)</w:t>
      </w:r>
      <w:bookmarkEnd w:id="21"/>
    </w:p>
    <w:p>
      <w:pPr>
        <w:pStyle w:val="FirstParagraph"/>
      </w:pPr>
      <w:r>
        <w:t xml:space="preserve">The acquisition module simulates the reconstruction of a 3D anatomical 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a set of 2D axial slices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Heading3"/>
      </w:pPr>
      <w:bookmarkStart w:id="22" w:name="voxel-intensity-model"/>
      <w:r>
        <w:t xml:space="preserve">1.1 Voxel Intensity Model</w:t>
      </w:r>
      <w:bookmarkEnd w:id="22"/>
    </w:p>
    <w:p>
      <w:pPr>
        <w:pStyle w:val="FirstParagraph"/>
      </w:pPr>
      <w:r>
        <w:t xml:space="preserve">The intensity</w:t>
      </w:r>
      <w:r>
        <w:t xml:space="preserve"> </w:t>
      </w:r>
      <m:oMath>
        <m:r>
          <m:t>I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of a voxel at position</w:t>
      </w:r>
      <w:r>
        <w:t xml:space="preserve"> </w:t>
      </w:r>
      <m:oMath>
        <m:r>
          <m:rPr>
            <m:sty m:val="b"/>
          </m:rPr>
          <m:t>p</m:t>
        </m:r>
        <m:r>
          <m:t>=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is modeled as a function of tissue density</w:t>
      </w:r>
      <w:r>
        <w:t xml:space="preserve"> </w:t>
      </w:r>
      <m:oMath>
        <m:r>
          <m:t>ρ</m:t>
        </m:r>
        <m:r>
          <m:t>(</m:t>
        </m:r>
        <m:r>
          <m:rPr>
            <m:sty m:val="b"/>
          </m:rPr>
          <m:t>p</m:t>
        </m:r>
        <m:r>
          <m:t>)</m:t>
        </m:r>
      </m:oMath>
      <w:r>
        <w:t xml:space="preserve"> </w:t>
      </w:r>
      <w:r>
        <w:t xml:space="preserve">with additive Gaussian noise</w:t>
      </w:r>
      <w:r>
        <w:t xml:space="preserve"> </w:t>
      </w:r>
      <m:oMath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(</m:t>
          </m:r>
          <m:r>
            <m:t>x</m:t>
          </m:r>
          <m:r>
            <m:t>,</m:t>
          </m:r>
          <m:r>
            <m:t>y</m:t>
          </m:r>
          <m:r>
            <m:t>,</m:t>
          </m:r>
          <m:r>
            <m:t>z</m:t>
          </m:r>
          <m:r>
            <m:t>)</m:t>
          </m:r>
          <m:r>
            <m:t>=</m:t>
          </m:r>
          <m:r>
            <m:t>α</m:t>
          </m:r>
          <m:r>
            <m:t>⋅</m:t>
          </m:r>
          <m:r>
            <m:t>ρ</m:t>
          </m:r>
          <m:r>
            <m:t>(</m:t>
          </m:r>
          <m:r>
            <m:t>x</m:t>
          </m:r>
          <m:r>
            <m:t>,</m:t>
          </m:r>
          <m:r>
            <m:t>y</m:t>
          </m:r>
          <m:r>
            <m:t>,</m:t>
          </m:r>
          <m:r>
            <m:t>z</m:t>
          </m:r>
          <m:r>
            <m:t>)</m:t>
          </m:r>
          <m:r>
            <m:t>+</m:t>
          </m:r>
          <m:r>
            <m:t>η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200</m:t>
                  </m:r>
                </m:e>
                <m:e>
                  <m:r>
                    <m:rPr>
                      <m:sty m:val="p"/>
                    </m:rPr>
                    <m:t>if </m:t>
                  </m:r>
                  <m:r>
                    <m:rPr>
                      <m:sty m:val="b"/>
                    </m:rPr>
                    <m:t>p</m:t>
                  </m:r>
                  <m:r>
                    <m:t>∈</m:t>
                  </m:r>
                  <m:r>
                    <m:rPr>
                      <m:sty m:val="p"/>
                    </m:rPr>
                    <m:t>Cortical Bone</m:t>
                  </m:r>
                </m:e>
              </m:mr>
              <m:mr>
                <m:e>
                  <m:r>
                    <m:t>180</m:t>
                  </m:r>
                </m:e>
                <m:e>
                  <m:r>
                    <m:rPr>
                      <m:sty m:val="p"/>
                    </m:rPr>
                    <m:t>if </m:t>
                  </m:r>
                  <m:r>
                    <m:rPr>
                      <m:sty m:val="b"/>
                    </m:rPr>
                    <m:t>p</m:t>
                  </m:r>
                  <m:r>
                    <m:t>∈</m:t>
                  </m:r>
                  <m:r>
                    <m:rPr>
                      <m:sty m:val="p"/>
                    </m:rPr>
                    <m:t>Cancellous/Tibia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otherwise</m:t>
                  </m:r>
                </m:e>
              </m:mr>
            </m:m>
          </m:e>
        </m:d>
      </m:oMath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sSubSup>
          <m:e>
            <m:r>
              <m:t>σ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  <m:sup>
            <m:r>
              <m:t>2</m:t>
            </m:r>
          </m:sup>
        </m:sSubSup>
        <m:r>
          <m:t>)</m:t>
        </m:r>
      </m:oMath>
    </w:p>
    <w:p>
      <w:pPr>
        <w:pStyle w:val="Heading3"/>
      </w:pPr>
      <w:bookmarkStart w:id="23" w:name="region-of-interest-roi-algebra"/>
      <w:r>
        <w:t xml:space="preserve">1.2 Region of Interest (ROI) Algebra</w:t>
      </w:r>
      <w:bookmarkEnd w:id="23"/>
    </w:p>
    <w:p>
      <w:pPr>
        <w:pStyle w:val="FirstParagraph"/>
      </w:pPr>
      <w:r>
        <w:t xml:space="preserve">The segmentation masks for the medial and lateral condyles are defined by finite inequalities:</w:t>
      </w:r>
    </w:p>
    <w:p>
      <w:pPr>
        <w:pStyle w:val="BodyText"/>
      </w:pPr>
      <w:r>
        <w:rPr>
          <w:b/>
        </w:rPr>
        <w:t xml:space="preserve">Medial Condyle: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r>
            <m:t>x</m:t>
          </m:r>
          <m:r>
            <m:t>−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r>
            <m:t>y</m:t>
          </m:r>
          <m:r>
            <m:t>−</m:t>
          </m:r>
          <m:sSub>
            <m:e>
              <m:r>
                <m:t>c</m:t>
              </m:r>
            </m:e>
            <m:sub>
              <m:r>
                <m:t>y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≤</m:t>
          </m:r>
          <m:sSubSup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  <m:r>
                <m:t>y</m:t>
              </m:r>
              <m:r>
                <m:t>l</m:t>
              </m:r>
              <m:r>
                <m:t>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</w:rPr>
        <w:t xml:space="preserve">Tibial Plateau (Ellipsoidal):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(</m:t>
              </m:r>
              <m:r>
                <m:t>x</m:t>
              </m:r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f>
            <m:fPr>
              <m:type m:val="bar"/>
            </m:fPr>
            <m:num>
              <m:r>
                <m:t>(</m:t>
              </m:r>
              <m:r>
                <m:t>y</m:t>
              </m:r>
              <m:r>
                <m:t>−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  <m:r>
                        <m:t>i</m:t>
                      </m:r>
                      <m:r>
                        <m:t>b</m:t>
                      </m:r>
                    </m:sub>
                  </m:sSub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≤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quantum-geodesic-registration-registration-tab"/>
      <w:r>
        <w:t xml:space="preserve">2. Quantum Geodesic Registration (Registration Tab)</w:t>
      </w:r>
      <w:bookmarkEnd w:id="24"/>
    </w:p>
    <w:p>
      <w:pPr>
        <w:pStyle w:val="FirstParagraph"/>
      </w:pPr>
      <w:r>
        <w:t xml:space="preserve">Registration aligns the intra-operative tracker coordinate frame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c</m:t>
            </m:r>
            <m:r>
              <m:t>k</m:t>
            </m:r>
            <m:r>
              <m:t>e</m:t>
            </m:r>
            <m:r>
              <m:t>r</m:t>
            </m:r>
          </m:sub>
        </m:sSub>
      </m:oMath>
      <w:r>
        <w:t xml:space="preserve"> </w:t>
      </w:r>
      <w:r>
        <w:t xml:space="preserve">with the pre-operative CT/MRI frame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T</m:t>
            </m:r>
          </m:sub>
        </m:sSub>
      </m:oMath>
      <w:r>
        <w:t xml:space="preserve">. The system utilizes a</w:t>
      </w:r>
      <w:r>
        <w:t xml:space="preserve"> </w:t>
      </w:r>
      <w:r>
        <w:t xml:space="preserve">“</w:t>
      </w:r>
      <w:r>
        <w:t xml:space="preserve">Quantum Geodesic Mapping</w:t>
      </w:r>
      <w:r>
        <w:t xml:space="preserve">”</w:t>
      </w:r>
      <w:r>
        <w:t xml:space="preserve"> </w:t>
      </w:r>
      <w:r>
        <w:t xml:space="preserve">approach, represented as an iterative optimization of a rigid body transformation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Heading3"/>
      </w:pPr>
      <w:bookmarkStart w:id="25" w:name="transformation-matrix"/>
      <w:r>
        <w:t xml:space="preserve">2.1 Transformation Matrix</w:t>
      </w:r>
      <w:bookmarkEnd w:id="25"/>
    </w:p>
    <w:p>
      <w:pPr>
        <w:pStyle w:val="FirstParagraph"/>
      </w:pPr>
      <w:r>
        <w:t xml:space="preserve">The transformation</w:t>
      </w:r>
      <w:r>
        <w:t xml:space="preserve"> </w:t>
      </w:r>
      <m:oMath>
        <m:r>
          <m:t>T</m:t>
        </m:r>
        <m:r>
          <m:t>∈</m:t>
        </m:r>
        <m:r>
          <m:t>S</m:t>
        </m:r>
        <m:r>
          <m:t>E</m:t>
        </m:r>
        <m:r>
          <m:t>(</m:t>
        </m:r>
        <m:r>
          <m:t>3</m:t>
        </m:r>
        <m:r>
          <m:t>)</m:t>
        </m:r>
      </m:oMath>
      <w:r>
        <w:t xml:space="preserve"> </w:t>
      </w:r>
      <w:r>
        <w:t xml:space="preserve">is defined by a rotation matrix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translation vector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</m:e>
                  <m:e>
                    <m:r>
                      <m:rPr>
                        <m:sty m:val="b"/>
                      </m:rPr>
                      <m:t>t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constructed from Euler angles</w:t>
      </w:r>
      <w:r>
        <w:t xml:space="preserve"> </w:t>
      </w:r>
      <m:oMath>
        <m:r>
          <m:t>(</m:t>
        </m:r>
        <m:r>
          <m:t>ϕ</m:t>
        </m:r>
        <m:r>
          <m:t>,</m:t>
        </m:r>
        <m:r>
          <m:t>θ</m:t>
        </m:r>
        <m:r>
          <m:t>,</m:t>
        </m:r>
        <m:r>
          <m:t>ψ</m:t>
        </m:r>
        <m: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=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t>(</m:t>
          </m:r>
          <m:r>
            <m:t>ψ</m:t>
          </m:r>
          <m:r>
            <m:t>)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t>(</m:t>
          </m:r>
          <m:r>
            <m:t>θ</m:t>
          </m:r>
          <m:r>
            <m:t>)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t>(</m:t>
          </m:r>
          <m:r>
            <m:t>ϕ</m:t>
          </m:r>
          <m:r>
            <m:t>)</m:t>
          </m:r>
        </m:oMath>
      </m:oMathPara>
    </w:p>
    <w:p>
      <w:pPr>
        <w:pStyle w:val="Heading3"/>
      </w:pPr>
      <w:bookmarkStart w:id="26" w:name="cost-function-optimization"/>
      <w:r>
        <w:t xml:space="preserve">2.2 Cost Function Optimization</w:t>
      </w:r>
      <w:bookmarkEnd w:id="26"/>
    </w:p>
    <w:p>
      <w:pPr>
        <w:pStyle w:val="FirstParagraph"/>
      </w:pPr>
      <w:r>
        <w:t xml:space="preserve">The objective is to minimize the Root Mean Square (RMS) error between the source point cloud</w:t>
      </w:r>
      <w:r>
        <w:t xml:space="preserve"> </w:t>
      </w:r>
      <m:oMath>
        <m:r>
          <m:t>P</m:t>
        </m:r>
        <m:r>
          <m:t>=</m:t>
        </m:r>
        <m:r>
          <m:t>{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}</m:t>
        </m:r>
      </m:oMath>
      <w:r>
        <w:t xml:space="preserve"> </w:t>
      </w:r>
      <w:r>
        <w:t xml:space="preserve">and target cloud</w:t>
      </w:r>
      <w:r>
        <w:t xml:space="preserve"> </w:t>
      </w:r>
      <m:oMath>
        <m:r>
          <m:t>Q</m:t>
        </m:r>
        <m:r>
          <m:t>=</m:t>
        </m:r>
        <m:r>
          <m:t>{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(</m:t>
          </m:r>
          <m:r>
            <m:t>R</m:t>
          </m:r>
          <m:r>
            <m:t>,</m:t>
          </m:r>
          <m:r>
            <m:rPr>
              <m:sty m:val="b"/>
            </m:rPr>
            <m:t>t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∥</m:t>
              </m:r>
            </m:e>
          </m:nary>
          <m:r>
            <m:t>(</m:t>
          </m:r>
          <m:r>
            <m:t>R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r>
            <m:rPr>
              <m:sty m:val="b"/>
            </m:rPr>
            <m:t>t</m:t>
          </m:r>
          <m:r>
            <m:t>)</m:t>
          </m:r>
          <m:r>
            <m:t>−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Ω</m:t>
              </m:r>
            </m:sub>
            <m:sup/>
            <m:e>
              <m:sSub>
                <m:e>
                  <m:r>
                    <m:t>Ψ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c</m:t>
                  </m:r>
                </m:sub>
              </m:sSub>
            </m:e>
          </m:nary>
          <m:r>
            <m:t>d</m:t>
          </m:r>
          <m:r>
            <m:t>Ω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Evolutionary Propagation</w:t>
      </w:r>
      <w:r>
        <w:t xml:space="preserve">”</w:t>
      </w:r>
      <w:r>
        <w:t xml:space="preserve"> </w:t>
      </w:r>
      <w:r>
        <w:t xml:space="preserve">simulates the gradient descent steps: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t>r</m:t>
          </m:r>
          <m:r>
            <m:t>o</m:t>
          </m:r>
          <m:sSub>
            <m:e>
              <m:r>
                <m:t>r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r>
            <m:t>γ</m:t>
          </m:r>
          <m:r>
            <m:t>⋅</m:t>
          </m:r>
          <m:r>
            <m:t>E</m:t>
          </m:r>
          <m:r>
            <m:t>r</m:t>
          </m:r>
          <m:r>
            <m:t>r</m:t>
          </m:r>
          <m:r>
            <m:t>o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γ</m:t>
        </m:r>
        <m:r>
          <m:t>≈</m:t>
        </m:r>
        <m:r>
          <m:t>0.7</m:t>
        </m:r>
      </m:oMath>
      <w:r>
        <w:t xml:space="preserve"> </w:t>
      </w:r>
      <w:r>
        <w:t xml:space="preserve">is the convergence factor.</w:t>
      </w:r>
    </w:p>
    <w:p>
      <w:pPr>
        <w:pStyle w:val="Heading3"/>
      </w:pPr>
      <w:bookmarkStart w:id="27" w:name="repeatability-statistics"/>
      <w:r>
        <w:t xml:space="preserve">2.3 Repeatability Statistics</w:t>
      </w:r>
      <w:bookmarkEnd w:id="27"/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trials, the repeatability confidence score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derived from the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t xml:space="preserve"> </w:t>
      </w:r>
      <w:r>
        <w:t xml:space="preserve">of the final convergence error: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=</m:t>
          </m:r>
          <m:r>
            <m:t>100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−</m:t>
              </m:r>
              <m:r>
                <m:t>κ</m:t>
              </m:r>
              <m:r>
                <m:t>⋅</m:t>
              </m:r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nformal-surgical-planning-planning-tab"/>
      <w:r>
        <w:t xml:space="preserve">3. Conformal Surgical Planning (Planning Tab)</w:t>
      </w:r>
      <w:bookmarkEnd w:id="28"/>
    </w:p>
    <w:p>
      <w:pPr>
        <w:pStyle w:val="FirstParagraph"/>
      </w:pPr>
      <w:r>
        <w:t xml:space="preserve">The planning engine generates resection profiles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u</m:t>
            </m:r>
            <m:r>
              <m:t>t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to match the inverse geometry of the implant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m</m:t>
            </m:r>
            <m:r>
              <m:t>p</m:t>
            </m:r>
            <m:r>
              <m:t>l</m:t>
            </m:r>
            <m:r>
              <m:t>a</m:t>
            </m:r>
            <m:r>
              <m:t>n</m:t>
            </m:r>
            <m:r>
              <m:t>t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.</w:t>
      </w:r>
    </w:p>
    <w:p>
      <w:pPr>
        <w:pStyle w:val="Heading3"/>
      </w:pPr>
      <w:bookmarkStart w:id="29" w:name="anatomy-polynomial-approximation"/>
      <w:r>
        <w:t xml:space="preserve">3.1 Anatomy Polynomial Approximation</w:t>
      </w:r>
      <w:bookmarkEnd w:id="29"/>
    </w:p>
    <w:p>
      <w:pPr>
        <w:pStyle w:val="FirstParagraph"/>
      </w:pPr>
      <w:r>
        <w:t xml:space="preserve">The distal femur curvature is approximated by a parabolic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R</m:t>
              </m:r>
            </m:den>
          </m:f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t>=</m:t>
        </m:r>
        <m:r>
          <m:t>30</m:t>
        </m:r>
      </m:oMath>
      <w:r>
        <w:t xml:space="preserve"> </w:t>
      </w:r>
      <w:r>
        <w:t xml:space="preserve">(radius of curvature) 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t>=</m:t>
        </m:r>
        <m:r>
          <m:t>10</m:t>
        </m:r>
      </m:oMath>
      <w:r>
        <w:t xml:space="preserve"> </w:t>
      </w:r>
      <w:r>
        <w:t xml:space="preserve">(offset).</w:t>
      </w:r>
    </w:p>
    <w:p>
      <w:pPr>
        <w:pStyle w:val="Heading3"/>
      </w:pPr>
      <w:bookmarkStart w:id="30" w:name="resection-geometry-chamfer-cuts"/>
      <w:r>
        <w:t xml:space="preserve">3.2 Resection Geometry (Chamfer Cuts)</w:t>
      </w:r>
      <w:bookmarkEnd w:id="30"/>
    </w:p>
    <w:p>
      <w:pPr>
        <w:pStyle w:val="FirstParagraph"/>
      </w:pPr>
      <w:r>
        <w:t xml:space="preserve">The resection profile is a piecewise function defining the 5-cut technique: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−</m:t>
                    </m:r>
                    <m:r>
                      <m:t>5</m:t>
                    </m:r>
                  </m:e>
                  <m:e>
                    <m:r>
                      <m:t>|</m:t>
                    </m:r>
                    <m:r>
                      <m:t>x</m:t>
                    </m:r>
                    <m:r>
                      <m:t>|</m:t>
                    </m:r>
                    <m:r>
                      <m:t>&lt;</m:t>
                    </m:r>
                    <m:r>
                      <m:t>20</m:t>
                    </m:r>
                    <m:r>
                      <m:t> </m:t>
                    </m:r>
                    <m:r>
                      <m:t>(</m:t>
                    </m:r>
                    <m:r>
                      <m:rPr>
                        <m:sty m:val="p"/>
                      </m:rPr>
                      <m:t>Distal</m:t>
                    </m:r>
                    <m:r>
                      <m:t>)</m:t>
                    </m:r>
                  </m:e>
                </m:mr>
                <m:mr>
                  <m:e>
                    <m:r>
                      <m:t>−</m:t>
                    </m:r>
                    <m:r>
                      <m:t>10</m:t>
                    </m:r>
                    <m:r>
                      <m:t>−</m:t>
                    </m:r>
                    <m:r>
                      <m:t>(</m:t>
                    </m:r>
                    <m:r>
                      <m:t>|</m:t>
                    </m:r>
                    <m:r>
                      <m:t>x</m:t>
                    </m:r>
                    <m:r>
                      <m:t>|</m:t>
                    </m:r>
                    <m:r>
                      <m:t>−</m:t>
                    </m:r>
                    <m:r>
                      <m:t>20</m:t>
                    </m:r>
                    <m:r>
                      <m:t>)</m:t>
                    </m:r>
                  </m:e>
                  <m:e>
                    <m:r>
                      <m:t>20</m:t>
                    </m:r>
                    <m:r>
                      <m:t>≤</m:t>
                    </m:r>
                    <m:r>
                      <m:t>|</m:t>
                    </m:r>
                    <m:r>
                      <m:t>x</m:t>
                    </m:r>
                    <m:r>
                      <m:t>|</m:t>
                    </m:r>
                    <m:r>
                      <m:t>&lt;</m:t>
                    </m:r>
                    <m:r>
                      <m:t>35</m:t>
                    </m:r>
                    <m:r>
                      <m:t> </m:t>
                    </m:r>
                    <m:r>
                      <m:t>(</m:t>
                    </m:r>
                    <m:r>
                      <m:rPr>
                        <m:sty m:val="p"/>
                      </m:rPr>
                      <m:t>Chamfer</m:t>
                    </m:r>
                    <m:r>
                      <m:t>)</m:t>
                    </m:r>
                  </m:e>
                </m:mr>
                <m:mr>
                  <m:e>
                    <m:r>
                      <m:t>−</m:t>
                    </m:r>
                    <m:r>
                      <m:t>25</m:t>
                    </m:r>
                  </m:e>
                  <m:e>
                    <m:r>
                      <m:t>|</m:t>
                    </m:r>
                    <m:r>
                      <m:t>x</m:t>
                    </m:r>
                    <m:r>
                      <m:t>|</m:t>
                    </m:r>
                    <m:r>
                      <m:t>≥</m:t>
                    </m:r>
                    <m:r>
                      <m:t>35</m:t>
                    </m:r>
                    <m:r>
                      <m:t> </m:t>
                    </m:r>
                    <m:r>
                      <m:t>(</m:t>
                    </m:r>
                    <m:r>
                      <m:rPr>
                        <m:sty m:val="p"/>
                      </m:rPr>
                      <m:t>A/P</m:t>
                    </m:r>
                    <m:r>
                      <m:t>)</m:t>
                    </m:r>
                  </m:e>
                </m:mr>
              </m:m>
            </m:e>
          </m:d>
        </m:oMath>
      </m:oMathPara>
    </w:p>
    <w:p>
      <w:pPr>
        <w:pStyle w:val="Heading3"/>
      </w:pPr>
      <w:bookmarkStart w:id="31" w:name="posterior-stabilized-ps-cam-mechanism"/>
      <w:r>
        <w:t xml:space="preserve">3.3 Posterior Stabilized (PS) Cam Mechanism</w:t>
      </w:r>
      <w:bookmarkEnd w:id="31"/>
    </w:p>
    <w:p>
      <w:pPr>
        <w:pStyle w:val="FirstParagraph"/>
      </w:pPr>
      <w:r>
        <w:t xml:space="preserve">For PS implants, a</w:t>
      </w:r>
      <w:r>
        <w:t xml:space="preserve"> </w:t>
      </w:r>
      <w:r>
        <w:t xml:space="preserve">“</w:t>
      </w:r>
      <w:r>
        <w:t xml:space="preserve">box cut</w:t>
      </w:r>
      <w:r>
        <w:t xml:space="preserve">”</w:t>
      </w:r>
      <w:r>
        <w:t xml:space="preserve"> </w:t>
      </w:r>
      <w:r>
        <w:t xml:space="preserve">requires a modification in the central domain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x</m:t>
            </m:r>
          </m:sub>
        </m:sSub>
        <m:r>
          <m:t>=</m:t>
        </m:r>
        <m:r>
          <m:t>{</m:t>
        </m:r>
        <m:r>
          <m:t>x</m:t>
        </m:r>
        <m:r>
          <m:t>:</m:t>
        </m:r>
        <m:r>
          <m:t>|</m:t>
        </m:r>
        <m:r>
          <m:t>x</m:t>
        </m:r>
        <m:r>
          <m:t>|</m:t>
        </m:r>
        <m:r>
          <m:t>&lt;</m:t>
        </m:r>
        <m:r>
          <m:t>10</m:t>
        </m:r>
        <m: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P</m:t>
              </m:r>
              <m:r>
                <m:t>S</m:t>
              </m:r>
              <m:r>
                <m:t>_</m:t>
              </m:r>
              <m:r>
                <m:t>c</m:t>
              </m:r>
              <m:r>
                <m:t>u</m:t>
              </m:r>
              <m:r>
                <m:t>t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sSub>
            <m:e>
              <m:r>
                <m:t>Y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</m:sub>
          </m:sSub>
          <m:r>
            <m:t>(</m:t>
          </m:r>
          <m:r>
            <m:t>x</m:t>
          </m:r>
          <m:r>
            <m:t>)</m:t>
          </m:r>
          <m:r>
            <m:t>+</m:t>
          </m:r>
          <m:sSub>
            <m:e>
              <m:r>
                <m:t>δ</m:t>
              </m:r>
            </m:e>
            <m:sub>
              <m:r>
                <m:t>b</m:t>
              </m:r>
              <m:r>
                <m:t>o</m:t>
              </m:r>
              <m:r>
                <m:t>x</m:t>
              </m:r>
            </m:sub>
          </m:sSub>
          <m: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x</m:t>
                  </m:r>
                </m:sub>
              </m:sSub>
            </m:sub>
          </m:sSub>
          <m:r>
            <m:t>(</m:t>
          </m:r>
          <m:r>
            <m:t>x</m:t>
          </m:r>
          <m: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ligament-balancing-kinematics-planning-tab"/>
      <w:r>
        <w:t xml:space="preserve">4. Ligament Balancing Kinematics (Planning Tab)</w:t>
      </w:r>
      <w:bookmarkEnd w:id="32"/>
    </w:p>
    <w:p>
      <w:pPr>
        <w:pStyle w:val="FirstParagraph"/>
      </w:pPr>
      <w:r>
        <w:t xml:space="preserve">Kinematics are simulated as a function of flexion angle</w:t>
      </w:r>
      <w:r>
        <w:t xml:space="preserve"> </w:t>
      </w:r>
      <m:oMath>
        <m:r>
          <m:t>α</m:t>
        </m:r>
        <m:r>
          <m:t>∈</m:t>
        </m:r>
        <m:r>
          <m:t>[</m:t>
        </m:r>
        <m:r>
          <m:t>0</m:t>
        </m:r>
        <m:r>
          <m:t>,</m:t>
        </m:r>
        <m:r>
          <m:t>145</m:t>
        </m:r>
        <m:r>
          <m:t>]</m:t>
        </m:r>
      </m:oMath>
      <w:r>
        <w:t xml:space="preserve">.</w:t>
      </w:r>
    </w:p>
    <w:p>
      <w:pPr>
        <w:pStyle w:val="Heading3"/>
      </w:pPr>
      <w:bookmarkStart w:id="33" w:name="gap-functions"/>
      <w:r>
        <w:t xml:space="preserve">4.1 Gap Functions</w:t>
      </w:r>
      <w:bookmarkEnd w:id="33"/>
    </w:p>
    <w:p>
      <w:pPr>
        <w:pStyle w:val="FirstParagraph"/>
      </w:pPr>
      <w:r>
        <w:t xml:space="preserve">The varying gap distance</w:t>
      </w:r>
      <w:r>
        <w:t xml:space="preserve"> </w:t>
      </w:r>
      <m:oMath>
        <m:r>
          <m:t>G</m:t>
        </m:r>
        <m:r>
          <m:t>(</m:t>
        </m:r>
        <m:r>
          <m:t>α</m:t>
        </m:r>
        <m:r>
          <m:t>)</m:t>
        </m:r>
      </m:oMath>
      <w:r>
        <w:t xml:space="preserve"> </w:t>
      </w:r>
      <w:r>
        <w:t xml:space="preserve">between femur and tibia is modeled as:</w:t>
      </w:r>
    </w:p>
    <w:p>
      <w:pPr>
        <w:pStyle w:val="BodyText"/>
      </w:pPr>
      <w:r>
        <w:rPr>
          <w:b/>
        </w:rPr>
        <w:t xml:space="preserve">Medial Compartment (Stable):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</m:sub>
          </m:sSub>
          <m:r>
            <m:t>(</m:t>
          </m:r>
          <m:r>
            <m:t>α</m:t>
          </m:r>
          <m:r>
            <m:t>)</m:t>
          </m:r>
          <m:r>
            <m:t>=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+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sin</m:t>
          </m:r>
          <m: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α</m:t>
          </m:r>
          <m:r>
            <m:t>)</m:t>
          </m:r>
          <m:r>
            <m:t>+</m:t>
          </m:r>
          <m:sSub>
            <m:e>
              <m:r>
                <m:t>ϵ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</w:rPr>
        <w:t xml:space="preserve">Lateral Compartment (Laxity allowed):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t>(</m:t>
          </m:r>
          <m:r>
            <m:t>α</m:t>
          </m:r>
          <m:r>
            <m:t>)</m:t>
          </m:r>
          <m:r>
            <m:t>=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+</m:t>
          </m:r>
          <m:sSub>
            <m:e>
              <m:r>
                <m:t>A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(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α</m:t>
          </m:r>
          <m: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Safe Zone</w:t>
      </w:r>
      <w:r>
        <w:t xml:space="preserve"> </w:t>
      </w:r>
      <w:r>
        <w:t xml:space="preserve">is defined as the interval</w:t>
      </w:r>
      <w:r>
        <w:t xml:space="preserve"> </w:t>
      </w:r>
      <m:oMath>
        <m:r>
          <m:t>[</m:t>
        </m:r>
        <m:r>
          <m:t>9.0</m:t>
        </m:r>
        <m:r>
          <m:t>,</m:t>
        </m:r>
        <m:r>
          <m:t>11.0</m:t>
        </m:r>
        <m:r>
          <m:t>]</m:t>
        </m:r>
      </m:oMath>
      <w:r>
        <w:t xml:space="preserve"> </w:t>
      </w:r>
      <w:r>
        <w:t xml:space="preserve">mm.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mplant-fit-optimization-implant-fit-tab"/>
      <w:r>
        <w:t xml:space="preserve">5. Implant Fit Optimization (Implant Fit Tab)</w:t>
      </w:r>
      <w:bookmarkEnd w:id="34"/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Quantum Surface Integral</w:t>
      </w:r>
      <w:r>
        <w:t xml:space="preserve">”</w:t>
      </w:r>
      <w:r>
        <w:t xml:space="preserve"> </w:t>
      </w:r>
      <w:r>
        <w:t xml:space="preserve">calculates the fit energy between the implant mesh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m</m:t>
            </m:r>
            <m:r>
              <m:t>p</m:t>
            </m:r>
          </m:sub>
        </m:sSub>
      </m:oMath>
      <w:r>
        <w:t xml:space="preserve"> </w:t>
      </w:r>
      <w:r>
        <w:t xml:space="preserve">and the bone surface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  <m:r>
              <m:t>o</m:t>
            </m:r>
            <m:r>
              <m:t>n</m:t>
            </m:r>
            <m:r>
              <m:t>e</m:t>
            </m:r>
          </m:sub>
        </m:sSub>
      </m:oMath>
      <w:r>
        <w:t xml:space="preserve">.</w:t>
      </w:r>
    </w:p>
    <w:p>
      <w:pPr>
        <w:pStyle w:val="Heading3"/>
      </w:pPr>
      <w:bookmarkStart w:id="35" w:name="energy-minimization"/>
      <w:r>
        <w:t xml:space="preserve">5.1 Energy Minimization</w:t>
      </w:r>
      <w:bookmarkEnd w:id="35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t</m:t>
              </m:r>
            </m:sub>
          </m:sSub>
          <m:r>
            <m:t>=</m:t>
          </m:r>
          <m:nary>
            <m:naryPr>
              <m:chr m:val="∬"/>
              <m:limLoc m:val="subSup"/>
              <m:subHide m:val="0"/>
              <m:supHide m:val="1"/>
            </m:naryPr>
            <m:sub>
              <m:r>
                <m:t>S</m:t>
              </m:r>
            </m:sub>
            <m:sup/>
            <m:e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n</m:t>
                      </m:r>
                    </m:e>
                    <m:sub>
                      <m:r>
                        <m:t>i</m:t>
                      </m:r>
                      <m:r>
                        <m:t>m</m:t>
                      </m:r>
                      <m:r>
                        <m:t>p</m:t>
                      </m:r>
                    </m:sub>
                  </m:sSub>
                  <m: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n</m:t>
                      </m:r>
                    </m:e>
                    <m:sub>
                      <m:r>
                        <m:t>b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e</m:t>
                      </m:r>
                    </m:sub>
                  </m:sSub>
                </m:e>
              </m:d>
            </m:e>
          </m:nary>
          <m:sSup>
            <m:e>
              <m:r>
                <m:t>e</m:t>
              </m:r>
            </m:e>
            <m:sup>
              <m:r>
                <m:t>−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(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  <m:r>
                    <m:t>m</m:t>
                  </m:r>
                  <m:r>
                    <m:t>p</m:t>
                  </m:r>
                </m:sub>
              </m:sSub>
              <m:r>
                <m:t>,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n</m:t>
                  </m:r>
                  <m:r>
                    <m:t>e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d</m:t>
          </m:r>
          <m:r>
            <m:t>A</m:t>
          </m:r>
        </m:oMath>
      </m:oMathPara>
    </w:p>
    <w:p>
      <w:pPr>
        <w:pStyle w:val="FirstParagraph"/>
      </w:pPr>
      <w:r>
        <w:t xml:space="preserve">Convergence history follows a quadratic decay: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 </m:t>
          </m:r>
          <m:r>
            <m:t>(</m:t>
          </m:r>
          <m:r>
            <m:rPr>
              <m:sty m:val="p"/>
            </m:rPr>
            <m:t>idealized</m:t>
          </m:r>
          <m: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monte-carlo-post-op-analytics-post-op-tab"/>
      <w:r>
        <w:t xml:space="preserve">6. Monte Carlo Post-Op Analytics (Post-Op Tab)</w:t>
      </w:r>
      <w:bookmarkEnd w:id="36"/>
    </w:p>
    <w:p>
      <w:pPr>
        <w:pStyle w:val="FirstParagraph"/>
      </w:pPr>
      <w:r>
        <w:t xml:space="preserve">Outcomes are predicted using stochastic simulation over</w:t>
      </w:r>
      <w:r>
        <w:t xml:space="preserve"> </w:t>
      </w:r>
      <m:oMath>
        <m:r>
          <m:t>N</m:t>
        </m:r>
        <m:r>
          <m:t>=</m:t>
        </m:r>
        <m:r>
          <m:t>5000</m:t>
        </m:r>
      </m:oMath>
      <w:r>
        <w:t xml:space="preserve"> </w:t>
      </w:r>
      <w:r>
        <w:t xml:space="preserve">virtual patients.</w:t>
      </w:r>
    </w:p>
    <w:p>
      <w:pPr>
        <w:pStyle w:val="Heading3"/>
      </w:pPr>
      <w:bookmarkStart w:id="37" w:name="distribution-models"/>
      <w:r>
        <w:t xml:space="preserve">6.1 Distribution Models</w:t>
      </w:r>
      <w:bookmarkEnd w:id="37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Flexion Range: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  <m:r>
              <m:t>l</m:t>
            </m:r>
            <m:r>
              <m:t>e</m:t>
            </m:r>
            <m:r>
              <m:t>x</m:t>
            </m:r>
          </m:sub>
        </m:sSub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125</m:t>
        </m:r>
        <m:r>
          <m:t>,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truncated to</w:t>
      </w:r>
      <w:r>
        <w:t xml:space="preserve"> </w:t>
      </w:r>
      <m:oMath>
        <m:r>
          <m:t>[</m:t>
        </m:r>
        <m:r>
          <m:t>90</m:t>
        </m:r>
        <m:r>
          <m:t>,</m:t>
        </m:r>
        <m:r>
          <m:t>150</m:t>
        </m:r>
        <m:r>
          <m:t>]</m:t>
        </m:r>
      </m:oMath>
      <w:r>
        <w:t xml:space="preserve">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Tibial Slope: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  <m:r>
              <m:t>l</m:t>
            </m:r>
            <m:r>
              <m:t>o</m:t>
            </m:r>
            <m:r>
              <m:t>p</m:t>
            </m:r>
            <m:r>
              <m:t>e</m:t>
            </m:r>
          </m:sub>
        </m:sSub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5</m:t>
        </m:r>
        <m:r>
          <m:t>,</m:t>
        </m:r>
        <m:sSup>
          <m:e>
            <m:r>
              <m:t>1.5</m:t>
            </m:r>
          </m:e>
          <m:sup>
            <m:r>
              <m:t>2</m:t>
            </m:r>
          </m:sup>
        </m:sSup>
        <m:r>
          <m:t>)</m:t>
        </m:r>
      </m:oMath>
      <w:r>
        <w:t xml:space="preserve">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Cost Function: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t>+</m:t>
          </m:r>
          <m:r>
            <m:t>δ</m:t>
          </m:r>
          <m:r>
            <m:t>+</m:t>
          </m:r>
          <m:r>
            <m:rPr>
              <m:sty m:val="p"/>
              <m:scr m:val="double-struck"/>
            </m:rPr>
            <m:t>I</m:t>
          </m:r>
          <m:r>
            <m:t>(</m:t>
          </m:r>
          <m:sSub>
            <m:e>
              <m:r>
                <m:t>X</m:t>
              </m:r>
            </m:e>
            <m:sub>
              <m:r>
                <m:t>f</m:t>
              </m:r>
              <m:r>
                <m:t>l</m:t>
              </m:r>
              <m:r>
                <m:t>e</m:t>
              </m:r>
              <m:r>
                <m:t>x</m:t>
              </m:r>
            </m:sub>
          </m:sSub>
          <m:r>
            <m:t>&lt;</m:t>
          </m:r>
          <m:r>
            <m:t>100</m:t>
          </m:r>
          <m:r>
            <m:t>)</m:t>
          </m:r>
          <m:r>
            <m:t>⋅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e</m:t>
              </m:r>
              <m:r>
                <m:t>n</m:t>
              </m:r>
              <m:r>
                <m:t>a</m:t>
              </m:r>
              <m:r>
                <m:t>l</m:t>
              </m:r>
              <m:r>
                <m:t>t</m:t>
              </m:r>
              <m:r>
                <m:t>y</m:t>
              </m:r>
            </m:sub>
          </m:sSub>
        </m:oMath>
      </m:oMathPara>
    </w:p>
    <w:p>
      <w:pPr>
        <w:pStyle w:val="Compact"/>
        <w:numPr>
          <w:numId w:val="1001"/>
          <w:ilvl w:val="0"/>
        </w:numPr>
      </w:pPr>
      <w:r>
        <w:t xml:space="preserve">Where</w:t>
      </w:r>
      <w:r>
        <w:t xml:space="preserve"> </w:t>
      </w:r>
      <m:oMath>
        <m:r>
          <m:rPr>
            <m:sty m:val="p"/>
            <m:scr m:val="double-struck"/>
          </m:rPr>
          <m:t>I</m:t>
        </m:r>
      </m:oMath>
      <w:r>
        <w:t xml:space="preserve"> </w:t>
      </w:r>
      <w:r>
        <w:t xml:space="preserve">is the indicator function for poor outcomes (stiffness).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Report generated by Gemini 3.0 Agentic Framework.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2026-01-19T00:53:30Z</dcterms:created>
  <dcterms:modified xsi:type="dcterms:W3CDTF">2026-01-19T00:53:30Z</dcterms:modified>
</cp:coreProperties>
</file>