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Finite Mathematical Framework</w:t>
        <w:br/>
        <w:t>for Deep Brain Stimulation Systems</w:t>
      </w:r>
    </w:p>
    <w:p>
      <w:pPr>
        <w:jc w:val="center"/>
      </w:pPr>
      <w:r>
        <w:rPr>
          <w:i/>
        </w:rPr>
        <w:t>Technical Report: Equations, Models, and Dynamics</w:t>
      </w:r>
    </w:p>
    <w:p>
      <w:pPr>
        <w:jc w:val="center"/>
      </w:pPr>
      <w:r>
        <w:t>Deep Brain Stimulation Scientific Advisory Board</w:t>
        <w:br/>
        <w:t>January 2026</w:t>
      </w:r>
    </w:p>
    <w:p>
      <w:r>
        <w:br w:type="page"/>
      </w:r>
    </w:p>
    <w:p>
      <w:pPr>
        <w:pStyle w:val="Heading1"/>
      </w:pPr>
      <w:r>
        <w:t>Abstract</w:t>
      </w:r>
    </w:p>
    <w:p>
      <w:r>
        <w:t>This technical report formalizes the mathematical underpinnings of the Deep Brain Stimulation (DBS) application. It covers the Finite Element Analysis (FEA) of electric fields, the coupled differential equations for OCD CSTC loops, the neurotransmitter dynamics in Depression, the quantum surface integrals and continued fraction metrics for ASD neural repair, and the neural field equations for Dementia pathology. Each module is grounded in stochastic physics and statistical mechanics.</w:t>
      </w:r>
    </w:p>
    <w:p>
      <w:pPr>
        <w:pStyle w:val="Heading1"/>
      </w:pPr>
      <w:r>
        <w:t>1. Finite Element Analysis (FEA) of Electric Fields and Post Treatment Parameters</w:t>
      </w:r>
    </w:p>
    <w:p>
      <w:r>
        <w:t>The fundamental physics of DBS involves the distribution of electric potential Phi in the brain tissue, governed by the quasi-static Poisson equation:</w:t>
      </w:r>
    </w:p>
    <w:p>
      <w:pPr>
        <w:pStyle w:val="Quote"/>
      </w:pPr>
      <w:r>
        <w:t>∇ · (σ(x) ∇Φ(x)) = -∇ · J_source</w:t>
      </w:r>
    </w:p>
    <w:p>
      <w:r>
        <w:t>where sigma(x) represents the anisotropic conductivity tensor. The Volume of Tissue Activated (VTA) is the manifold where the second spatial derivative of the potential exceeds the axonal threshold:</w:t>
      </w:r>
    </w:p>
    <w:p>
      <w:pPr>
        <w:pStyle w:val="Quote"/>
      </w:pPr>
      <w:r>
        <w:t>VTA = { x ∈ Ω | Δ²Φ(x) &gt; θ_activation }</w:t>
      </w:r>
    </w:p>
    <w:p>
      <w:pPr>
        <w:pStyle w:val="Heading1"/>
      </w:pPr>
      <w:r>
        <w:t>2. OCD Module: CSTC Loop Dynamics</w:t>
      </w:r>
    </w:p>
    <w:p>
      <w:r>
        <w:t>OCD pathology is modeled as a hyperactive gain cycle in the Cortico-Striato-Thalamo-Cortical loop. The state vectors for Orbitofrontal Cortex (OFC), Caudate (C), and Thalamus (T) evolve according to coupled nonlinear ODEs:</w:t>
      </w:r>
    </w:p>
    <w:p>
      <w:pPr>
        <w:pStyle w:val="Quote"/>
      </w:pPr>
      <w:r>
        <w:t>τ dC/dt = -C + S(w_OFC-&gt;C · OFC + I_DBS)</w:t>
      </w:r>
    </w:p>
    <w:p>
      <w:pPr>
        <w:pStyle w:val="Quote"/>
      </w:pPr>
      <w:r>
        <w:t>τ dT/dt = -T + S(w_C-&gt;T · C - w_GPi-&gt;T · GPi)</w:t>
      </w:r>
    </w:p>
    <w:p>
      <w:pPr>
        <w:pStyle w:val="Quote"/>
      </w:pPr>
      <w:r>
        <w:t>τ dOFC/dt = -OFC + S(w_T-&gt;OFC · T + I_ext)</w:t>
      </w:r>
    </w:p>
    <w:p>
      <w:pPr>
        <w:pStyle w:val="Heading1"/>
      </w:pPr>
      <w:r>
        <w:t>3. Depression Module: Neurotransmitter Dynamics</w:t>
      </w:r>
    </w:p>
    <w:p>
      <w:r>
        <w:t>The Depression model simulates the restoration of bioamines (Serotonin 5-HT, Dopamine DA) and the regulation of Glutamate (Glu). The dynamics under formulation are:</w:t>
      </w:r>
    </w:p>
    <w:p>
      <w:pPr>
        <w:pStyle w:val="Quote"/>
      </w:pPr>
      <w:r>
        <w:t>dS_5HT/dt = α · E_eff(f) · (1 - S_5HT) - γ(S_5HT - S_base)</w:t>
      </w:r>
    </w:p>
    <w:p>
      <w:r>
        <w:t>The stimulation efficacy E_eff is strictly frequency-dependent, modeled as a Gaussian resonance around 130 Hz:</w:t>
      </w:r>
    </w:p>
    <w:p>
      <w:pPr>
        <w:pStyle w:val="Quote"/>
      </w:pPr>
      <w:r>
        <w:t>E_eff(f) = A · exp( - (f - 130)² / 2σ² )</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048000"/>
                    </a:xfrm>
                    <a:prstGeom prst="rect"/>
                  </pic:spPr>
                </pic:pic>
              </a:graphicData>
            </a:graphic>
          </wp:inline>
        </w:drawing>
      </w:r>
    </w:p>
    <w:p>
      <w:pPr>
        <w:pStyle w:val="Heading1"/>
      </w:pPr>
      <w:r>
        <w:t>4. Seasonal Affective Disorder (SAD): Circadian Entrainment</w:t>
      </w:r>
    </w:p>
    <w:p>
      <w:r>
        <w:t>SAD is modeled as a desynchronization of the Circadian pacemaker (Suprachiasmatic Nucleus, SCN). DBS aims to re-entrain the phase φ(t) of the oscillator using a Kuramoto-like forcing term:</w:t>
      </w:r>
    </w:p>
    <w:p>
      <w:pPr>
        <w:pStyle w:val="Quote"/>
      </w:pPr>
      <w:r>
        <w:t>dφ/dt = ω + K · sin(φ_dbs - φ) + Noise</w:t>
      </w:r>
    </w:p>
    <w:p>
      <w:r>
        <w:t>Where K is the coupling strength proportional to stimulation amplitude. Melatonin secretion M(t) is inversely coupled to SCN activity A_scn(t):</w:t>
      </w:r>
    </w:p>
    <w:p>
      <w:pPr>
        <w:pStyle w:val="Quote"/>
      </w:pPr>
      <w:r>
        <w:t>dM/dt = -β · A_scn(t) · M + P_night(t)</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3048000"/>
                    </a:xfrm>
                    <a:prstGeom prst="rect"/>
                  </pic:spPr>
                </pic:pic>
              </a:graphicData>
            </a:graphic>
          </wp:inline>
        </w:drawing>
      </w:r>
    </w:p>
    <w:p>
      <w:pPr>
        <w:pStyle w:val="Heading1"/>
      </w:pPr>
      <w:r>
        <w:t>5. ASD Module: Quantum Neural Repair</w:t>
      </w:r>
    </w:p>
    <w:p>
      <w:r>
        <w:t>ASD repair focuses on restoring connectivity. We utilize a Quantum Surface Integral formalism where the neural connectivity is treated as a wavefunction Psi:</w:t>
      </w:r>
    </w:p>
    <w:p>
      <w:pPr>
        <w:pStyle w:val="Quote"/>
      </w:pPr>
      <w:r>
        <w:t>Φ_repair = ∮_S Ψ* ∇Ψ · n dS</w:t>
      </w:r>
    </w:p>
    <w:p>
      <w:r>
        <w:t>The repair trajectory is modeled using Continued Fraction sequences, representing the hierarchical restructuring of neural pathways:</w:t>
      </w:r>
    </w:p>
    <w:p>
      <w:pPr>
        <w:pStyle w:val="Quote"/>
      </w:pPr>
      <w:r>
        <w:t>C(t) = a0 + 1 / (a1 + 1 / (a2 + ...))</w:t>
      </w:r>
    </w:p>
    <w:p>
      <w:pPr>
        <w:pStyle w:val="Heading1"/>
      </w:pPr>
      <w:r>
        <w:t>6. Dementia Module: Neural Decay &amp; Memory</w:t>
      </w:r>
    </w:p>
    <w:p>
      <w:r>
        <w:t>Dementia pathology involves time-dependent atrophy and amyloid burden (Beta). The activity A of a memory region is governed by:</w:t>
      </w:r>
    </w:p>
    <w:p>
      <w:pPr>
        <w:pStyle w:val="Quote"/>
      </w:pPr>
      <w:r>
        <w:t>τ dA/dt = -A + σ( Σ w_ij A_j + C_chol - P_beta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