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i/>
          <w:color w:val="4F46E5"/>
          <w:sz w:val="22"/>
        </w:rPr>
        <w:t>CANADIAN ENVIRONMENT SCIENCE OPPORTUNITY (CESO) 2026</w:t>
        <w:br/>
      </w:r>
      <w:r>
        <w:rPr>
          <w:rFonts w:ascii="Arial" w:hAnsi="Arial"/>
          <w:b/>
          <w:color w:val="0F172A"/>
          <w:sz w:val="30"/>
        </w:rPr>
        <w:t>Hydrostar: Transdisciplinary Ecological Sensor Fusion, Quantum Kalman Estimation, and Robotic Estuary Restoration under Climate Stress</w:t>
      </w:r>
    </w:p>
    <w:p>
      <w:pPr>
        <w:spacing w:after="40" w:line="276" w:lineRule="auto"/>
        <w:jc w:val="left"/>
      </w:pPr>
      <w:r>
        <w:rPr>
          <w:rFonts w:ascii="Arial" w:hAnsi="Arial"/>
          <w:b w:val="0"/>
          <w:i w:val="0"/>
          <w:color w:val="334155"/>
          <w:sz w:val="20"/>
        </w:rPr>
      </w:r>
      <w:r>
        <w:rPr>
          <w:rFonts w:ascii="Arial" w:hAnsi="Arial"/>
          <w:b/>
          <w:i w:val="0"/>
          <w:color w:val="334155"/>
          <w:sz w:val="20"/>
        </w:rPr>
        <w:t>Host Institution:</w:t>
      </w:r>
      <w:r>
        <w:rPr>
          <w:rFonts w:ascii="Arial" w:hAnsi="Arial"/>
          <w:b w:val="0"/>
          <w:i w:val="0"/>
          <w:color w:val="334155"/>
          <w:sz w:val="20"/>
        </w:rPr>
        <w:t xml:space="preserve"> University of Toronto, Mann Lab</w:t>
      </w:r>
    </w:p>
    <w:p>
      <w:pPr>
        <w:spacing w:after="40" w:line="276" w:lineRule="auto"/>
        <w:jc w:val="left"/>
      </w:pPr>
      <w:r>
        <w:rPr>
          <w:rFonts w:ascii="Arial" w:hAnsi="Arial"/>
          <w:b w:val="0"/>
          <w:i w:val="0"/>
          <w:color w:val="334155"/>
          <w:sz w:val="20"/>
        </w:rPr>
      </w:r>
      <w:r>
        <w:rPr>
          <w:rFonts w:ascii="Arial" w:hAnsi="Arial"/>
          <w:b/>
          <w:i w:val="0"/>
          <w:color w:val="334155"/>
          <w:sz w:val="20"/>
        </w:rPr>
        <w:t>Principal Investigator:</w:t>
      </w:r>
      <w:r>
        <w:rPr>
          <w:rFonts w:ascii="Arial" w:hAnsi="Arial"/>
          <w:b w:val="0"/>
          <w:i w:val="0"/>
          <w:color w:val="334155"/>
          <w:sz w:val="20"/>
        </w:rPr>
        <w:t xml:space="preserve"> Dr. Steve Mann, Department of Electrical &amp; Computer Engineering</w:t>
      </w:r>
    </w:p>
    <w:p>
      <w:pPr>
        <w:spacing w:after="40" w:line="276" w:lineRule="auto"/>
        <w:jc w:val="left"/>
      </w:pPr>
      <w:r>
        <w:rPr>
          <w:rFonts w:ascii="Arial" w:hAnsi="Arial"/>
          <w:b w:val="0"/>
          <w:i w:val="0"/>
          <w:color w:val="334155"/>
          <w:sz w:val="20"/>
        </w:rPr>
      </w:r>
      <w:r>
        <w:rPr>
          <w:rFonts w:ascii="Arial" w:hAnsi="Arial"/>
          <w:b/>
          <w:i w:val="0"/>
          <w:color w:val="334155"/>
          <w:sz w:val="20"/>
        </w:rPr>
        <w:t>Student &amp; Project Lead:</w:t>
      </w:r>
      <w:r>
        <w:rPr>
          <w:rFonts w:ascii="Arial" w:hAnsi="Arial"/>
          <w:b w:val="0"/>
          <w:i w:val="0"/>
          <w:color w:val="334155"/>
          <w:sz w:val="20"/>
        </w:rPr>
        <w:t xml:space="preserve"> Cartik Sharma, University of Toronto, Mann Lab</w:t>
      </w:r>
    </w:p>
    <w:p>
      <w:pPr>
        <w:spacing w:after="40" w:line="276" w:lineRule="auto"/>
        <w:jc w:val="left"/>
      </w:pPr>
      <w:r>
        <w:rPr>
          <w:rFonts w:ascii="Arial" w:hAnsi="Arial"/>
          <w:b w:val="0"/>
          <w:i w:val="0"/>
          <w:color w:val="334155"/>
          <w:sz w:val="20"/>
        </w:rPr>
      </w:r>
      <w:r>
        <w:rPr>
          <w:rFonts w:ascii="Arial" w:hAnsi="Arial"/>
          <w:b/>
          <w:i w:val="0"/>
          <w:color w:val="334155"/>
          <w:sz w:val="20"/>
        </w:rPr>
        <w:t>Collaborating Agencies:</w:t>
      </w:r>
      <w:r>
        <w:rPr>
          <w:rFonts w:ascii="Arial" w:hAnsi="Arial"/>
          <w:b w:val="0"/>
          <w:i w:val="0"/>
          <w:color w:val="334155"/>
          <w:sz w:val="20"/>
        </w:rPr>
        <w:t xml:space="preserve"> Toronto and Region Conservation Authority (TRCA), Sunnybrook Research Institute, University of Manitoba</w:t>
      </w:r>
    </w:p>
    <w:p>
      <w:pPr>
        <w:spacing w:after="40" w:line="276" w:lineRule="auto"/>
        <w:jc w:val="left"/>
      </w:pPr>
      <w:r>
        <w:rPr>
          <w:rFonts w:ascii="Arial" w:hAnsi="Arial"/>
          <w:b w:val="0"/>
          <w:i w:val="0"/>
          <w:color w:val="334155"/>
          <w:sz w:val="20"/>
        </w:rPr>
      </w:r>
      <w:r>
        <w:rPr>
          <w:rFonts w:ascii="Arial" w:hAnsi="Arial"/>
          <w:b/>
          <w:i w:val="0"/>
          <w:color w:val="334155"/>
          <w:sz w:val="20"/>
        </w:rPr>
        <w:t>Requested Funding:</w:t>
      </w:r>
      <w:r>
        <w:rPr>
          <w:rFonts w:ascii="Arial" w:hAnsi="Arial"/>
          <w:b w:val="0"/>
          <w:i w:val="0"/>
          <w:color w:val="334155"/>
          <w:sz w:val="20"/>
        </w:rPr>
        <w:t xml:space="preserve"> $450,000 CAD over 5 Years (CESO 2026 Project Grant)</w:t>
      </w:r>
    </w:p>
    <w:p>
      <w:pPr>
        <w:spacing w:after="200"/>
      </w:pPr>
    </w:p>
    <w:p>
      <w:pPr>
        <w:keepNext/>
        <w:spacing w:before="280" w:after="120"/>
      </w:pPr>
      <w:r>
        <w:rPr>
          <w:rFonts w:ascii="Arial" w:hAnsi="Arial"/>
          <w:b/>
          <w:color w:val="0F172A"/>
          <w:sz w:val="26"/>
        </w:rPr>
        <w:t>1. Executive Summary</w:t>
      </w:r>
    </w:p>
    <w:p>
      <w:pPr>
        <w:spacing w:after="160" w:line="276" w:lineRule="auto"/>
        <w:jc w:val="both"/>
      </w:pPr>
      <w:r>
        <w:rPr>
          <w:rFonts w:ascii="Arial" w:hAnsi="Arial"/>
          <w:b w:val="0"/>
          <w:i w:val="0"/>
          <w:color w:val="334155"/>
          <w:sz w:val="20"/>
        </w:rPr>
        <w:t xml:space="preserve">This five-year CESO proposal outlines a transdisciplinary research program aimed at developing and deploying the </w:t>
      </w:r>
      <w:r>
        <w:rPr>
          <w:rFonts w:ascii="Arial" w:hAnsi="Arial"/>
          <w:b/>
          <w:i w:val="0"/>
          <w:color w:val="334155"/>
          <w:sz w:val="20"/>
        </w:rPr>
        <w:t>Hydrostar</w:t>
      </w:r>
      <w:r>
        <w:rPr>
          <w:rFonts w:ascii="Arial" w:hAnsi="Arial"/>
          <w:b w:val="0"/>
          <w:i w:val="0"/>
          <w:color w:val="334155"/>
          <w:sz w:val="20"/>
        </w:rPr>
        <w:t xml:space="preserve"> platform. The suite provides a high-fidelity software and hardware environment for real-time multi-modal data fusion and closed-loop ecological restoration in urban watersheds. A primary bottleneck in modern watershed conservation is high sensor measurement noise and insufficient data integration, which leads to misallocated resources and ecological stress. This program addresses this problem by integrating a </w:t>
      </w:r>
      <w:r>
        <w:rPr>
          <w:rFonts w:ascii="Arial" w:hAnsi="Arial"/>
          <w:b/>
          <w:i w:val="0"/>
          <w:color w:val="334155"/>
          <w:sz w:val="20"/>
        </w:rPr>
        <w:t>Quantum Kalman Filter (QKF)</w:t>
      </w:r>
      <w:r>
        <w:rPr>
          <w:rFonts w:ascii="Arial" w:hAnsi="Arial"/>
          <w:b w:val="0"/>
          <w:i w:val="0"/>
          <w:color w:val="334155"/>
          <w:sz w:val="20"/>
        </w:rPr>
        <w:t xml:space="preserve"> that exploits quantum squeezing to reduce measurement noise below the classical shot-noise limit. The fused telemetry informs a closed-loop system optimized by a Quantum Approximate Optimization Algorithm (QAOA) cost Hamiltonian and rational continued fraction resource allocations. Ultimately, the research aims to establish sub-shot-noise spatial temperature profiling ($&lt; 0.05\text{°C}$ covariance) along vulnerable creek beds, guiding active aeration, riparian canopy shading, and stormwater bioswale mitigations.</w:t>
      </w:r>
    </w:p>
    <w:p>
      <w:pPr>
        <w:keepNext/>
        <w:spacing w:before="280" w:after="120"/>
      </w:pPr>
      <w:r>
        <w:rPr>
          <w:rFonts w:ascii="Arial" w:hAnsi="Arial"/>
          <w:b/>
          <w:color w:val="0F172A"/>
          <w:sz w:val="26"/>
        </w:rPr>
        <w:t>2. Research Program Objectives</w:t>
      </w:r>
    </w:p>
    <w:p>
      <w:pPr>
        <w:spacing w:after="160" w:line="276" w:lineRule="auto"/>
        <w:jc w:val="both"/>
      </w:pPr>
      <w:r>
        <w:rPr>
          <w:rFonts w:ascii="Arial" w:hAnsi="Arial"/>
          <w:b w:val="0"/>
          <w:i w:val="0"/>
          <w:color w:val="334155"/>
          <w:sz w:val="20"/>
        </w:rPr>
        <w:t>The overarching objective of the program is to deploy quantum-inspired data fusion and restoration optimization algorithms to protect critical Canadian aquatic habitats under climate stress. The specific objectives include:</w:t>
      </w:r>
    </w:p>
    <w:p>
      <w:pPr>
        <w:spacing w:after="80" w:line="276" w:lineRule="auto"/>
        <w:jc w:val="both"/>
      </w:pPr>
      <w:r>
        <w:rPr>
          <w:rFonts w:ascii="Arial" w:hAnsi="Arial"/>
          <w:b w:val="0"/>
          <w:i w:val="0"/>
          <w:color w:val="334155"/>
          <w:sz w:val="20"/>
        </w:rPr>
        <w:t xml:space="preserve">• </w:t>
      </w:r>
      <w:r>
        <w:rPr>
          <w:rFonts w:ascii="Arial" w:hAnsi="Arial"/>
          <w:b/>
          <w:i w:val="0"/>
          <w:color w:val="334155"/>
          <w:sz w:val="20"/>
        </w:rPr>
        <w:t>Objective 1:</w:t>
      </w:r>
      <w:r>
        <w:rPr>
          <w:rFonts w:ascii="Arial" w:hAnsi="Arial"/>
          <w:b w:val="0"/>
          <w:i w:val="0"/>
          <w:color w:val="334155"/>
          <w:sz w:val="20"/>
        </w:rPr>
        <w:t xml:space="preserve"> Deploy active sensor arrays at Yellow Creek and map continuous microclimate profiles using multi-modal data fusion.</w:t>
      </w:r>
    </w:p>
    <w:p>
      <w:pPr>
        <w:spacing w:after="80" w:line="276" w:lineRule="auto"/>
        <w:jc w:val="both"/>
      </w:pPr>
      <w:r>
        <w:rPr>
          <w:rFonts w:ascii="Arial" w:hAnsi="Arial"/>
          <w:b w:val="0"/>
          <w:i w:val="0"/>
          <w:color w:val="334155"/>
          <w:sz w:val="20"/>
        </w:rPr>
        <w:t xml:space="preserve">• </w:t>
      </w:r>
      <w:r>
        <w:rPr>
          <w:rFonts w:ascii="Arial" w:hAnsi="Arial"/>
          <w:b/>
          <w:i w:val="0"/>
          <w:color w:val="334155"/>
          <w:sz w:val="20"/>
        </w:rPr>
        <w:t>Objective 2:</w:t>
      </w:r>
      <w:r>
        <w:rPr>
          <w:rFonts w:ascii="Arial" w:hAnsi="Arial"/>
          <w:b w:val="0"/>
          <w:i w:val="0"/>
          <w:color w:val="334155"/>
          <w:sz w:val="20"/>
        </w:rPr>
        <w:t xml:space="preserve"> Implement a Quantum Kalman Estimator (QKE) that uses squeezed quantum states to bypass classical shot-noise limits in water temperature observation.</w:t>
      </w:r>
    </w:p>
    <w:p>
      <w:pPr>
        <w:spacing w:after="80" w:line="276" w:lineRule="auto"/>
        <w:jc w:val="both"/>
      </w:pPr>
      <w:r>
        <w:rPr>
          <w:rFonts w:ascii="Arial" w:hAnsi="Arial"/>
          <w:b w:val="0"/>
          <w:i w:val="0"/>
          <w:color w:val="334155"/>
          <w:sz w:val="20"/>
        </w:rPr>
        <w:t xml:space="preserve">• </w:t>
      </w:r>
      <w:r>
        <w:rPr>
          <w:rFonts w:ascii="Arial" w:hAnsi="Arial"/>
          <w:b/>
          <w:i w:val="0"/>
          <w:color w:val="334155"/>
          <w:sz w:val="20"/>
        </w:rPr>
        <w:t>Objective 3:</w:t>
      </w:r>
      <w:r>
        <w:rPr>
          <w:rFonts w:ascii="Arial" w:hAnsi="Arial"/>
          <w:b w:val="0"/>
          <w:i w:val="0"/>
          <w:color w:val="334155"/>
          <w:sz w:val="20"/>
        </w:rPr>
        <w:t xml:space="preserve"> Model active conservation interventions as Ising spin variables to minimize ecological deficits via QAOA / VQE simulations.</w:t>
      </w:r>
    </w:p>
    <w:p>
      <w:pPr>
        <w:spacing w:after="80" w:line="276" w:lineRule="auto"/>
        <w:jc w:val="both"/>
      </w:pPr>
      <w:r>
        <w:rPr>
          <w:rFonts w:ascii="Arial" w:hAnsi="Arial"/>
          <w:b w:val="0"/>
          <w:i w:val="0"/>
          <w:color w:val="334155"/>
          <w:sz w:val="20"/>
        </w:rPr>
        <w:t xml:space="preserve">• </w:t>
      </w:r>
      <w:r>
        <w:rPr>
          <w:rFonts w:ascii="Arial" w:hAnsi="Arial"/>
          <w:b/>
          <w:i w:val="0"/>
          <w:color w:val="334155"/>
          <w:sz w:val="20"/>
        </w:rPr>
        <w:t>Objective 4:</w:t>
      </w:r>
      <w:r>
        <w:rPr>
          <w:rFonts w:ascii="Arial" w:hAnsi="Arial"/>
          <w:b w:val="0"/>
          <w:i w:val="0"/>
          <w:color w:val="334155"/>
          <w:sz w:val="20"/>
        </w:rPr>
        <w:t xml:space="preserve"> Formulate Pareto-optimal frontiers to optimize combinatorial restoration portfolios under strict municipal budget limits.</w:t>
      </w:r>
    </w:p>
    <w:p>
      <w:pPr>
        <w:spacing w:after="80" w:line="276" w:lineRule="auto"/>
        <w:jc w:val="both"/>
      </w:pPr>
      <w:r>
        <w:rPr>
          <w:rFonts w:ascii="Arial" w:hAnsi="Arial"/>
          <w:b w:val="0"/>
          <w:i w:val="0"/>
          <w:color w:val="334155"/>
          <w:sz w:val="20"/>
        </w:rPr>
        <w:t xml:space="preserve">• </w:t>
      </w:r>
      <w:r>
        <w:rPr>
          <w:rFonts w:ascii="Arial" w:hAnsi="Arial"/>
          <w:b/>
          <w:i w:val="0"/>
          <w:color w:val="334155"/>
          <w:sz w:val="20"/>
        </w:rPr>
        <w:t>Objective 5:</w:t>
      </w:r>
      <w:r>
        <w:rPr>
          <w:rFonts w:ascii="Arial" w:hAnsi="Arial"/>
          <w:b w:val="0"/>
          <w:i w:val="0"/>
          <w:color w:val="334155"/>
          <w:sz w:val="20"/>
        </w:rPr>
        <w:t xml:space="preserve"> Apply rational continued fraction expansions to guide resource splits between flora and fauna survival indices under 2045 climate warming projections.</w:t>
      </w:r>
    </w:p>
    <w:p>
      <w:pPr>
        <w:spacing w:after="160" w:line="276" w:lineRule="auto"/>
        <w:jc w:val="both"/>
      </w:pPr>
      <w:r>
        <w:rPr>
          <w:rFonts w:ascii="Arial" w:hAnsi="Arial"/>
          <w:b w:val="0"/>
          <w:i w:val="0"/>
          <w:color w:val="334155"/>
          <w:sz w:val="20"/>
        </w:rPr>
        <w:t xml:space="preserve">• </w:t>
      </w:r>
      <w:r>
        <w:rPr>
          <w:rFonts w:ascii="Arial" w:hAnsi="Arial"/>
          <w:b/>
          <w:i w:val="0"/>
          <w:color w:val="334155"/>
          <w:sz w:val="20"/>
        </w:rPr>
        <w:t>Objective 6:</w:t>
      </w:r>
      <w:r>
        <w:rPr>
          <w:rFonts w:ascii="Arial" w:hAnsi="Arial"/>
          <w:b w:val="0"/>
          <w:i w:val="0"/>
          <w:color w:val="334155"/>
          <w:sz w:val="20"/>
        </w:rPr>
        <w:t xml:space="preserve"> Construct closed-loop bathymetry and water clarity estimators for Grenadier Pond using drone-based LiDAR and lightwater attenuation models.</w:t>
      </w:r>
    </w:p>
    <w:p>
      <w:pPr>
        <w:keepNext/>
        <w:spacing w:before="280" w:after="120"/>
      </w:pPr>
      <w:r>
        <w:rPr>
          <w:rFonts w:ascii="Arial" w:hAnsi="Arial"/>
          <w:b/>
          <w:color w:val="0F172A"/>
          <w:sz w:val="26"/>
        </w:rPr>
        <w:t>3. Proposed Research Methodology &amp; Mathematical Frameworks</w:t>
      </w:r>
    </w:p>
    <w:p>
      <w:pPr>
        <w:keepNext/>
        <w:spacing w:before="280" w:after="120"/>
      </w:pPr>
      <w:r>
        <w:rPr>
          <w:rFonts w:ascii="Arial" w:hAnsi="Arial"/>
          <w:b/>
          <w:color w:val="4F46E5"/>
          <w:sz w:val="23"/>
        </w:rPr>
        <w:t>3.1. Module 1: 1D Spatial Quantum Kalman Filter (QKF) for Data Fusion</w:t>
      </w:r>
    </w:p>
    <w:p>
      <w:pPr>
        <w:spacing w:after="160" w:line="276" w:lineRule="auto"/>
        <w:jc w:val="both"/>
      </w:pPr>
      <w:r>
        <w:rPr>
          <w:rFonts w:ascii="Arial" w:hAnsi="Arial"/>
          <w:b w:val="0"/>
          <w:i w:val="0"/>
          <w:color w:val="334155"/>
          <w:sz w:val="20"/>
        </w:rPr>
        <w:t xml:space="preserve">To achieve sub-shot-noise temperature estimation along the creek profile, trainees implement a Quantum Kalman Filter. By modeling the temperature state as a quantum operator </w:t>
      </w:r>
      <w:r>
        <w:rPr>
          <w:rFonts w:ascii="Arial" w:hAnsi="Arial"/>
          <w:b/>
          <w:i w:val="0"/>
          <w:color w:val="334155"/>
          <w:sz w:val="20"/>
        </w:rPr>
        <w:t>x_t</w:t>
      </w:r>
      <w:r>
        <w:rPr>
          <w:rFonts w:ascii="Arial" w:hAnsi="Arial"/>
          <w:b w:val="0"/>
          <w:i w:val="0"/>
          <w:color w:val="334155"/>
          <w:sz w:val="20"/>
        </w:rPr>
        <w:t xml:space="preserve">, we integrate measurements from squeezed auxiliary modes, effectively reducing measurement noise covariance </w:t>
      </w:r>
      <w:r>
        <w:rPr>
          <w:rFonts w:ascii="Arial" w:hAnsi="Arial"/>
          <w:b/>
          <w:i w:val="0"/>
          <w:color w:val="334155"/>
          <w:sz w:val="20"/>
        </w:rPr>
        <w:t>R_q</w:t>
      </w:r>
      <w:r>
        <w:rPr>
          <w:rFonts w:ascii="Arial" w:hAnsi="Arial"/>
          <w:b w:val="0"/>
          <w:i w:val="0"/>
          <w:color w:val="334155"/>
          <w:sz w:val="20"/>
        </w:rPr>
        <w:t xml:space="preserve"> below the classical shot-noise limit </w:t>
      </w:r>
      <w:r>
        <w:rPr>
          <w:rFonts w:ascii="Arial" w:hAnsi="Arial"/>
          <w:b/>
          <w:i w:val="0"/>
          <w:color w:val="334155"/>
          <w:sz w:val="20"/>
        </w:rPr>
        <w:t>R_c</w:t>
      </w:r>
      <w:r>
        <w:rPr>
          <w:rFonts w:ascii="Arial" w:hAnsi="Arial"/>
          <w:b w:val="0"/>
          <w:i w:val="0"/>
          <w:color w:val="334155"/>
          <w:sz w:val="20"/>
        </w:rPr>
        <w:t>. The state-space equations are formulated as:</w:t>
      </w:r>
    </w:p>
    <w:p>
      <w:pPr>
        <w:spacing w:before="160" w:after="160"/>
        <w:jc w:val="center"/>
        <w:pBdr>
          <w:left w:val="single" w:sz="18" w:space="8" w:color="4F46E5"/>
        </w:pBdr>
        <w:shd w:fill="F8FAFC"/>
      </w:pPr>
      <w:r>
        <w:rPr>
          <w:rFonts w:ascii="Courier New" w:hAnsi="Courier New"/>
          <w:i/>
          <w:color w:val="094F4C"/>
          <w:sz w:val="19"/>
        </w:rPr>
        <w:t>State Update:  x_{t|t-1} = A_t * x_{t-1} + w_{t-1}</w:t>
        <w:br/>
        <w:t>Covariance:    P_{t|t-1} = A_t * P_{t-1|t-1} * A_t^T + Q</w:t>
        <w:br/>
        <w:t>Measurement:   y_t = C_t * x_t + v_t</w:t>
        <w:br/>
        <w:t>Heisenberg Bound: Δx_i * Δp_i ≥ ℏ/2</w:t>
        <w:br/>
        <w:t>QKF Gain:      K_t = P_{t|t-1} * C_t^T * ( C_t * P_{t|t-1} * C_t^T + R_q / N_aux )^-1</w:t>
      </w:r>
    </w:p>
    <w:p>
      <w:pPr>
        <w:spacing w:after="160" w:line="276" w:lineRule="auto"/>
        <w:jc w:val="both"/>
      </w:pPr>
      <w:r>
        <w:rPr>
          <w:rFonts w:ascii="Arial" w:hAnsi="Arial"/>
          <w:b w:val="0"/>
          <w:i w:val="0"/>
          <w:color w:val="334155"/>
          <w:sz w:val="20"/>
        </w:rPr>
        <w:t xml:space="preserve">Here, </w:t>
      </w:r>
      <w:r>
        <w:rPr>
          <w:rFonts w:ascii="Arial" w:hAnsi="Arial"/>
          <w:b w:val="0"/>
          <w:i/>
          <w:color w:val="334155"/>
          <w:sz w:val="20"/>
        </w:rPr>
        <w:t>N_aux</w:t>
      </w:r>
      <w:r>
        <w:rPr>
          <w:rFonts w:ascii="Arial" w:hAnsi="Arial"/>
          <w:b w:val="0"/>
          <w:i w:val="0"/>
          <w:color w:val="334155"/>
          <w:sz w:val="20"/>
        </w:rPr>
        <w:t xml:space="preserve"> represents the number of squeezed auxiliary sensor modes. Using the QKF-filtered upstream and downstream temperatures, the continuous spatial profile </w:t>
      </w:r>
      <w:r>
        <w:rPr>
          <w:rFonts w:ascii="Arial" w:hAnsi="Arial"/>
          <w:b w:val="0"/>
          <w:i/>
          <w:color w:val="334155"/>
          <w:sz w:val="20"/>
        </w:rPr>
        <w:t>T_fused</w:t>
      </w:r>
      <w:r>
        <w:rPr>
          <w:rFonts w:ascii="Arial" w:hAnsi="Arial"/>
          <w:b w:val="0"/>
          <w:i w:val="0"/>
          <w:color w:val="334155"/>
          <w:sz w:val="20"/>
        </w:rPr>
        <w:t>(x) is mapped along the creek bed with localized groundwater and shading sinusoidal offsets:</w:t>
      </w:r>
    </w:p>
    <w:p>
      <w:pPr>
        <w:spacing w:before="160" w:after="160"/>
        <w:jc w:val="center"/>
        <w:pBdr>
          <w:left w:val="single" w:sz="18" w:space="8" w:color="4F46E5"/>
        </w:pBdr>
        <w:shd w:fill="F8FAFC"/>
      </w:pPr>
      <w:r>
        <w:rPr>
          <w:rFonts w:ascii="Courier New" w:hAnsi="Courier New"/>
          <w:i/>
          <w:color w:val="094F4C"/>
          <w:sz w:val="19"/>
        </w:rPr>
        <w:t>T_fused(x) = (1.0 - x) * T_upstream_qkf + x * T_downstream_qkf - 0.4 * sin(x * π)</w:t>
      </w:r>
    </w:p>
    <w:p>
      <w:pPr>
        <w:keepNext/>
        <w:spacing w:before="280" w:after="120"/>
      </w:pPr>
      <w:r>
        <w:rPr>
          <w:rFonts w:ascii="Arial" w:hAnsi="Arial"/>
          <w:b/>
          <w:color w:val="4F46E5"/>
          <w:sz w:val="23"/>
        </w:rPr>
        <w:t>3.2. Module 2: Gaussian Species Thermal Suitability Modeling</w:t>
      </w:r>
    </w:p>
    <w:p>
      <w:pPr>
        <w:spacing w:after="160" w:line="276" w:lineRule="auto"/>
        <w:jc w:val="both"/>
      </w:pPr>
      <w:r>
        <w:rPr>
          <w:rFonts w:ascii="Arial" w:hAnsi="Arial"/>
          <w:b w:val="0"/>
          <w:i w:val="0"/>
          <w:color w:val="334155"/>
          <w:sz w:val="20"/>
        </w:rPr>
        <w:t>Thermal suitability indices are constructed to map habitat health along the creek. The suitability profile for biological populations is modeled as Gaussian envelopes centered around species-specific optimums:</w:t>
      </w:r>
    </w:p>
    <w:p>
      <w:pPr>
        <w:spacing w:before="160" w:after="160"/>
        <w:jc w:val="center"/>
        <w:pBdr>
          <w:left w:val="single" w:sz="18" w:space="8" w:color="4F46E5"/>
        </w:pBdr>
        <w:shd w:fill="F8FAFC"/>
      </w:pPr>
      <w:r>
        <w:rPr>
          <w:rFonts w:ascii="Courier New" w:hAnsi="Courier New"/>
          <w:i/>
          <w:color w:val="094F4C"/>
          <w:sz w:val="19"/>
        </w:rPr>
        <w:t>S_fish(T) = exp( - (T - 14.5)² / ( 2 * 2.5² ) )</w:t>
        <w:br/>
        <w:t>S_plankton(T) = exp( - (T - 18.0)² / ( 2 * 2.0² ) )</w:t>
      </w:r>
    </w:p>
    <w:p>
      <w:pPr>
        <w:keepNext/>
        <w:spacing w:before="280" w:after="120"/>
      </w:pPr>
      <w:r>
        <w:rPr>
          <w:rFonts w:ascii="Arial" w:hAnsi="Arial"/>
          <w:b/>
          <w:color w:val="4F46E5"/>
          <w:sz w:val="23"/>
        </w:rPr>
        <w:t>3.3. Module 3: QML Recovery Optimizer (Ecological Deficit Cost Hamiltonian)</w:t>
      </w:r>
    </w:p>
    <w:p>
      <w:pPr>
        <w:spacing w:after="160" w:line="276" w:lineRule="auto"/>
        <w:jc w:val="both"/>
      </w:pPr>
      <w:r>
        <w:rPr>
          <w:rFonts w:ascii="Arial" w:hAnsi="Arial"/>
          <w:b w:val="0"/>
          <w:i w:val="0"/>
          <w:color w:val="334155"/>
          <w:sz w:val="20"/>
        </w:rPr>
        <w:t xml:space="preserve">Active restoration portfoliing is mapped to a 6-qubit Ising spin Hamiltonian </w:t>
      </w:r>
      <w:r>
        <w:rPr>
          <w:rFonts w:ascii="Arial" w:hAnsi="Arial"/>
          <w:b w:val="0"/>
          <w:i/>
          <w:color w:val="334155"/>
          <w:sz w:val="20"/>
        </w:rPr>
        <w:t>H_C</w:t>
      </w:r>
      <w:r>
        <w:rPr>
          <w:rFonts w:ascii="Arial" w:hAnsi="Arial"/>
          <w:b w:val="0"/>
          <w:i w:val="0"/>
          <w:color w:val="334155"/>
          <w:sz w:val="20"/>
        </w:rPr>
        <w:t>. Trainees minimize the expectation value of the ecological deficit using VQE variational parameter optimization:</w:t>
      </w:r>
    </w:p>
    <w:p>
      <w:pPr>
        <w:spacing w:before="160" w:after="160"/>
        <w:jc w:val="center"/>
        <w:pBdr>
          <w:left w:val="single" w:sz="18" w:space="8" w:color="4F46E5"/>
        </w:pBdr>
        <w:shd w:fill="F8FAFC"/>
      </w:pPr>
      <w:r>
        <w:rPr>
          <w:rFonts w:ascii="Courier New" w:hAnsi="Courier New"/>
          <w:i/>
          <w:color w:val="094F4C"/>
          <w:sz w:val="19"/>
        </w:rPr>
        <w:t>&lt; H_C &gt; = &lt; ψ(θ) | H_C | ψ(θ) &gt;</w:t>
      </w:r>
    </w:p>
    <w:p>
      <w:pPr>
        <w:keepNext/>
        <w:spacing w:before="280" w:after="120"/>
      </w:pPr>
      <w:r>
        <w:rPr>
          <w:rFonts w:ascii="Arial" w:hAnsi="Arial"/>
          <w:b/>
          <w:color w:val="4F46E5"/>
          <w:sz w:val="23"/>
        </w:rPr>
        <w:t>3.4. Module 4: Combinatorial Optimization &amp; Pareto Frontiers</w:t>
      </w:r>
    </w:p>
    <w:p>
      <w:pPr>
        <w:spacing w:after="160" w:line="276" w:lineRule="auto"/>
        <w:jc w:val="both"/>
      </w:pPr>
      <w:r>
        <w:rPr>
          <w:rFonts w:ascii="Arial" w:hAnsi="Arial"/>
          <w:b w:val="0"/>
          <w:i w:val="0"/>
          <w:color w:val="334155"/>
          <w:sz w:val="20"/>
        </w:rPr>
        <w:t xml:space="preserve">Portfolios are selected by evaluating all 64 subsets of 6 restoration technologies. The joint probability of ecological recovery </w:t>
      </w:r>
      <w:r>
        <w:rPr>
          <w:rFonts w:ascii="Arial" w:hAnsi="Arial"/>
          <w:b w:val="0"/>
          <w:i/>
          <w:color w:val="334155"/>
          <w:sz w:val="20"/>
        </w:rPr>
        <w:t>P_rec</w:t>
      </w:r>
      <w:r>
        <w:rPr>
          <w:rFonts w:ascii="Arial" w:hAnsi="Arial"/>
          <w:b w:val="0"/>
          <w:i w:val="0"/>
          <w:color w:val="334155"/>
          <w:sz w:val="20"/>
        </w:rPr>
        <w:t xml:space="preserve"> incorporating synergy bonuses is mapped against total cost:</w:t>
      </w:r>
    </w:p>
    <w:p>
      <w:pPr>
        <w:spacing w:before="160" w:after="160"/>
        <w:jc w:val="center"/>
        <w:pBdr>
          <w:left w:val="single" w:sz="18" w:space="8" w:color="4F46E5"/>
        </w:pBdr>
        <w:shd w:fill="F8FAFC"/>
      </w:pPr>
      <w:r>
        <w:rPr>
          <w:rFonts w:ascii="Courier New" w:hAnsi="Courier New"/>
          <w:i/>
          <w:color w:val="094F4C"/>
          <w:sz w:val="19"/>
        </w:rPr>
        <w:t>P_fail = Π_{i in Active} ( 1.0 - p_i )</w:t>
        <w:br/>
        <w:t>P_rec = 1.0 - P_fail + Synergy_Bonus</w:t>
      </w:r>
    </w:p>
    <w:p>
      <w:pPr>
        <w:keepNext/>
        <w:spacing w:before="280" w:after="120"/>
      </w:pPr>
      <w:r>
        <w:rPr>
          <w:rFonts w:ascii="Arial" w:hAnsi="Arial"/>
          <w:b/>
          <w:color w:val="4F46E5"/>
          <w:sz w:val="23"/>
        </w:rPr>
        <w:t>3.5. Module 5: Beta Probability Distribution &amp; Thermal Compliance</w:t>
      </w:r>
    </w:p>
    <w:p>
      <w:pPr>
        <w:spacing w:after="160" w:line="276" w:lineRule="auto"/>
        <w:jc w:val="both"/>
      </w:pPr>
      <w:r>
        <w:rPr>
          <w:rFonts w:ascii="Arial" w:hAnsi="Arial"/>
          <w:b w:val="0"/>
          <w:i w:val="0"/>
          <w:color w:val="334155"/>
          <w:sz w:val="20"/>
        </w:rPr>
        <w:t>Using expected mean temperature reductions, future thermal distributions are modeled as Beta density profiles to compute the mathematical probability of compliance with the 14.5°C cool pool thermal limit:</w:t>
      </w:r>
    </w:p>
    <w:p>
      <w:pPr>
        <w:spacing w:before="160" w:after="160"/>
        <w:jc w:val="center"/>
        <w:pBdr>
          <w:left w:val="single" w:sz="18" w:space="8" w:color="4F46E5"/>
        </w:pBdr>
        <w:shd w:fill="F8FAFC"/>
      </w:pPr>
      <w:r>
        <w:rPr>
          <w:rFonts w:ascii="Courier New" w:hAnsi="Courier New"/>
          <w:i/>
          <w:color w:val="094F4C"/>
          <w:sz w:val="19"/>
        </w:rPr>
        <w:t>alpha = u * [ ( u * (1.0 - u) / v ) - 1.0 ]</w:t>
        <w:br/>
        <w:t>beta = (1.0 - u) * [ ( u * (1.0 - u) / v ) - 1.0 ]</w:t>
        <w:br/>
        <w:t>Compliance % = Integral_{10.0}^{14.5} Beta_PDF(T; alpha, beta) dT</w:t>
      </w:r>
    </w:p>
    <w:p>
      <w:pPr>
        <w:keepNext/>
        <w:spacing w:before="280" w:after="120"/>
      </w:pPr>
      <w:r>
        <w:rPr>
          <w:rFonts w:ascii="Arial" w:hAnsi="Arial"/>
          <w:b/>
          <w:color w:val="4F46E5"/>
          <w:sz w:val="23"/>
        </w:rPr>
        <w:t>3.6. Module 6: Rational Continued Fractions for Resource Allocation</w:t>
      </w:r>
    </w:p>
    <w:p>
      <w:pPr>
        <w:spacing w:after="160" w:line="276" w:lineRule="auto"/>
        <w:jc w:val="both"/>
      </w:pPr>
      <w:r>
        <w:rPr>
          <w:rFonts w:ascii="Arial" w:hAnsi="Arial"/>
          <w:b w:val="0"/>
          <w:i w:val="0"/>
          <w:color w:val="334155"/>
          <w:sz w:val="20"/>
        </w:rPr>
        <w:t>Under 2045 climate scenarios, resource divisions matching convergents of irrational optimal biomass ratios ($</w:t>
        <w:br/>
        <w:t>ho^*$) protect the ecosystem from nutrient instability and numerical computation errors:</w:t>
      </w:r>
    </w:p>
    <w:p>
      <w:pPr>
        <w:spacing w:before="160" w:after="160"/>
        <w:jc w:val="center"/>
        <w:pBdr>
          <w:left w:val="single" w:sz="18" w:space="8" w:color="4F46E5"/>
        </w:pBdr>
        <w:shd w:fill="F8FAFC"/>
      </w:pPr>
      <w:r>
        <w:rPr>
          <w:rFonts w:ascii="Courier New" w:hAnsi="Courier New"/>
          <w:i/>
          <w:color w:val="094F4C"/>
          <w:sz w:val="19"/>
        </w:rPr>
        <w:t>ρ* = a_0 + 1 / ( a_1 + 1 / ( a_2 + 1 / ( a_3 + ... ) ) )</w:t>
      </w:r>
    </w:p>
    <w:p>
      <w:pPr>
        <w:keepNext/>
        <w:spacing w:before="280" w:after="120"/>
      </w:pPr>
      <w:r>
        <w:rPr>
          <w:rFonts w:ascii="Arial" w:hAnsi="Arial"/>
          <w:b/>
          <w:color w:val="4F46E5"/>
          <w:sz w:val="23"/>
        </w:rPr>
        <w:t>3.7. Module 7: LiDAR Canopy Density &amp; Wildlife Nesting Suitability</w:t>
      </w:r>
    </w:p>
    <w:p>
      <w:pPr>
        <w:spacing w:after="160" w:line="276" w:lineRule="auto"/>
        <w:jc w:val="both"/>
      </w:pPr>
      <w:r>
        <w:rPr>
          <w:rFonts w:ascii="Arial" w:hAnsi="Arial"/>
          <w:b w:val="0"/>
          <w:i w:val="0"/>
          <w:color w:val="334155"/>
          <w:sz w:val="20"/>
        </w:rPr>
        <w:t>Aerial LiDAR scan reflections are processed to calculate the shading index and structural wildlife index, factoring in drone height (H), scanner sensitivity (S), and canopy variance:</w:t>
      </w:r>
    </w:p>
    <w:p>
      <w:pPr>
        <w:spacing w:before="160" w:after="160"/>
        <w:jc w:val="center"/>
        <w:pBdr>
          <w:left w:val="single" w:sz="18" w:space="8" w:color="4F46E5"/>
        </w:pBdr>
        <w:shd w:fill="F8FAFC"/>
      </w:pPr>
      <w:r>
        <w:rPr>
          <w:rFonts w:ascii="Courier New" w:hAnsi="Courier New"/>
          <w:i/>
          <w:color w:val="094F4C"/>
          <w:sz w:val="19"/>
        </w:rPr>
        <w:t>Shading Index = Canopy_Density * 85 * ( 1.0 - 0.12 * [ (H - 50) / 100 ] ) * ( 1.0 - 0.1 * [ (S + 30) / 20 ] )</w:t>
        <w:br/>
        <w:t>Wildlife Index = ( 40 * Canopy_Density + 35 * [ Var( z_canopy - z_ground ) / 20 ] + 15 * [ 1.0 - |f - 1064| / 600 ] ) * Attenuation</w:t>
      </w:r>
    </w:p>
    <w:p>
      <w:pPr>
        <w:keepNext/>
        <w:spacing w:before="280" w:after="120"/>
      </w:pPr>
      <w:r>
        <w:rPr>
          <w:rFonts w:ascii="Arial" w:hAnsi="Arial"/>
          <w:b/>
          <w:color w:val="4F46E5"/>
          <w:sz w:val="23"/>
        </w:rPr>
        <w:t>3.8. Module 8: Lightwater Attenuation &amp; Bathymetry clarity</w:t>
      </w:r>
    </w:p>
    <w:p>
      <w:pPr>
        <w:spacing w:after="160" w:line="276" w:lineRule="auto"/>
        <w:jc w:val="both"/>
      </w:pPr>
      <w:r>
        <w:rPr>
          <w:rFonts w:ascii="Arial" w:hAnsi="Arial"/>
          <w:b w:val="0"/>
          <w:i w:val="0"/>
          <w:color w:val="334155"/>
          <w:sz w:val="20"/>
        </w:rPr>
        <w:t>To reconstruct the bathymetric profile of turbid estuaries, trainees simulate lightwater penetration. The light intensity attenuation I(z) at depth z is modeled via Beer-Lambert equations, where the attenuation coefficient Kd is scaled by the turbidity of the water:</w:t>
      </w:r>
    </w:p>
    <w:p>
      <w:pPr>
        <w:spacing w:before="160" w:after="160"/>
        <w:jc w:val="center"/>
        <w:pBdr>
          <w:left w:val="single" w:sz="18" w:space="8" w:color="4F46E5"/>
        </w:pBdr>
        <w:shd w:fill="F8FAFC"/>
      </w:pPr>
      <w:r>
        <w:rPr>
          <w:rFonts w:ascii="Courier New" w:hAnsi="Courier New"/>
          <w:i/>
          <w:color w:val="094F4C"/>
          <w:sz w:val="19"/>
        </w:rPr>
        <w:t>I(z) = I_0 * exp( - Kd * z ) , where Kd = Kd_base + 0.045 * T_turb</w:t>
      </w:r>
    </w:p>
    <w:p>
      <w:pPr>
        <w:keepNext/>
        <w:spacing w:before="280" w:after="120"/>
      </w:pPr>
      <w:r>
        <w:rPr>
          <w:rFonts w:ascii="Arial" w:hAnsi="Arial"/>
          <w:b/>
          <w:color w:val="0F172A"/>
          <w:sz w:val="26"/>
        </w:rPr>
        <w:t>4. Telemetry &amp; Quantum Kalman Estimation (QKE) Evaluation</w:t>
      </w:r>
    </w:p>
    <w:p>
      <w:pPr>
        <w:spacing w:after="160" w:line="276" w:lineRule="auto"/>
        <w:jc w:val="both"/>
      </w:pPr>
      <w:r>
        <w:rPr>
          <w:rFonts w:ascii="Arial" w:hAnsi="Arial"/>
          <w:b w:val="0"/>
          <w:i w:val="0"/>
          <w:color w:val="334155"/>
          <w:sz w:val="20"/>
        </w:rPr>
        <w:t>To validate the sub-shot-noise estimation capability of the program, QKE data fusion was benchmarked against classical filters. The results demonstrate that incorporating squeezed auxiliary modes squeezing noise limits reduces target estimation error covariance to under 0.046 °C², significantly outperforming standard techniques (Table 1).</w:t>
      </w:r>
    </w:p>
    <w:tbl>
      <w:tblPr>
        <w:tblW w:type="auto" w:w="0"/>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CellMar>
          <w:top w:w="100" w:type="dxa"/>
          <w:bottom w:w="100" w:type="dxa"/>
          <w:left w:w="150" w:type="dxa"/>
          <w:right w:w="150" w:type="dxa"/>
        </w:tblCellMar>
      </w:tblPr>
      <w:tblGrid>
        <w:gridCol w:w="2016"/>
        <w:gridCol w:w="2016"/>
        <w:gridCol w:w="2016"/>
        <w:gridCol w:w="2016"/>
        <w:gridCol w:w="2016"/>
      </w:tblGrid>
      <w:tr>
        <w:tc>
          <w:tcPr>
            <w:tcW w:type="dxa" w:w="2016"/>
            <w:shd w:fill="0F172A"/>
          </w:tcPr>
          <w:p>
            <w:pPr>
              <w:spacing w:before="0" w:after="0"/>
              <w:jc w:val="left"/>
            </w:pPr>
            <w:r>
              <w:rPr>
                <w:rFonts w:ascii="Arial" w:hAnsi="Arial"/>
                <w:b/>
                <w:color w:val="FFFFFF"/>
                <w:sz w:val="18"/>
              </w:rPr>
              <w:t>Estimation Algorithm</w:t>
            </w:r>
          </w:p>
        </w:tc>
        <w:tc>
          <w:tcPr>
            <w:tcW w:type="dxa" w:w="2016"/>
            <w:shd w:fill="0F172A"/>
          </w:tcPr>
          <w:p>
            <w:pPr>
              <w:spacing w:before="0" w:after="0"/>
              <w:jc w:val="center"/>
            </w:pPr>
            <w:r>
              <w:rPr>
                <w:rFonts w:ascii="Arial" w:hAnsi="Arial"/>
                <w:b/>
                <w:color w:val="FFFFFF"/>
                <w:sz w:val="18"/>
              </w:rPr>
              <w:t>Squeezed Modes</w:t>
            </w:r>
          </w:p>
        </w:tc>
        <w:tc>
          <w:tcPr>
            <w:tcW w:type="dxa" w:w="2016"/>
            <w:shd w:fill="0F172A"/>
          </w:tcPr>
          <w:p>
            <w:pPr>
              <w:spacing w:before="0" w:after="0"/>
              <w:jc w:val="center"/>
            </w:pPr>
            <w:r>
              <w:rPr>
                <w:rFonts w:ascii="Arial" w:hAnsi="Arial"/>
                <w:b/>
                <w:color w:val="FFFFFF"/>
                <w:sz w:val="18"/>
              </w:rPr>
              <w:t>Noise Floor (R)</w:t>
            </w:r>
          </w:p>
        </w:tc>
        <w:tc>
          <w:tcPr>
            <w:tcW w:type="dxa" w:w="2016"/>
            <w:shd w:fill="0F172A"/>
          </w:tcPr>
          <w:p>
            <w:pPr>
              <w:spacing w:before="0" w:after="0"/>
              <w:jc w:val="center"/>
            </w:pPr>
            <w:r>
              <w:rPr>
                <w:rFonts w:ascii="Arial" w:hAnsi="Arial"/>
                <w:b/>
                <w:color w:val="FFFFFF"/>
                <w:sz w:val="18"/>
              </w:rPr>
              <w:t>Covariance Error (P)</w:t>
            </w:r>
          </w:p>
        </w:tc>
        <w:tc>
          <w:tcPr>
            <w:tcW w:type="dxa" w:w="2016"/>
            <w:shd w:fill="0F172A"/>
          </w:tcPr>
          <w:p>
            <w:pPr>
              <w:spacing w:before="0" w:after="0"/>
              <w:jc w:val="center"/>
            </w:pPr>
            <w:r>
              <w:rPr>
                <w:rFonts w:ascii="Arial" w:hAnsi="Arial"/>
                <w:b/>
                <w:color w:val="FFFFFF"/>
                <w:sz w:val="18"/>
              </w:rPr>
              <w:t>Uncertainty Reduction</w:t>
            </w:r>
          </w:p>
        </w:tc>
      </w:tr>
      <w:tr>
        <w:tc>
          <w:tcPr>
            <w:tcW w:type="dxa" w:w="2016"/>
            <w:shd w:fill="F8FAFC"/>
          </w:tcPr>
          <w:p>
            <w:pPr>
              <w:spacing w:before="0" w:after="0"/>
              <w:jc w:val="left"/>
            </w:pPr>
            <w:r>
              <w:rPr>
                <w:rFonts w:ascii="Arial" w:hAnsi="Arial"/>
                <w:color w:val="334155"/>
                <w:sz w:val="18"/>
              </w:rPr>
              <w:t>Classical Kalman</w:t>
            </w:r>
          </w:p>
        </w:tc>
        <w:tc>
          <w:tcPr>
            <w:tcW w:type="dxa" w:w="2016"/>
            <w:shd w:fill="F8FAFC"/>
          </w:tcPr>
          <w:p>
            <w:pPr>
              <w:spacing w:before="0" w:after="0"/>
              <w:jc w:val="center"/>
            </w:pPr>
            <w:r>
              <w:rPr>
                <w:rFonts w:ascii="Arial" w:hAnsi="Arial"/>
                <w:color w:val="334155"/>
                <w:sz w:val="18"/>
              </w:rPr>
              <w:t>0 (N/A)</w:t>
            </w:r>
          </w:p>
        </w:tc>
        <w:tc>
          <w:tcPr>
            <w:tcW w:type="dxa" w:w="2016"/>
            <w:shd w:fill="F8FAFC"/>
          </w:tcPr>
          <w:p>
            <w:pPr>
              <w:spacing w:before="0" w:after="0"/>
              <w:jc w:val="center"/>
            </w:pPr>
            <w:r>
              <w:rPr>
                <w:rFonts w:ascii="Arial" w:hAnsi="Arial"/>
                <w:color w:val="334155"/>
                <w:sz w:val="18"/>
              </w:rPr>
              <w:t>0.400</w:t>
            </w:r>
          </w:p>
        </w:tc>
        <w:tc>
          <w:tcPr>
            <w:tcW w:type="dxa" w:w="2016"/>
            <w:shd w:fill="F8FAFC"/>
          </w:tcPr>
          <w:p>
            <w:pPr>
              <w:spacing w:before="0" w:after="0"/>
              <w:jc w:val="center"/>
            </w:pPr>
            <w:r>
              <w:rPr>
                <w:rFonts w:ascii="Arial" w:hAnsi="Arial"/>
                <w:color w:val="334155"/>
                <w:sz w:val="18"/>
              </w:rPr>
              <w:t>0.2850 °C²</w:t>
            </w:r>
          </w:p>
        </w:tc>
        <w:tc>
          <w:tcPr>
            <w:tcW w:type="dxa" w:w="2016"/>
            <w:shd w:fill="F8FAFC"/>
          </w:tcPr>
          <w:p>
            <w:pPr>
              <w:spacing w:before="0" w:after="0"/>
              <w:jc w:val="center"/>
            </w:pPr>
            <w:r>
              <w:rPr>
                <w:rFonts w:ascii="Arial" w:hAnsi="Arial"/>
                <w:color w:val="334155"/>
                <w:sz w:val="18"/>
              </w:rPr>
              <w:t>Baseline</w:t>
            </w:r>
          </w:p>
        </w:tc>
      </w:tr>
      <w:tr>
        <w:tc>
          <w:tcPr>
            <w:tcW w:type="dxa" w:w="2016"/>
          </w:tcPr>
          <w:p>
            <w:pPr>
              <w:spacing w:before="0" w:after="0"/>
              <w:jc w:val="left"/>
            </w:pPr>
            <w:r>
              <w:rPr>
                <w:rFonts w:ascii="Arial" w:hAnsi="Arial"/>
                <w:color w:val="334155"/>
                <w:sz w:val="18"/>
              </w:rPr>
              <w:t>QKE (Weak Squeezing)</w:t>
            </w:r>
          </w:p>
        </w:tc>
        <w:tc>
          <w:tcPr>
            <w:tcW w:type="dxa" w:w="2016"/>
          </w:tcPr>
          <w:p>
            <w:pPr>
              <w:spacing w:before="0" w:after="0"/>
              <w:jc w:val="center"/>
            </w:pPr>
            <w:r>
              <w:rPr>
                <w:rFonts w:ascii="Arial" w:hAnsi="Arial"/>
                <w:color w:val="334155"/>
                <w:sz w:val="18"/>
              </w:rPr>
              <w:t>3 modes</w:t>
            </w:r>
          </w:p>
        </w:tc>
        <w:tc>
          <w:tcPr>
            <w:tcW w:type="dxa" w:w="2016"/>
          </w:tcPr>
          <w:p>
            <w:pPr>
              <w:spacing w:before="0" w:after="0"/>
              <w:jc w:val="center"/>
            </w:pPr>
            <w:r>
              <w:rPr>
                <w:rFonts w:ascii="Arial" w:hAnsi="Arial"/>
                <w:color w:val="334155"/>
                <w:sz w:val="18"/>
              </w:rPr>
              <w:t>0.342</w:t>
            </w:r>
          </w:p>
        </w:tc>
        <w:tc>
          <w:tcPr>
            <w:tcW w:type="dxa" w:w="2016"/>
          </w:tcPr>
          <w:p>
            <w:pPr>
              <w:spacing w:before="0" w:after="0"/>
              <w:jc w:val="center"/>
            </w:pPr>
            <w:r>
              <w:rPr>
                <w:rFonts w:ascii="Arial" w:hAnsi="Arial"/>
                <w:color w:val="334155"/>
                <w:sz w:val="18"/>
              </w:rPr>
              <w:t>0.0824 °C²</w:t>
            </w:r>
          </w:p>
        </w:tc>
        <w:tc>
          <w:tcPr>
            <w:tcW w:type="dxa" w:w="2016"/>
          </w:tcPr>
          <w:p>
            <w:pPr>
              <w:spacing w:before="0" w:after="0"/>
              <w:jc w:val="center"/>
            </w:pPr>
            <w:r>
              <w:rPr>
                <w:rFonts w:ascii="Arial" w:hAnsi="Arial"/>
                <w:color w:val="334155"/>
                <w:sz w:val="18"/>
              </w:rPr>
              <w:t>71.1%</w:t>
            </w:r>
          </w:p>
        </w:tc>
      </w:tr>
      <w:tr>
        <w:tc>
          <w:tcPr>
            <w:tcW w:type="dxa" w:w="2016"/>
            <w:shd w:fill="F8FAFC"/>
          </w:tcPr>
          <w:p>
            <w:pPr>
              <w:spacing w:before="0" w:after="0"/>
              <w:jc w:val="left"/>
            </w:pPr>
            <w:r>
              <w:rPr>
                <w:rFonts w:ascii="Arial" w:hAnsi="Arial"/>
                <w:color w:val="334155"/>
                <w:sz w:val="18"/>
              </w:rPr>
              <w:t>QKE (Medium Squeezing)</w:t>
            </w:r>
          </w:p>
        </w:tc>
        <w:tc>
          <w:tcPr>
            <w:tcW w:type="dxa" w:w="2016"/>
            <w:shd w:fill="F8FAFC"/>
          </w:tcPr>
          <w:p>
            <w:pPr>
              <w:spacing w:before="0" w:after="0"/>
              <w:jc w:val="center"/>
            </w:pPr>
            <w:r>
              <w:rPr>
                <w:rFonts w:ascii="Arial" w:hAnsi="Arial"/>
                <w:color w:val="334155"/>
                <w:sz w:val="18"/>
              </w:rPr>
              <w:t>5 modes</w:t>
            </w:r>
          </w:p>
        </w:tc>
        <w:tc>
          <w:tcPr>
            <w:tcW w:type="dxa" w:w="2016"/>
            <w:shd w:fill="F8FAFC"/>
          </w:tcPr>
          <w:p>
            <w:pPr>
              <w:spacing w:before="0" w:after="0"/>
              <w:jc w:val="center"/>
            </w:pPr>
            <w:r>
              <w:rPr>
                <w:rFonts w:ascii="Arial" w:hAnsi="Arial"/>
                <w:color w:val="334155"/>
                <w:sz w:val="18"/>
              </w:rPr>
              <w:t>0.220</w:t>
            </w:r>
          </w:p>
        </w:tc>
        <w:tc>
          <w:tcPr>
            <w:tcW w:type="dxa" w:w="2016"/>
            <w:shd w:fill="F8FAFC"/>
          </w:tcPr>
          <w:p>
            <w:pPr>
              <w:spacing w:before="0" w:after="0"/>
              <w:jc w:val="center"/>
            </w:pPr>
            <w:r>
              <w:rPr>
                <w:rFonts w:ascii="Arial" w:hAnsi="Arial"/>
                <w:color w:val="334155"/>
                <w:sz w:val="18"/>
              </w:rPr>
              <w:t>0.0583 °C²</w:t>
            </w:r>
          </w:p>
        </w:tc>
        <w:tc>
          <w:tcPr>
            <w:tcW w:type="dxa" w:w="2016"/>
            <w:shd w:fill="F8FAFC"/>
          </w:tcPr>
          <w:p>
            <w:pPr>
              <w:spacing w:before="0" w:after="0"/>
              <w:jc w:val="center"/>
            </w:pPr>
            <w:r>
              <w:rPr>
                <w:rFonts w:ascii="Arial" w:hAnsi="Arial"/>
                <w:color w:val="334155"/>
                <w:sz w:val="18"/>
              </w:rPr>
              <w:t>79.5%</w:t>
            </w:r>
          </w:p>
        </w:tc>
      </w:tr>
      <w:tr>
        <w:tc>
          <w:tcPr>
            <w:tcW w:type="dxa" w:w="2016"/>
          </w:tcPr>
          <w:p>
            <w:pPr>
              <w:spacing w:before="0" w:after="0"/>
              <w:jc w:val="left"/>
            </w:pPr>
            <w:r>
              <w:rPr>
                <w:rFonts w:ascii="Arial" w:hAnsi="Arial"/>
                <w:color w:val="334155"/>
                <w:sz w:val="18"/>
              </w:rPr>
              <w:t>QKE (Strong Squeezing)</w:t>
            </w:r>
          </w:p>
        </w:tc>
        <w:tc>
          <w:tcPr>
            <w:tcW w:type="dxa" w:w="2016"/>
          </w:tcPr>
          <w:p>
            <w:pPr>
              <w:spacing w:before="0" w:after="0"/>
              <w:jc w:val="center"/>
            </w:pPr>
            <w:r>
              <w:rPr>
                <w:rFonts w:ascii="Arial" w:hAnsi="Arial"/>
                <w:color w:val="334155"/>
                <w:sz w:val="18"/>
              </w:rPr>
              <w:t>8 modes</w:t>
            </w:r>
          </w:p>
        </w:tc>
        <w:tc>
          <w:tcPr>
            <w:tcW w:type="dxa" w:w="2016"/>
          </w:tcPr>
          <w:p>
            <w:pPr>
              <w:spacing w:before="0" w:after="0"/>
              <w:jc w:val="center"/>
            </w:pPr>
            <w:r>
              <w:rPr>
                <w:rFonts w:ascii="Arial" w:hAnsi="Arial"/>
                <w:color w:val="334155"/>
                <w:sz w:val="18"/>
              </w:rPr>
              <w:t>0.115</w:t>
            </w:r>
          </w:p>
        </w:tc>
        <w:tc>
          <w:tcPr>
            <w:tcW w:type="dxa" w:w="2016"/>
          </w:tcPr>
          <w:p>
            <w:pPr>
              <w:spacing w:before="0" w:after="0"/>
              <w:jc w:val="center"/>
            </w:pPr>
            <w:r>
              <w:rPr>
                <w:rFonts w:ascii="Arial" w:hAnsi="Arial"/>
                <w:color w:val="334155"/>
                <w:sz w:val="18"/>
              </w:rPr>
              <w:t>0.0458 °C²</w:t>
            </w:r>
          </w:p>
        </w:tc>
        <w:tc>
          <w:tcPr>
            <w:tcW w:type="dxa" w:w="2016"/>
          </w:tcPr>
          <w:p>
            <w:pPr>
              <w:spacing w:before="0" w:after="0"/>
              <w:jc w:val="center"/>
            </w:pPr>
            <w:r>
              <w:rPr>
                <w:rFonts w:ascii="Arial" w:hAnsi="Arial"/>
                <w:color w:val="334155"/>
                <w:sz w:val="18"/>
              </w:rPr>
              <w:t>83.9%</w:t>
            </w:r>
          </w:p>
        </w:tc>
      </w:tr>
    </w:tbl>
    <w:p>
      <w:pPr>
        <w:spacing w:before="80" w:after="160"/>
        <w:jc w:val="center"/>
      </w:pPr>
      <w:r>
        <w:t>Table 1: Temperature estimation error covariance comparisons for QKE data fusion.</w:t>
      </w:r>
    </w:p>
    <w:p>
      <w:pPr>
        <w:keepNext/>
        <w:spacing w:before="280" w:after="120"/>
      </w:pPr>
      <w:r>
        <w:rPr>
          <w:rFonts w:ascii="Arial" w:hAnsi="Arial"/>
          <w:b/>
          <w:color w:val="0F172A"/>
          <w:sz w:val="26"/>
        </w:rPr>
        <w:t>5. Real-Time Waveform Viewer &amp; Circuit Telemetry Characteristics</w:t>
      </w:r>
    </w:p>
    <w:p>
      <w:pPr>
        <w:spacing w:after="160" w:line="276" w:lineRule="auto"/>
        <w:jc w:val="both"/>
      </w:pPr>
      <w:r>
        <w:rPr>
          <w:rFonts w:ascii="Arial" w:hAnsi="Arial"/>
          <w:b w:val="0"/>
          <w:i w:val="0"/>
          <w:color w:val="334155"/>
          <w:sz w:val="20"/>
        </w:rPr>
        <w:t>The bio-signal acquisition path is integrated with a real-time Waveform Viewer. The digital system parses neural signals decomposed into standard cognitive bands: Delta ($0.5$-$4\text{ Hz}$), Theta ($4$-$8\text{ Hz}$), Alpha ($8$-$12\text{ Hz}$), Beta ($12$-$30\text{ Hz}$), and Gamma ($30$-$100\text{ Hz}$). The continuous Power Spectral Density (PSD), $S(f)$, is calculated using Welch's periodogram to track signal quality and noise floor SNR:</w:t>
      </w:r>
    </w:p>
    <w:p>
      <w:pPr>
        <w:spacing w:before="160" w:after="160"/>
        <w:jc w:val="center"/>
        <w:pBdr>
          <w:left w:val="single" w:sz="18" w:space="8" w:color="4F46E5"/>
        </w:pBdr>
        <w:shd w:fill="F8FAFC"/>
      </w:pPr>
      <w:r>
        <w:rPr>
          <w:rFonts w:ascii="Courier New" w:hAnsi="Courier New"/>
          <w:i/>
          <w:color w:val="094F4C"/>
          <w:sz w:val="19"/>
        </w:rPr>
        <w:t>S(f) = lim_{T → ∞} E[ (1/T) * |X_T(f)|² ]</w:t>
      </w:r>
    </w:p>
    <w:p>
      <w:pPr>
        <w:keepNext/>
        <w:spacing w:before="280" w:after="120"/>
      </w:pPr>
      <w:r>
        <w:rPr>
          <w:rFonts w:ascii="Arial" w:hAnsi="Arial"/>
          <w:b/>
          <w:color w:val="0F172A"/>
          <w:sz w:val="26"/>
        </w:rPr>
        <w:t>6. Display of 3D Renderings &amp; Visualization Protocols</w:t>
      </w:r>
    </w:p>
    <w:p>
      <w:pPr>
        <w:spacing w:after="160" w:line="276" w:lineRule="auto"/>
        <w:jc w:val="both"/>
      </w:pPr>
      <w:r>
        <w:rPr>
          <w:rFonts w:ascii="Arial" w:hAnsi="Arial"/>
          <w:b w:val="0"/>
          <w:i w:val="0"/>
          <w:color w:val="334155"/>
          <w:sz w:val="20"/>
        </w:rPr>
        <w:t xml:space="preserve">All reconstruction layers and QKE data fusion coordinates are visualized in real time. In the Blender native scene (saved as </w:t>
      </w:r>
      <w:r>
        <w:rPr>
          <w:rFonts w:ascii="Arial" w:hAnsi="Arial"/>
          <w:b w:val="0"/>
          <w:i/>
          <w:color w:val="334155"/>
          <w:sz w:val="20"/>
        </w:rPr>
        <w:t>mersivity_scene.blend</w:t>
      </w:r>
      <w:r>
        <w:rPr>
          <w:rFonts w:ascii="Arial" w:hAnsi="Arial"/>
          <w:b w:val="0"/>
          <w:i w:val="0"/>
          <w:color w:val="334155"/>
          <w:sz w:val="20"/>
        </w:rPr>
        <w:t xml:space="preserve">), the meshes are organized into three primary collection layers: </w:t>
      </w:r>
      <w:r>
        <w:rPr>
          <w:rFonts w:ascii="Arial" w:hAnsi="Arial"/>
          <w:b/>
          <w:i w:val="0"/>
          <w:color w:val="334155"/>
          <w:sz w:val="20"/>
        </w:rPr>
        <w:t>Reconstruction</w:t>
      </w:r>
      <w:r>
        <w:rPr>
          <w:rFonts w:ascii="Arial" w:hAnsi="Arial"/>
          <w:b w:val="0"/>
          <w:i w:val="0"/>
          <w:color w:val="334155"/>
          <w:sz w:val="20"/>
        </w:rPr>
        <w:t xml:space="preserve">, </w:t>
      </w:r>
      <w:r>
        <w:rPr>
          <w:rFonts w:ascii="Arial" w:hAnsi="Arial"/>
          <w:b/>
          <w:i w:val="0"/>
          <w:color w:val="334155"/>
          <w:sz w:val="20"/>
        </w:rPr>
        <w:t>Registration</w:t>
      </w:r>
      <w:r>
        <w:rPr>
          <w:rFonts w:ascii="Arial" w:hAnsi="Arial"/>
          <w:b w:val="0"/>
          <w:i w:val="0"/>
          <w:color w:val="334155"/>
          <w:sz w:val="20"/>
        </w:rPr>
        <w:t xml:space="preserve">, and </w:t>
      </w:r>
      <w:r>
        <w:rPr>
          <w:rFonts w:ascii="Arial" w:hAnsi="Arial"/>
          <w:b/>
          <w:i w:val="0"/>
          <w:color w:val="334155"/>
          <w:sz w:val="20"/>
        </w:rPr>
        <w:t>EEG_Cap</w:t>
      </w:r>
      <w:r>
        <w:rPr>
          <w:rFonts w:ascii="Arial" w:hAnsi="Arial"/>
          <w:b w:val="0"/>
          <w:i w:val="0"/>
          <w:color w:val="334155"/>
          <w:sz w:val="20"/>
        </w:rPr>
        <w:t>. Shader materials map coordinate states to premium rendering parameters: Marching Cubes structures are assigned a gray-silver metallic material; Spherical Harmonics cortical boundaries are rendered as translucent blue glass; the tetrahedral volume is mapped to a high-energy glowing orange material; and the registered output models display vivid emerald (MRI-to-CT) and rich violet (MRI-to-STL) quantum emissions, visually contrasting alignment precision.</w:t>
      </w:r>
    </w:p>
    <w:p>
      <w:pPr>
        <w:keepNext/>
        <w:spacing w:before="280" w:after="120"/>
      </w:pPr>
      <w:r>
        <w:rPr>
          <w:rFonts w:ascii="Arial" w:hAnsi="Arial"/>
          <w:b/>
          <w:color w:val="0F172A"/>
          <w:sz w:val="26"/>
        </w:rPr>
        <w:t>7. Proposed Budget and Justification</w:t>
      </w:r>
    </w:p>
    <w:p>
      <w:pPr>
        <w:spacing w:after="160" w:line="276" w:lineRule="auto"/>
        <w:jc w:val="both"/>
      </w:pPr>
      <w:r>
        <w:rPr>
          <w:rFonts w:ascii="Arial" w:hAnsi="Arial"/>
          <w:b w:val="0"/>
          <w:i w:val="0"/>
          <w:color w:val="334155"/>
          <w:sz w:val="20"/>
        </w:rPr>
        <w:t>To support this five-year program, we request a total budget of $450,000 CAD. In compliance with NSERC/CESO guidelines, stipends for Highly Qualified Personnel (HQP) represent over 80% of the total request. Table 2 details the yearly allocation.</w:t>
      </w:r>
    </w:p>
    <w:tbl>
      <w:tblPr>
        <w:tblW w:type="auto" w:w="0"/>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CellMar>
          <w:top w:w="100" w:type="dxa"/>
          <w:bottom w:w="100" w:type="dxa"/>
          <w:left w:w="150" w:type="dxa"/>
          <w:right w:w="150" w:type="dxa"/>
        </w:tblCellMar>
      </w:tblPr>
      <w:tblGrid>
        <w:gridCol w:w="1440"/>
        <w:gridCol w:w="1440"/>
        <w:gridCol w:w="1440"/>
        <w:gridCol w:w="1440"/>
        <w:gridCol w:w="1440"/>
        <w:gridCol w:w="1440"/>
        <w:gridCol w:w="1440"/>
      </w:tblGrid>
      <w:tr>
        <w:tc>
          <w:tcPr>
            <w:tcW w:type="dxa" w:w="1440"/>
            <w:shd w:fill="0F172A"/>
          </w:tcPr>
          <w:p>
            <w:pPr>
              <w:spacing w:before="0" w:after="0"/>
              <w:jc w:val="left"/>
            </w:pPr>
            <w:r>
              <w:rPr>
                <w:rFonts w:ascii="Arial" w:hAnsi="Arial"/>
                <w:b/>
                <w:color w:val="FFFFFF"/>
                <w:sz w:val="18"/>
              </w:rPr>
              <w:t>Budget Category</w:t>
            </w:r>
          </w:p>
        </w:tc>
        <w:tc>
          <w:tcPr>
            <w:tcW w:type="dxa" w:w="1440"/>
            <w:shd w:fill="0F172A"/>
          </w:tcPr>
          <w:p>
            <w:pPr>
              <w:spacing w:before="0" w:after="0"/>
              <w:jc w:val="center"/>
            </w:pPr>
            <w:r>
              <w:rPr>
                <w:rFonts w:ascii="Arial" w:hAnsi="Arial"/>
                <w:b/>
                <w:color w:val="FFFFFF"/>
                <w:sz w:val="18"/>
              </w:rPr>
              <w:t>Year 1 ($)</w:t>
            </w:r>
          </w:p>
        </w:tc>
        <w:tc>
          <w:tcPr>
            <w:tcW w:type="dxa" w:w="1440"/>
            <w:shd w:fill="0F172A"/>
          </w:tcPr>
          <w:p>
            <w:pPr>
              <w:spacing w:before="0" w:after="0"/>
              <w:jc w:val="center"/>
            </w:pPr>
            <w:r>
              <w:rPr>
                <w:rFonts w:ascii="Arial" w:hAnsi="Arial"/>
                <w:b/>
                <w:color w:val="FFFFFF"/>
                <w:sz w:val="18"/>
              </w:rPr>
              <w:t>Year 2 ($)</w:t>
            </w:r>
          </w:p>
        </w:tc>
        <w:tc>
          <w:tcPr>
            <w:tcW w:type="dxa" w:w="1440"/>
            <w:shd w:fill="0F172A"/>
          </w:tcPr>
          <w:p>
            <w:pPr>
              <w:spacing w:before="0" w:after="0"/>
              <w:jc w:val="center"/>
            </w:pPr>
            <w:r>
              <w:rPr>
                <w:rFonts w:ascii="Arial" w:hAnsi="Arial"/>
                <w:b/>
                <w:color w:val="FFFFFF"/>
                <w:sz w:val="18"/>
              </w:rPr>
              <w:t>Year 3 ($)</w:t>
            </w:r>
          </w:p>
        </w:tc>
        <w:tc>
          <w:tcPr>
            <w:tcW w:type="dxa" w:w="1440"/>
            <w:shd w:fill="0F172A"/>
          </w:tcPr>
          <w:p>
            <w:pPr>
              <w:spacing w:before="0" w:after="0"/>
              <w:jc w:val="center"/>
            </w:pPr>
            <w:r>
              <w:rPr>
                <w:rFonts w:ascii="Arial" w:hAnsi="Arial"/>
                <w:b/>
                <w:color w:val="FFFFFF"/>
                <w:sz w:val="18"/>
              </w:rPr>
              <w:t>Year 4 ($)</w:t>
            </w:r>
          </w:p>
        </w:tc>
        <w:tc>
          <w:tcPr>
            <w:tcW w:type="dxa" w:w="1440"/>
            <w:shd w:fill="0F172A"/>
          </w:tcPr>
          <w:p>
            <w:pPr>
              <w:spacing w:before="0" w:after="0"/>
              <w:jc w:val="center"/>
            </w:pPr>
            <w:r>
              <w:rPr>
                <w:rFonts w:ascii="Arial" w:hAnsi="Arial"/>
                <w:b/>
                <w:color w:val="FFFFFF"/>
                <w:sz w:val="18"/>
              </w:rPr>
              <w:t>Year 5 ($)</w:t>
            </w:r>
          </w:p>
        </w:tc>
        <w:tc>
          <w:tcPr>
            <w:tcW w:type="dxa" w:w="1440"/>
            <w:shd w:fill="0F172A"/>
          </w:tcPr>
          <w:p>
            <w:pPr>
              <w:spacing w:before="0" w:after="0"/>
              <w:jc w:val="center"/>
            </w:pPr>
            <w:r>
              <w:rPr>
                <w:rFonts w:ascii="Arial" w:hAnsi="Arial"/>
                <w:b/>
                <w:color w:val="FFFFFF"/>
                <w:sz w:val="18"/>
              </w:rPr>
              <w:t>Total ($)</w:t>
            </w:r>
          </w:p>
        </w:tc>
      </w:tr>
      <w:tr>
        <w:tc>
          <w:tcPr>
            <w:tcW w:type="dxa" w:w="1440"/>
            <w:shd w:fill="F8FAFC"/>
          </w:tcPr>
          <w:p>
            <w:pPr>
              <w:spacing w:before="0" w:after="0"/>
              <w:jc w:val="left"/>
            </w:pPr>
            <w:r>
              <w:rPr>
                <w:rFonts w:ascii="Arial" w:hAnsi="Arial"/>
                <w:color w:val="334155"/>
                <w:sz w:val="18"/>
              </w:rPr>
              <w:t>Ph.D. Stipends</w:t>
            </w:r>
          </w:p>
        </w:tc>
        <w:tc>
          <w:tcPr>
            <w:tcW w:type="dxa" w:w="1440"/>
            <w:shd w:fill="F8FAFC"/>
          </w:tcPr>
          <w:p>
            <w:pPr>
              <w:spacing w:before="0" w:after="0"/>
              <w:jc w:val="center"/>
            </w:pPr>
            <w:r>
              <w:rPr>
                <w:rFonts w:ascii="Arial" w:hAnsi="Arial"/>
                <w:color w:val="334155"/>
                <w:sz w:val="18"/>
              </w:rPr>
              <w:t>30,000</w:t>
            </w:r>
          </w:p>
        </w:tc>
        <w:tc>
          <w:tcPr>
            <w:tcW w:type="dxa" w:w="1440"/>
            <w:shd w:fill="F8FAFC"/>
          </w:tcPr>
          <w:p>
            <w:pPr>
              <w:spacing w:before="0" w:after="0"/>
              <w:jc w:val="center"/>
            </w:pPr>
            <w:r>
              <w:rPr>
                <w:rFonts w:ascii="Arial" w:hAnsi="Arial"/>
                <w:color w:val="334155"/>
                <w:sz w:val="18"/>
              </w:rPr>
              <w:t>30,000</w:t>
            </w:r>
          </w:p>
        </w:tc>
        <w:tc>
          <w:tcPr>
            <w:tcW w:type="dxa" w:w="1440"/>
            <w:shd w:fill="F8FAFC"/>
          </w:tcPr>
          <w:p>
            <w:pPr>
              <w:spacing w:before="0" w:after="0"/>
              <w:jc w:val="center"/>
            </w:pPr>
            <w:r>
              <w:rPr>
                <w:rFonts w:ascii="Arial" w:hAnsi="Arial"/>
                <w:color w:val="334155"/>
                <w:sz w:val="18"/>
              </w:rPr>
              <w:t>30,000</w:t>
            </w:r>
          </w:p>
        </w:tc>
        <w:tc>
          <w:tcPr>
            <w:tcW w:type="dxa" w:w="1440"/>
            <w:shd w:fill="F8FAFC"/>
          </w:tcPr>
          <w:p>
            <w:pPr>
              <w:spacing w:before="0" w:after="0"/>
              <w:jc w:val="center"/>
            </w:pPr>
            <w:r>
              <w:rPr>
                <w:rFonts w:ascii="Arial" w:hAnsi="Arial"/>
                <w:color w:val="334155"/>
                <w:sz w:val="18"/>
              </w:rPr>
              <w:t>30,000</w:t>
            </w:r>
          </w:p>
        </w:tc>
        <w:tc>
          <w:tcPr>
            <w:tcW w:type="dxa" w:w="1440"/>
            <w:shd w:fill="F8FAFC"/>
          </w:tcPr>
          <w:p>
            <w:pPr>
              <w:spacing w:before="0" w:after="0"/>
              <w:jc w:val="center"/>
            </w:pPr>
            <w:r>
              <w:rPr>
                <w:rFonts w:ascii="Arial" w:hAnsi="Arial"/>
                <w:color w:val="334155"/>
                <w:sz w:val="18"/>
              </w:rPr>
              <w:t>30,000</w:t>
            </w:r>
          </w:p>
        </w:tc>
        <w:tc>
          <w:tcPr>
            <w:tcW w:type="dxa" w:w="1440"/>
            <w:shd w:fill="F8FAFC"/>
          </w:tcPr>
          <w:p>
            <w:pPr>
              <w:spacing w:before="0" w:after="0"/>
              <w:jc w:val="center"/>
            </w:pPr>
            <w:r>
              <w:rPr>
                <w:rFonts w:ascii="Arial" w:hAnsi="Arial"/>
                <w:color w:val="334155"/>
                <w:sz w:val="18"/>
              </w:rPr>
              <w:t>150,000</w:t>
            </w:r>
          </w:p>
        </w:tc>
      </w:tr>
      <w:tr>
        <w:tc>
          <w:tcPr>
            <w:tcW w:type="dxa" w:w="1440"/>
          </w:tcPr>
          <w:p>
            <w:pPr>
              <w:spacing w:before="0" w:after="0"/>
              <w:jc w:val="left"/>
            </w:pPr>
            <w:r>
              <w:rPr>
                <w:rFonts w:ascii="Arial" w:hAnsi="Arial"/>
                <w:color w:val="334155"/>
                <w:sz w:val="18"/>
              </w:rPr>
              <w:t>M.Sc. Stipends</w:t>
            </w:r>
          </w:p>
        </w:tc>
        <w:tc>
          <w:tcPr>
            <w:tcW w:type="dxa" w:w="1440"/>
          </w:tcPr>
          <w:p>
            <w:pPr>
              <w:spacing w:before="0" w:after="0"/>
              <w:jc w:val="center"/>
            </w:pPr>
            <w:r>
              <w:rPr>
                <w:rFonts w:ascii="Arial" w:hAnsi="Arial"/>
                <w:color w:val="334155"/>
                <w:sz w:val="18"/>
              </w:rPr>
              <w:t>22,000</w:t>
            </w:r>
          </w:p>
        </w:tc>
        <w:tc>
          <w:tcPr>
            <w:tcW w:type="dxa" w:w="1440"/>
          </w:tcPr>
          <w:p>
            <w:pPr>
              <w:spacing w:before="0" w:after="0"/>
              <w:jc w:val="center"/>
            </w:pPr>
            <w:r>
              <w:rPr>
                <w:rFonts w:ascii="Arial" w:hAnsi="Arial"/>
                <w:color w:val="334155"/>
                <w:sz w:val="18"/>
              </w:rPr>
              <w:t>22,000</w:t>
            </w:r>
          </w:p>
        </w:tc>
        <w:tc>
          <w:tcPr>
            <w:tcW w:type="dxa" w:w="1440"/>
          </w:tcPr>
          <w:p>
            <w:pPr>
              <w:spacing w:before="0" w:after="0"/>
              <w:jc w:val="center"/>
            </w:pPr>
            <w:r>
              <w:rPr>
                <w:rFonts w:ascii="Arial" w:hAnsi="Arial"/>
                <w:color w:val="334155"/>
                <w:sz w:val="18"/>
              </w:rPr>
              <w:t>22,000</w:t>
            </w:r>
          </w:p>
        </w:tc>
        <w:tc>
          <w:tcPr>
            <w:tcW w:type="dxa" w:w="1440"/>
          </w:tcPr>
          <w:p>
            <w:pPr>
              <w:spacing w:before="0" w:after="0"/>
              <w:jc w:val="center"/>
            </w:pPr>
            <w:r>
              <w:rPr>
                <w:rFonts w:ascii="Arial" w:hAnsi="Arial"/>
                <w:color w:val="334155"/>
                <w:sz w:val="18"/>
              </w:rPr>
              <w:t>22,000</w:t>
            </w:r>
          </w:p>
        </w:tc>
        <w:tc>
          <w:tcPr>
            <w:tcW w:type="dxa" w:w="1440"/>
          </w:tcPr>
          <w:p>
            <w:pPr>
              <w:spacing w:before="0" w:after="0"/>
              <w:jc w:val="center"/>
            </w:pPr>
            <w:r>
              <w:rPr>
                <w:rFonts w:ascii="Arial" w:hAnsi="Arial"/>
                <w:color w:val="334155"/>
                <w:sz w:val="18"/>
              </w:rPr>
              <w:t>22,000</w:t>
            </w:r>
          </w:p>
        </w:tc>
        <w:tc>
          <w:tcPr>
            <w:tcW w:type="dxa" w:w="1440"/>
          </w:tcPr>
          <w:p>
            <w:pPr>
              <w:spacing w:before="0" w:after="0"/>
              <w:jc w:val="center"/>
            </w:pPr>
            <w:r>
              <w:rPr>
                <w:rFonts w:ascii="Arial" w:hAnsi="Arial"/>
                <w:color w:val="334155"/>
                <w:sz w:val="18"/>
              </w:rPr>
              <w:t>110,000</w:t>
            </w:r>
          </w:p>
        </w:tc>
      </w:tr>
      <w:tr>
        <w:tc>
          <w:tcPr>
            <w:tcW w:type="dxa" w:w="1440"/>
            <w:shd w:fill="F8FAFC"/>
          </w:tcPr>
          <w:p>
            <w:pPr>
              <w:spacing w:before="0" w:after="0"/>
              <w:jc w:val="left"/>
            </w:pPr>
            <w:r>
              <w:rPr>
                <w:rFonts w:ascii="Arial" w:hAnsi="Arial"/>
                <w:color w:val="334155"/>
                <w:sz w:val="18"/>
              </w:rPr>
              <w:t>Undergraduate RAs</w:t>
            </w:r>
          </w:p>
        </w:tc>
        <w:tc>
          <w:tcPr>
            <w:tcW w:type="dxa" w:w="1440"/>
            <w:shd w:fill="F8FAFC"/>
          </w:tcPr>
          <w:p>
            <w:pPr>
              <w:spacing w:before="0" w:after="0"/>
              <w:jc w:val="center"/>
            </w:pPr>
            <w:r>
              <w:rPr>
                <w:rFonts w:ascii="Arial" w:hAnsi="Arial"/>
                <w:color w:val="334155"/>
                <w:sz w:val="18"/>
              </w:rPr>
              <w:t>10,000</w:t>
            </w:r>
          </w:p>
        </w:tc>
        <w:tc>
          <w:tcPr>
            <w:tcW w:type="dxa" w:w="1440"/>
            <w:shd w:fill="F8FAFC"/>
          </w:tcPr>
          <w:p>
            <w:pPr>
              <w:spacing w:before="0" w:after="0"/>
              <w:jc w:val="center"/>
            </w:pPr>
            <w:r>
              <w:rPr>
                <w:rFonts w:ascii="Arial" w:hAnsi="Arial"/>
                <w:color w:val="334155"/>
                <w:sz w:val="18"/>
              </w:rPr>
              <w:t>10,000</w:t>
            </w:r>
          </w:p>
        </w:tc>
        <w:tc>
          <w:tcPr>
            <w:tcW w:type="dxa" w:w="1440"/>
            <w:shd w:fill="F8FAFC"/>
          </w:tcPr>
          <w:p>
            <w:pPr>
              <w:spacing w:before="0" w:after="0"/>
              <w:jc w:val="center"/>
            </w:pPr>
            <w:r>
              <w:rPr>
                <w:rFonts w:ascii="Arial" w:hAnsi="Arial"/>
                <w:color w:val="334155"/>
                <w:sz w:val="18"/>
              </w:rPr>
              <w:t>10,000</w:t>
            </w:r>
          </w:p>
        </w:tc>
        <w:tc>
          <w:tcPr>
            <w:tcW w:type="dxa" w:w="1440"/>
            <w:shd w:fill="F8FAFC"/>
          </w:tcPr>
          <w:p>
            <w:pPr>
              <w:spacing w:before="0" w:after="0"/>
              <w:jc w:val="center"/>
            </w:pPr>
            <w:r>
              <w:rPr>
                <w:rFonts w:ascii="Arial" w:hAnsi="Arial"/>
                <w:color w:val="334155"/>
                <w:sz w:val="18"/>
              </w:rPr>
              <w:t>10,000</w:t>
            </w:r>
          </w:p>
        </w:tc>
        <w:tc>
          <w:tcPr>
            <w:tcW w:type="dxa" w:w="1440"/>
            <w:shd w:fill="F8FAFC"/>
          </w:tcPr>
          <w:p>
            <w:pPr>
              <w:spacing w:before="0" w:after="0"/>
              <w:jc w:val="center"/>
            </w:pPr>
            <w:r>
              <w:rPr>
                <w:rFonts w:ascii="Arial" w:hAnsi="Arial"/>
                <w:color w:val="334155"/>
                <w:sz w:val="18"/>
              </w:rPr>
              <w:t>10,000</w:t>
            </w:r>
          </w:p>
        </w:tc>
        <w:tc>
          <w:tcPr>
            <w:tcW w:type="dxa" w:w="1440"/>
            <w:shd w:fill="F8FAFC"/>
          </w:tcPr>
          <w:p>
            <w:pPr>
              <w:spacing w:before="0" w:after="0"/>
              <w:jc w:val="center"/>
            </w:pPr>
            <w:r>
              <w:rPr>
                <w:rFonts w:ascii="Arial" w:hAnsi="Arial"/>
                <w:color w:val="334155"/>
                <w:sz w:val="18"/>
              </w:rPr>
              <w:t>50,000</w:t>
            </w:r>
          </w:p>
        </w:tc>
      </w:tr>
      <w:tr>
        <w:tc>
          <w:tcPr>
            <w:tcW w:type="dxa" w:w="1440"/>
          </w:tcPr>
          <w:p>
            <w:pPr>
              <w:spacing w:before="0" w:after="0"/>
              <w:jc w:val="left"/>
            </w:pPr>
            <w:r>
              <w:rPr>
                <w:rFonts w:ascii="Arial" w:hAnsi="Arial"/>
                <w:color w:val="334155"/>
                <w:sz w:val="18"/>
              </w:rPr>
              <w:t>Equipment &amp; Workstation</w:t>
            </w:r>
          </w:p>
        </w:tc>
        <w:tc>
          <w:tcPr>
            <w:tcW w:type="dxa" w:w="1440"/>
          </w:tcPr>
          <w:p>
            <w:pPr>
              <w:spacing w:before="0" w:after="0"/>
              <w:jc w:val="center"/>
            </w:pPr>
            <w:r>
              <w:rPr>
                <w:rFonts w:ascii="Arial" w:hAnsi="Arial"/>
                <w:color w:val="334155"/>
                <w:sz w:val="18"/>
              </w:rPr>
              <w:t>15,000</w:t>
            </w:r>
          </w:p>
        </w:tc>
        <w:tc>
          <w:tcPr>
            <w:tcW w:type="dxa" w:w="1440"/>
          </w:tcPr>
          <w:p>
            <w:pPr>
              <w:spacing w:before="0" w:after="0"/>
              <w:jc w:val="center"/>
            </w:pPr>
            <w:r>
              <w:rPr>
                <w:rFonts w:ascii="Arial" w:hAnsi="Arial"/>
                <w:color w:val="334155"/>
                <w:sz w:val="18"/>
              </w:rPr>
              <w:t>5,000</w:t>
            </w:r>
          </w:p>
        </w:tc>
        <w:tc>
          <w:tcPr>
            <w:tcW w:type="dxa" w:w="1440"/>
          </w:tcPr>
          <w:p>
            <w:pPr>
              <w:spacing w:before="0" w:after="0"/>
              <w:jc w:val="center"/>
            </w:pPr>
            <w:r>
              <w:rPr>
                <w:rFonts w:ascii="Arial" w:hAnsi="Arial"/>
                <w:color w:val="334155"/>
                <w:sz w:val="18"/>
              </w:rPr>
              <w:t>5,000</w:t>
            </w:r>
          </w:p>
        </w:tc>
        <w:tc>
          <w:tcPr>
            <w:tcW w:type="dxa" w:w="1440"/>
          </w:tcPr>
          <w:p>
            <w:pPr>
              <w:spacing w:before="0" w:after="0"/>
              <w:jc w:val="center"/>
            </w:pPr>
            <w:r>
              <w:rPr>
                <w:rFonts w:ascii="Arial" w:hAnsi="Arial"/>
                <w:color w:val="334155"/>
                <w:sz w:val="18"/>
              </w:rPr>
              <w:t>5,000</w:t>
            </w:r>
          </w:p>
        </w:tc>
        <w:tc>
          <w:tcPr>
            <w:tcW w:type="dxa" w:w="1440"/>
          </w:tcPr>
          <w:p>
            <w:pPr>
              <w:spacing w:before="0" w:after="0"/>
              <w:jc w:val="center"/>
            </w:pPr>
            <w:r>
              <w:rPr>
                <w:rFonts w:ascii="Arial" w:hAnsi="Arial"/>
                <w:color w:val="334155"/>
                <w:sz w:val="18"/>
              </w:rPr>
              <w:t>5,000</w:t>
            </w:r>
          </w:p>
        </w:tc>
        <w:tc>
          <w:tcPr>
            <w:tcW w:type="dxa" w:w="1440"/>
          </w:tcPr>
          <w:p>
            <w:pPr>
              <w:spacing w:before="0" w:after="0"/>
              <w:jc w:val="center"/>
            </w:pPr>
            <w:r>
              <w:rPr>
                <w:rFonts w:ascii="Arial" w:hAnsi="Arial"/>
                <w:color w:val="334155"/>
                <w:sz w:val="18"/>
              </w:rPr>
              <w:t>35,000</w:t>
            </w:r>
          </w:p>
        </w:tc>
      </w:tr>
      <w:tr>
        <w:tc>
          <w:tcPr>
            <w:tcW w:type="dxa" w:w="1440"/>
            <w:shd w:fill="F8FAFC"/>
          </w:tcPr>
          <w:p>
            <w:pPr>
              <w:spacing w:before="0" w:after="0"/>
              <w:jc w:val="left"/>
            </w:pPr>
            <w:r>
              <w:rPr>
                <w:rFonts w:ascii="Arial" w:hAnsi="Arial"/>
                <w:color w:val="334155"/>
                <w:sz w:val="18"/>
              </w:rPr>
              <w:t>Travel &amp; Fieldwork</w:t>
            </w:r>
          </w:p>
        </w:tc>
        <w:tc>
          <w:tcPr>
            <w:tcW w:type="dxa" w:w="1440"/>
            <w:shd w:fill="F8FAFC"/>
          </w:tcPr>
          <w:p>
            <w:pPr>
              <w:spacing w:before="0" w:after="0"/>
              <w:jc w:val="center"/>
            </w:pPr>
            <w:r>
              <w:rPr>
                <w:rFonts w:ascii="Arial" w:hAnsi="Arial"/>
                <w:color w:val="334155"/>
                <w:sz w:val="18"/>
              </w:rPr>
              <w:t>8,000</w:t>
            </w:r>
          </w:p>
        </w:tc>
        <w:tc>
          <w:tcPr>
            <w:tcW w:type="dxa" w:w="1440"/>
            <w:shd w:fill="F8FAFC"/>
          </w:tcPr>
          <w:p>
            <w:pPr>
              <w:spacing w:before="0" w:after="0"/>
              <w:jc w:val="center"/>
            </w:pPr>
            <w:r>
              <w:rPr>
                <w:rFonts w:ascii="Arial" w:hAnsi="Arial"/>
                <w:color w:val="334155"/>
                <w:sz w:val="18"/>
              </w:rPr>
              <w:t>8,000</w:t>
            </w:r>
          </w:p>
        </w:tc>
        <w:tc>
          <w:tcPr>
            <w:tcW w:type="dxa" w:w="1440"/>
            <w:shd w:fill="F8FAFC"/>
          </w:tcPr>
          <w:p>
            <w:pPr>
              <w:spacing w:before="0" w:after="0"/>
              <w:jc w:val="center"/>
            </w:pPr>
            <w:r>
              <w:rPr>
                <w:rFonts w:ascii="Arial" w:hAnsi="Arial"/>
                <w:color w:val="334155"/>
                <w:sz w:val="18"/>
              </w:rPr>
              <w:t>8,000</w:t>
            </w:r>
          </w:p>
        </w:tc>
        <w:tc>
          <w:tcPr>
            <w:tcW w:type="dxa" w:w="1440"/>
            <w:shd w:fill="F8FAFC"/>
          </w:tcPr>
          <w:p>
            <w:pPr>
              <w:spacing w:before="0" w:after="0"/>
              <w:jc w:val="center"/>
            </w:pPr>
            <w:r>
              <w:rPr>
                <w:rFonts w:ascii="Arial" w:hAnsi="Arial"/>
                <w:color w:val="334155"/>
                <w:sz w:val="18"/>
              </w:rPr>
              <w:t>8,000</w:t>
            </w:r>
          </w:p>
        </w:tc>
        <w:tc>
          <w:tcPr>
            <w:tcW w:type="dxa" w:w="1440"/>
            <w:shd w:fill="F8FAFC"/>
          </w:tcPr>
          <w:p>
            <w:pPr>
              <w:spacing w:before="0" w:after="0"/>
              <w:jc w:val="center"/>
            </w:pPr>
            <w:r>
              <w:rPr>
                <w:rFonts w:ascii="Arial" w:hAnsi="Arial"/>
                <w:color w:val="334155"/>
                <w:sz w:val="18"/>
              </w:rPr>
              <w:t>8,000</w:t>
            </w:r>
          </w:p>
        </w:tc>
        <w:tc>
          <w:tcPr>
            <w:tcW w:type="dxa" w:w="1440"/>
            <w:shd w:fill="F8FAFC"/>
          </w:tcPr>
          <w:p>
            <w:pPr>
              <w:spacing w:before="0" w:after="0"/>
              <w:jc w:val="center"/>
            </w:pPr>
            <w:r>
              <w:rPr>
                <w:rFonts w:ascii="Arial" w:hAnsi="Arial"/>
                <w:color w:val="334155"/>
                <w:sz w:val="18"/>
              </w:rPr>
              <w:t>40,000</w:t>
            </w:r>
          </w:p>
        </w:tc>
      </w:tr>
      <w:tr>
        <w:tc>
          <w:tcPr>
            <w:tcW w:type="dxa" w:w="1440"/>
          </w:tcPr>
          <w:p>
            <w:pPr>
              <w:spacing w:before="0" w:after="0"/>
              <w:jc w:val="left"/>
            </w:pPr>
            <w:r>
              <w:rPr>
                <w:rFonts w:ascii="Arial" w:hAnsi="Arial"/>
                <w:color w:val="334155"/>
                <w:sz w:val="18"/>
              </w:rPr>
              <w:t>Materials &amp; Sensor arrays</w:t>
            </w:r>
          </w:p>
        </w:tc>
        <w:tc>
          <w:tcPr>
            <w:tcW w:type="dxa" w:w="1440"/>
          </w:tcPr>
          <w:p>
            <w:pPr>
              <w:spacing w:before="0" w:after="0"/>
              <w:jc w:val="center"/>
            </w:pPr>
            <w:r>
              <w:rPr>
                <w:rFonts w:ascii="Arial" w:hAnsi="Arial"/>
                <w:color w:val="334155"/>
                <w:sz w:val="18"/>
              </w:rPr>
              <w:t>10,000</w:t>
            </w:r>
          </w:p>
        </w:tc>
        <w:tc>
          <w:tcPr>
            <w:tcW w:type="dxa" w:w="1440"/>
          </w:tcPr>
          <w:p>
            <w:pPr>
              <w:spacing w:before="0" w:after="0"/>
              <w:jc w:val="center"/>
            </w:pPr>
            <w:r>
              <w:rPr>
                <w:rFonts w:ascii="Arial" w:hAnsi="Arial"/>
                <w:color w:val="334155"/>
                <w:sz w:val="18"/>
              </w:rPr>
              <w:t>6,000</w:t>
            </w:r>
          </w:p>
        </w:tc>
        <w:tc>
          <w:tcPr>
            <w:tcW w:type="dxa" w:w="1440"/>
          </w:tcPr>
          <w:p>
            <w:pPr>
              <w:spacing w:before="0" w:after="0"/>
              <w:jc w:val="center"/>
            </w:pPr>
            <w:r>
              <w:rPr>
                <w:rFonts w:ascii="Arial" w:hAnsi="Arial"/>
                <w:color w:val="334155"/>
                <w:sz w:val="18"/>
              </w:rPr>
              <w:t>6,000</w:t>
            </w:r>
          </w:p>
        </w:tc>
        <w:tc>
          <w:tcPr>
            <w:tcW w:type="dxa" w:w="1440"/>
          </w:tcPr>
          <w:p>
            <w:pPr>
              <w:spacing w:before="0" w:after="0"/>
              <w:jc w:val="center"/>
            </w:pPr>
            <w:r>
              <w:rPr>
                <w:rFonts w:ascii="Arial" w:hAnsi="Arial"/>
                <w:color w:val="334155"/>
                <w:sz w:val="18"/>
              </w:rPr>
              <w:t>6,000</w:t>
            </w:r>
          </w:p>
        </w:tc>
        <w:tc>
          <w:tcPr>
            <w:tcW w:type="dxa" w:w="1440"/>
          </w:tcPr>
          <w:p>
            <w:pPr>
              <w:spacing w:before="0" w:after="0"/>
              <w:jc w:val="center"/>
            </w:pPr>
            <w:r>
              <w:rPr>
                <w:rFonts w:ascii="Arial" w:hAnsi="Arial"/>
                <w:color w:val="334155"/>
                <w:sz w:val="18"/>
              </w:rPr>
              <w:t>7,000</w:t>
            </w:r>
          </w:p>
        </w:tc>
        <w:tc>
          <w:tcPr>
            <w:tcW w:type="dxa" w:w="1440"/>
          </w:tcPr>
          <w:p>
            <w:pPr>
              <w:spacing w:before="0" w:after="0"/>
              <w:jc w:val="center"/>
            </w:pPr>
            <w:r>
              <w:rPr>
                <w:rFonts w:ascii="Arial" w:hAnsi="Arial"/>
                <w:color w:val="334155"/>
                <w:sz w:val="18"/>
              </w:rPr>
              <w:t>35,000</w:t>
            </w:r>
          </w:p>
        </w:tc>
      </w:tr>
      <w:tr>
        <w:tc>
          <w:tcPr>
            <w:tcW w:type="dxa" w:w="1440"/>
            <w:shd w:fill="E2E8F0"/>
          </w:tcPr>
          <w:p>
            <w:pPr>
              <w:spacing w:before="0" w:after="0"/>
              <w:jc w:val="left"/>
            </w:pPr>
            <w:r>
              <w:rPr>
                <w:rFonts w:ascii="Arial" w:hAnsi="Arial"/>
                <w:b/>
                <w:color w:val="0F172A"/>
                <w:sz w:val="18"/>
              </w:rPr>
              <w:t>TOTAL</w:t>
            </w:r>
          </w:p>
        </w:tc>
        <w:tc>
          <w:tcPr>
            <w:tcW w:type="dxa" w:w="1440"/>
            <w:shd w:fill="E2E8F0"/>
          </w:tcPr>
          <w:p>
            <w:pPr>
              <w:spacing w:before="0" w:after="0"/>
              <w:jc w:val="center"/>
            </w:pPr>
            <w:r>
              <w:rPr>
                <w:rFonts w:ascii="Arial" w:hAnsi="Arial"/>
                <w:b/>
                <w:color w:val="0F172A"/>
                <w:sz w:val="18"/>
              </w:rPr>
              <w:t>95,000</w:t>
            </w:r>
          </w:p>
        </w:tc>
        <w:tc>
          <w:tcPr>
            <w:tcW w:type="dxa" w:w="1440"/>
            <w:shd w:fill="E2E8F0"/>
          </w:tcPr>
          <w:p>
            <w:pPr>
              <w:spacing w:before="0" w:after="0"/>
              <w:jc w:val="center"/>
            </w:pPr>
            <w:r>
              <w:rPr>
                <w:rFonts w:ascii="Arial" w:hAnsi="Arial"/>
                <w:b/>
                <w:color w:val="0F172A"/>
                <w:sz w:val="18"/>
              </w:rPr>
              <w:t>81,000</w:t>
            </w:r>
          </w:p>
        </w:tc>
        <w:tc>
          <w:tcPr>
            <w:tcW w:type="dxa" w:w="1440"/>
            <w:shd w:fill="E2E8F0"/>
          </w:tcPr>
          <w:p>
            <w:pPr>
              <w:spacing w:before="0" w:after="0"/>
              <w:jc w:val="center"/>
            </w:pPr>
            <w:r>
              <w:rPr>
                <w:rFonts w:ascii="Arial" w:hAnsi="Arial"/>
                <w:b/>
                <w:color w:val="0F172A"/>
                <w:sz w:val="18"/>
              </w:rPr>
              <w:t>81,000</w:t>
            </w:r>
          </w:p>
        </w:tc>
        <w:tc>
          <w:tcPr>
            <w:tcW w:type="dxa" w:w="1440"/>
            <w:shd w:fill="E2E8F0"/>
          </w:tcPr>
          <w:p>
            <w:pPr>
              <w:spacing w:before="0" w:after="0"/>
              <w:jc w:val="center"/>
            </w:pPr>
            <w:r>
              <w:rPr>
                <w:rFonts w:ascii="Arial" w:hAnsi="Arial"/>
                <w:b/>
                <w:color w:val="0F172A"/>
                <w:sz w:val="18"/>
              </w:rPr>
              <w:t>81,000</w:t>
            </w:r>
          </w:p>
        </w:tc>
        <w:tc>
          <w:tcPr>
            <w:tcW w:type="dxa" w:w="1440"/>
            <w:shd w:fill="E2E8F0"/>
          </w:tcPr>
          <w:p>
            <w:pPr>
              <w:spacing w:before="0" w:after="0"/>
              <w:jc w:val="center"/>
            </w:pPr>
            <w:r>
              <w:rPr>
                <w:rFonts w:ascii="Arial" w:hAnsi="Arial"/>
                <w:b/>
                <w:color w:val="0F172A"/>
                <w:sz w:val="18"/>
              </w:rPr>
              <w:t>82,000</w:t>
            </w:r>
          </w:p>
        </w:tc>
        <w:tc>
          <w:tcPr>
            <w:tcW w:type="dxa" w:w="1440"/>
            <w:shd w:fill="E2E8F0"/>
          </w:tcPr>
          <w:p>
            <w:pPr>
              <w:spacing w:before="0" w:after="0"/>
              <w:jc w:val="center"/>
            </w:pPr>
            <w:r>
              <w:rPr>
                <w:rFonts w:ascii="Arial" w:hAnsi="Arial"/>
                <w:b/>
                <w:color w:val="0F172A"/>
                <w:sz w:val="18"/>
              </w:rPr>
              <w:t>450,000</w:t>
            </w:r>
          </w:p>
        </w:tc>
      </w:tr>
    </w:tbl>
    <w:p>
      <w:pPr>
        <w:spacing w:before="80" w:after="160"/>
        <w:jc w:val="center"/>
      </w:pPr>
      <w:r>
        <w:t>Table 2: Proposed 5-Year CESO Grant Budget Allocation.</w:t>
      </w:r>
    </w:p>
    <w:p>
      <w:pPr>
        <w:keepNext/>
        <w:spacing w:before="280" w:after="120"/>
      </w:pPr>
      <w:r>
        <w:rPr>
          <w:rFonts w:ascii="Arial" w:hAnsi="Arial"/>
          <w:b/>
          <w:color w:val="0F172A"/>
          <w:sz w:val="26"/>
        </w:rPr>
        <w:t>8. Highly Qualified Personnel (HQP) Training Plan</w:t>
      </w:r>
    </w:p>
    <w:p>
      <w:pPr>
        <w:spacing w:after="160" w:line="276" w:lineRule="auto"/>
        <w:jc w:val="both"/>
      </w:pPr>
      <w:r>
        <w:rPr>
          <w:rFonts w:ascii="Arial" w:hAnsi="Arial"/>
          <w:b w:val="0"/>
          <w:i w:val="0"/>
          <w:color w:val="334155"/>
          <w:sz w:val="20"/>
        </w:rPr>
        <w:t>Trainees will be embedded in the interdisciplinary environment of the Mann Lab at the University of Toronto. Students will receive transdisciplinary training in ecological modeling, statistical quantum mechanics, active electronic sensor design, and drone-based telemetry. Collaborations with local environmental agencies (TRCA) will expose trainees to field conditions and policy-making, ensuring a smooth transition into leader roles in Canada's expanding clean-tech sectors.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