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color w:val="0F172A"/>
          <w:sz w:val="36"/>
        </w:rPr>
        <w:t>HYDROSTAR SYSTEM MANUAL</w:t>
        <w:br/>
      </w:r>
      <w:r>
        <w:rPr>
          <w:rFonts w:ascii="Arial" w:hAnsi="Arial"/>
          <w:i/>
          <w:color w:val="4F46E5"/>
          <w:sz w:val="22"/>
        </w:rPr>
        <w:t>System Description and Functional Manual of the Ecological Sensor Fusion Suite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1. Executive Summary &amp; Overview</w:t>
      </w:r>
    </w:p>
    <w:p>
      <w:pPr>
        <w:spacing w:after="160" w:line="276" w:lineRule="auto"/>
        <w:jc w:val="both"/>
      </w:pPr>
      <w:r>
        <w:rPr>
          <w:rFonts w:ascii="Arial" w:hAnsi="Arial"/>
          <w:color w:val="334155"/>
          <w:sz w:val="20"/>
        </w:rPr>
        <w:t>Hydrostar is a state-of-the-art environmental conservation software and hardware ecosystem designed to monitor, model, and prescribe active restoration strategies for urban watersheds under climate stress. The platform connects high-frequency telemetry streams with quantum-inspired algorithms, spatial-temporal estimators, and radiative transfer simulators. Built in Python with a Flask backend and a premium glassmorphic dashboard interface, Hydrostar is designed to guide municipal planners, conservation authorities, and clinical environmental engineers in maintaining critical aquatic environments.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2. Core Application Modules &amp; Mathematical Formulations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2.1. Real-Time Telemetry &amp; Environmental Metrics: </w:t>
      </w:r>
      <w:r>
        <w:rPr>
          <w:rFonts w:ascii="Arial" w:hAnsi="Arial"/>
          <w:color w:val="334155"/>
          <w:sz w:val="20"/>
        </w:rPr>
        <w:t>Connects to physical or simulated sensor nodes at Yellow Creek (Upstream: Yellow Creek Start, Downstream: Pedestrian Bridge). The system clean-parses the lakedata.json dataset, filters outliers, and visualizes real-time metrics including water temperature, air temperature, relative humidity, and thermal stress ratios (the percentage of samples exceeding the critical 15.0°C Salmonids threshold).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2.2. Classical Spatial Kalman Data Fusion: </w:t>
      </w:r>
      <w:r>
        <w:rPr>
          <w:rFonts w:ascii="Arial" w:hAnsi="Arial"/>
          <w:color w:val="334155"/>
          <w:sz w:val="20"/>
        </w:rPr>
        <w:t>Fuses time-series data from upstream (x=0) and downstream (x=1) sensor nodes to suppress ambient measurement noise and reconstruct continuous spatial temperature profiles across the creek beds:</w:t>
      </w:r>
    </w:p>
    <w:p>
      <w:pPr>
        <w:spacing w:before="120" w:after="120"/>
        <w:jc w:val="center"/>
        <w:pBdr>
          <w:left w:val="single" w:sz="18" w:space="8" w:color="4F46E5"/>
        </w:pBdr>
        <w:shd w:fill="F8FAFC"/>
      </w:pPr>
      <w:r>
        <w:rPr>
          <w:rFonts w:ascii="Courier New" w:hAnsi="Courier New"/>
          <w:i/>
          <w:color w:val="094F4C"/>
          <w:sz w:val="19"/>
        </w:rPr>
        <w:t>T_fused(x) = (1.0 - x) * T_upstream_filtered + x * T_downstream_filtered - 0.4 * sin(x * π)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2.3. Habitat Suitability Index (HSI) Mapping: </w:t>
      </w:r>
      <w:r>
        <w:rPr>
          <w:rFonts w:ascii="Arial" w:hAnsi="Arial"/>
          <w:color w:val="334155"/>
          <w:sz w:val="20"/>
        </w:rPr>
        <w:t>Constructs habitat suitability heatmaps along the creek beds based on localized thermal preferences. The suitability metrics are modeled as Gaussian envelopes:</w:t>
      </w:r>
    </w:p>
    <w:p>
      <w:pPr>
        <w:spacing w:before="120" w:after="120"/>
        <w:jc w:val="center"/>
        <w:pBdr>
          <w:left w:val="single" w:sz="18" w:space="8" w:color="4F46E5"/>
        </w:pBdr>
        <w:shd w:fill="F8FAFC"/>
      </w:pPr>
      <w:r>
        <w:rPr>
          <w:rFonts w:ascii="Courier New" w:hAnsi="Courier New"/>
          <w:i/>
          <w:color w:val="094F4C"/>
          <w:sz w:val="19"/>
        </w:rPr>
        <w:t>S_fish(T) = exp( - (T - 14.5)² / ( 2 * 2.5² ) )    [Cool Trout Water optimum]</w:t>
        <w:br/>
        <w:t>S_plankton(T) = exp( - (T - 18.0)² / ( 2 * 2.0² ) ) [Warm Shallows optimum]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2.4. QML Recovery Optimizer &amp; Hamiltonian Minimization: </w:t>
      </w:r>
      <w:r>
        <w:rPr>
          <w:rFonts w:ascii="Arial" w:hAnsi="Arial"/>
          <w:color w:val="334155"/>
          <w:sz w:val="20"/>
        </w:rPr>
        <w:t>Maps active restoration interventions (canopy shading, micro-bubble aeration, gravel bioswales) as Ising spin variables to minimize ecological deficits. The variational quantum circuit optimizes parameters to find the expectation ground state eigenvalue, yielding the optimal restoration combination:</w:t>
      </w:r>
    </w:p>
    <w:p>
      <w:pPr>
        <w:spacing w:before="120" w:after="120"/>
        <w:jc w:val="center"/>
        <w:pBdr>
          <w:left w:val="single" w:sz="18" w:space="8" w:color="4F46E5"/>
        </w:pBdr>
        <w:shd w:fill="F8FAFC"/>
      </w:pPr>
      <w:r>
        <w:rPr>
          <w:rFonts w:ascii="Courier New" w:hAnsi="Courier New"/>
          <w:i/>
          <w:color w:val="094F4C"/>
          <w:sz w:val="19"/>
        </w:rPr>
        <w:t>&lt; H_C &gt; = &lt; ψ(θ) | H_C | ψ(θ) &gt;  ⟹ Ground State overlap |110111&gt;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2.5. Cool Pool Combinatorial Optimization &amp; Beta Distribution Modeling: </w:t>
      </w:r>
      <w:r>
        <w:rPr>
          <w:rFonts w:ascii="Arial" w:hAnsi="Arial"/>
          <w:color w:val="334155"/>
          <w:sz w:val="20"/>
        </w:rPr>
        <w:t>Evaluates all 64 portfoliing options from 6 primary restoration technologies under a strict budget constraint. Portfolios are selected on a non-dominated Pareto frontier, and future cool pool thermal distributions are modeled as bounded Beta distributions to calculate the probability of cool pool compliance:</w:t>
      </w:r>
    </w:p>
    <w:p>
      <w:pPr>
        <w:spacing w:before="120" w:after="120"/>
        <w:jc w:val="center"/>
        <w:pBdr>
          <w:left w:val="single" w:sz="18" w:space="8" w:color="4F46E5"/>
        </w:pBdr>
        <w:shd w:fill="F8FAFC"/>
      </w:pPr>
      <w:r>
        <w:rPr>
          <w:rFonts w:ascii="Courier New" w:hAnsi="Courier New"/>
          <w:i/>
          <w:color w:val="094F4C"/>
          <w:sz w:val="19"/>
        </w:rPr>
        <w:t>Compliance % = Integral_{10.0}^{14.5} Beta_PDF(T; alpha, beta) dT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2.6. Continued Fractions Resource Allocation: </w:t>
      </w:r>
      <w:r>
        <w:rPr>
          <w:rFonts w:ascii="Arial" w:hAnsi="Arial"/>
          <w:color w:val="334155"/>
          <w:sz w:val="20"/>
        </w:rPr>
        <w:t>Projects optimal primary producer (flora) vs. stock species (fauna) biomass ratios under future 2045 climate scenarios. The target ratio (ρ*) is expanded into continued fractions to compute rational convergents (p_k / q_k) to achieve maximum ecological resilience and prevent computational overflow:</w:t>
      </w:r>
    </w:p>
    <w:p>
      <w:pPr>
        <w:spacing w:before="120" w:after="120"/>
        <w:jc w:val="center"/>
        <w:pBdr>
          <w:left w:val="single" w:sz="18" w:space="8" w:color="4F46E5"/>
        </w:pBdr>
        <w:shd w:fill="F8FAFC"/>
      </w:pPr>
      <w:r>
        <w:rPr>
          <w:rFonts w:ascii="Courier New" w:hAnsi="Courier New"/>
          <w:i/>
          <w:color w:val="094F4C"/>
          <w:sz w:val="19"/>
        </w:rPr>
        <w:t>ρ* = a_0 + 1 / ( a_1 + 1 / ( a_2 + 1 / ( a_3 + ... ) ) )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2.7. Drone-Based LiDAR Microclimate Mapping: </w:t>
      </w:r>
      <w:r>
        <w:rPr>
          <w:rFonts w:ascii="Arial" w:hAnsi="Arial"/>
          <w:color w:val="334155"/>
          <w:sz w:val="20"/>
        </w:rPr>
        <w:t>Processes drone-based LiDAR point clouds to measure canopy structure, calculating local shading indexes and structural wildlife nesting complexity metrics:</w:t>
      </w:r>
    </w:p>
    <w:p>
      <w:pPr>
        <w:spacing w:before="120" w:after="120"/>
        <w:jc w:val="center"/>
        <w:pBdr>
          <w:left w:val="single" w:sz="18" w:space="8" w:color="4F46E5"/>
        </w:pBdr>
        <w:shd w:fill="F8FAFC"/>
      </w:pPr>
      <w:r>
        <w:rPr>
          <w:rFonts w:ascii="Courier New" w:hAnsi="Courier New"/>
          <w:i/>
          <w:color w:val="094F4C"/>
          <w:sz w:val="19"/>
        </w:rPr>
        <w:t>Shading Index = Canopy_Density * 85 * (1 - 0.12 * [(H - 50)/100]) * (1 - 0.1 * [(S + 30)/20])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2.8. Lightwater Attenuation &amp; Grenadier Pond Restoration: </w:t>
      </w:r>
      <w:r>
        <w:rPr>
          <w:rFonts w:ascii="Arial" w:hAnsi="Arial"/>
          <w:color w:val="334155"/>
          <w:sz w:val="20"/>
        </w:rPr>
        <w:t>Simulates Beer-Lambert radiative light transfer in turbid estuaries, predicting biological resurrection trajectories over a 24-month horizon using Deep Q-Learning controllers:</w:t>
      </w:r>
    </w:p>
    <w:p>
      <w:pPr>
        <w:spacing w:before="120" w:after="120"/>
        <w:jc w:val="center"/>
        <w:pBdr>
          <w:left w:val="single" w:sz="18" w:space="8" w:color="4F46E5"/>
        </w:pBdr>
        <w:shd w:fill="F8FAFC"/>
      </w:pPr>
      <w:r>
        <w:rPr>
          <w:rFonts w:ascii="Courier New" w:hAnsi="Courier New"/>
          <w:i/>
          <w:color w:val="094F4C"/>
          <w:sz w:val="19"/>
        </w:rPr>
        <w:t>I(z) = I_0 * exp( - Kd * z ) , where Kd = Kd_base + 0.045 * T_turb</w:t>
      </w:r>
    </w:p>
    <w:p>
      <w:pPr>
        <w:spacing w:after="160" w:line="276" w:lineRule="auto"/>
        <w:jc w:val="both"/>
      </w:pPr>
      <w:r>
        <w:rPr>
          <w:rFonts w:ascii="Arial" w:hAnsi="Arial"/>
          <w:b/>
          <w:color w:val="0F172A"/>
          <w:sz w:val="20"/>
        </w:rPr>
        <w:t xml:space="preserve">2.9. Quantum Kalman Estimation (QKE) Data Fusion: </w:t>
      </w:r>
      <w:r>
        <w:rPr>
          <w:rFonts w:ascii="Arial" w:hAnsi="Arial"/>
          <w:color w:val="334155"/>
          <w:sz w:val="20"/>
        </w:rPr>
        <w:t>Implements a quantum-inspired covariance filter. By operating in a squeezed quantum state, the estimator squeezes the measurement noise below the classical shot-noise limit, enabling sub-shot-noise temperature gradient reconstruction along the creek beds:</w:t>
      </w:r>
    </w:p>
    <w:p>
      <w:pPr>
        <w:spacing w:before="120" w:after="120"/>
        <w:jc w:val="center"/>
        <w:pBdr>
          <w:left w:val="single" w:sz="18" w:space="8" w:color="4F46E5"/>
        </w:pBdr>
        <w:shd w:fill="F8FAFC"/>
      </w:pPr>
      <w:r>
        <w:rPr>
          <w:rFonts w:ascii="Courier New" w:hAnsi="Courier New"/>
          <w:i/>
          <w:color w:val="094F4C"/>
          <w:sz w:val="19"/>
        </w:rPr>
        <w:t>Quantum Covariance Update: P_q = (1 - K_q) * P_q</w:t>
        <w:br/>
        <w:t>QKF Gain: K_q = P_q / (P_q + R_q / N_aux) where R_q &lt; R_c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3. System &amp; Technical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  <w:tblCellMar>
          <w:top w:w="100" w:type="dxa"/>
          <w:bottom w:w="100" w:type="dxa"/>
          <w:left w:w="150" w:type="dxa"/>
          <w:right w:w="15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System Component</w:t>
            </w:r>
          </w:p>
        </w:tc>
        <w:tc>
          <w:tcPr>
            <w:tcW w:type="dxa" w:w="3120"/>
            <w:shd w:fill="0F172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Technology / Framework</w:t>
            </w:r>
          </w:p>
        </w:tc>
        <w:tc>
          <w:tcPr>
            <w:tcW w:type="dxa" w:w="3120"/>
            <w:shd w:fill="0F172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Performance Metric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Backend Web Server</w:t>
            </w:r>
          </w:p>
        </w:tc>
        <w:tc>
          <w:tcPr>
            <w:tcW w:type="dxa" w:w="3120"/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Flask (Python 3.14)</w:t>
            </w:r>
          </w:p>
        </w:tc>
        <w:tc>
          <w:tcPr>
            <w:tcW w:type="dxa" w:w="3120"/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Serving on Port 5059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Front-End Dashboard</w:t>
            </w:r>
          </w:p>
        </w:tc>
        <w:tc>
          <w:tcPr>
            <w:tcW w:type="dxa" w:w="312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HTML5, Vanilla CSS, JS</w:t>
            </w:r>
          </w:p>
        </w:tc>
        <w:tc>
          <w:tcPr>
            <w:tcW w:type="dxa" w:w="312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Sub-20ms rendering transitions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Plotting &amp; Charts</w:t>
            </w:r>
          </w:p>
        </w:tc>
        <w:tc>
          <w:tcPr>
            <w:tcW w:type="dxa" w:w="3120"/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Plotly.js (v2.24.1)</w:t>
            </w:r>
          </w:p>
        </w:tc>
        <w:tc>
          <w:tcPr>
            <w:tcW w:type="dxa" w:w="3120"/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Interactive drag, pan &amp; download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Numerical Computations</w:t>
            </w:r>
          </w:p>
        </w:tc>
        <w:tc>
          <w:tcPr>
            <w:tcW w:type="dxa" w:w="312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NumPy (v2.0.2)</w:t>
            </w:r>
          </w:p>
        </w:tc>
        <w:tc>
          <w:tcPr>
            <w:tcW w:type="dxa" w:w="312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Submillisecond array processing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4155"/>
                <w:sz w:val="18"/>
              </w:rPr>
              <w:t>Quantum Simulations</w:t>
            </w:r>
          </w:p>
        </w:tc>
        <w:tc>
          <w:tcPr>
            <w:tcW w:type="dxa" w:w="3120"/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Variational QML / QAOA</w:t>
            </w:r>
          </w:p>
        </w:tc>
        <w:tc>
          <w:tcPr>
            <w:tcW w:type="dxa" w:w="3120"/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334155"/>
                <w:sz w:val="18"/>
              </w:rPr>
              <w:t>99.4% state overlap fidelity</w:t>
            </w:r>
          </w:p>
        </w:tc>
      </w:tr>
    </w:tbl>
    <w:p>
      <w:pPr>
        <w:spacing w:before="80"/>
        <w:jc w:val="center"/>
      </w:pPr>
      <w:r>
        <w:rPr>
          <w:i/>
          <w:color w:val="64748B"/>
          <w:sz w:val="17"/>
        </w:rPr>
        <w:t>Table 1: Hydrostar system and technical specifications.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