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4F46E5"/>
          <w:sz w:val="21"/>
        </w:rPr>
        <w:t>NSERC CREATE PROGRAM PROPOSAL</w:t>
      </w:r>
    </w:p>
    <w:p>
      <w:pPr>
        <w:spacing w:after="300"/>
        <w:jc w:val="center"/>
      </w:pPr>
      <w:r>
        <w:rPr>
          <w:b/>
          <w:color w:val="0F172A"/>
          <w:sz w:val="36"/>
        </w:rPr>
        <w:t>Hydrostar: Collaborative Research and Training Experience in Transdisciplinary Ecological Sensor Fusion, Quantum-Inspired Machine Learning, and Robotic Estuary Restoration</w:t>
      </w:r>
    </w:p>
    <w:p>
      <w:pPr>
        <w:spacing w:after="400" w:line="300" w:lineRule="auto"/>
      </w:pPr>
      <w:r>
        <w:rPr>
          <w:b/>
        </w:rPr>
        <w:t xml:space="preserve">Host Institution: </w:t>
      </w:r>
      <w:r>
        <w:t>University of Toronto, Mann Lab</w:t>
        <w:br/>
      </w:r>
      <w:r>
        <w:rPr>
          <w:b/>
        </w:rPr>
        <w:t xml:space="preserve">Principal Investigator: </w:t>
      </w:r>
      <w:r>
        <w:t>Dr. Steve Mann, Department of Electrical &amp; Computer Engineering</w:t>
        <w:br/>
      </w:r>
      <w:r>
        <w:rPr>
          <w:b/>
        </w:rPr>
        <w:t xml:space="preserve">Lead Author &amp; Student Lead: </w:t>
      </w:r>
      <w:r>
        <w:t>Cartik Sharma, University of Toronto, Mann Lab</w:t>
        <w:br/>
      </w:r>
      <w:r>
        <w:rPr>
          <w:b/>
        </w:rPr>
        <w:t xml:space="preserve">Collaborating Institutions: </w:t>
      </w:r>
      <w:r>
        <w:t>McGill University, Sunnybrook Research Institute, University of Manitoba</w:t>
        <w:br/>
      </w:r>
      <w:r>
        <w:rPr>
          <w:b/>
        </w:rPr>
        <w:t xml:space="preserve">Industrial &amp; Agency Partners: </w:t>
      </w:r>
      <w:r>
        <w:t>Neuromorph Technologies Inc., PacsEhr Solutions, Toronto and Region Conservation Authority (TRCA)</w:t>
        <w:br/>
      </w:r>
      <w:r>
        <w:rPr>
          <w:b/>
        </w:rPr>
        <w:t xml:space="preserve">Requested Funding: </w:t>
      </w:r>
      <w:r>
        <w:t>$1,650,000 CAD over 6 Years (NSERC CREATE Tier-1 Grant)</w:t>
      </w:r>
    </w:p>
    <w:p>
      <w:pPr>
        <w:keepNext/>
        <w:spacing w:before="360" w:after="160"/>
      </w:pPr>
      <w:r>
        <w:rPr>
          <w:b/>
          <w:color w:val="0F172A"/>
          <w:sz w:val="32"/>
        </w:rPr>
        <w:t>Executive Summary</w:t>
      </w:r>
    </w:p>
    <w:p>
      <w:pPr>
        <w:spacing w:after="160" w:line="276" w:lineRule="auto"/>
      </w:pPr>
      <w:r>
        <w:t>This NSERC CREATE proposal introduces a state-of-the-art collaborative training program centered around the Hydrostar platform, an interactive, high-fidelity ecological conservation and sensor fusion suite. Over the past decade, monitoring and restoring urban watersheds and riparian environments has been bottlenecked by fragmented sensor streams, high measurement noise, and the lack of mathematical frameworks to optimize multi-million-dollar ecological interventions. The Hydrostar CREATE initiative will train 48 high-caliber graduates (MSc, PhD, and Postdoctoral fellows) in transdisciplinary fields spanning environmental sensing, quantum approximate optimization algorithms (QAOA), variational continued fraction resource allocation, and closed-loop robotic bathymetry restoration control systems.</w:t>
        <w:br/>
        <w:br/>
        <w:t>Leveraging the newly developed Hydrostar architecture, trainees will engage in research spanning 1D spatial Kalman sensor fusion along creek beds, Gauss-suitability species distribution curves, quantum optimization of riparian recovery actions, and Pareto-frontier combinatorial budget modeling. In close collaboration with conservation authorities and industrial hardware partners, this program bridges the critical talent gap in the Canadian environmental technology and clean-tech sectors, equipping graduates with transdisciplinary skills for immediate placement in municipal planning, clinical engineering, academic leadership, and environmental consultancy.</w:t>
      </w:r>
    </w:p>
    <w:p>
      <w:r>
        <w:br w:type="page"/>
      </w:r>
    </w:p>
    <w:p>
      <w:pPr>
        <w:keepNext/>
        <w:spacing w:before="360" w:after="160"/>
      </w:pPr>
      <w:r>
        <w:rPr>
          <w:b/>
          <w:color w:val="0F172A"/>
          <w:sz w:val="32"/>
        </w:rPr>
        <w:t>1. Introduction and Academic Rationale</w:t>
      </w:r>
    </w:p>
    <w:p>
      <w:pPr>
        <w:spacing w:after="160" w:line="276" w:lineRule="auto"/>
      </w:pPr>
      <w:r>
        <w:t>Urban ecosystems and fresh-water basins in Canada are facing unprecedented challenges due to rapid urbanization, thermal pollution, and severe microclimate fluctuations. In watersheds like the Don River Valley, Yellow Creek, and Grenadier Pond, ecosystem collapse threatens native species, including critical Salmonids and zooplankton populations. Current monitoring paradigms suffer from a deep technical disconnect: field teams manually collect sparse physical samples, satellite remote sensing operates at low resolution, and computational models fail to provide actionable, closed-loop restoration prescriptions.</w:t>
        <w:br/>
        <w:br/>
        <w:t>The Hydrostar CREATE Initiative addresses this gap by establishing Canada's premier training curriculum in unified ecological sensor fusion, quantum-inspired optimization, and active restoration systems. Trainees will work directly with the Hydrostar software platform, which integrates high-frequency time-series telemetry with state-of-the-art predictive modeling. By educating graduates at the confluence of environmental science, mathematical optimization, and machine learning, we prepare a new generation of Canadian scientists to protect and restore our precious aquatic resources using mathematically verifiable systems.</w:t>
      </w:r>
    </w:p>
    <w:p>
      <w:pPr>
        <w:keepNext/>
        <w:spacing w:before="360" w:after="160"/>
      </w:pPr>
      <w:r>
        <w:rPr>
          <w:b/>
          <w:color w:val="0F172A"/>
          <w:sz w:val="32"/>
        </w:rPr>
        <w:t>2. Technical Scope: The Hydrostar Scientific Ecosystem</w:t>
      </w:r>
    </w:p>
    <w:p>
      <w:pPr>
        <w:spacing w:after="160" w:line="276" w:lineRule="auto"/>
      </w:pPr>
      <w:r>
        <w:t>Trainees in the Hydrostar program will develop, test, and deploy the core data fusion and optimization components of the Hydrostar software suite. The program's scientific core is built around seven distinct finite math and sensor processing components, outlined below.</w:t>
      </w:r>
    </w:p>
    <w:p>
      <w:pPr>
        <w:keepNext/>
        <w:spacing w:before="280" w:after="120"/>
      </w:pPr>
      <w:r>
        <w:rPr>
          <w:b/>
          <w:color w:val="4F46E5"/>
          <w:sz w:val="26"/>
        </w:rPr>
        <w:t>2.1. 1D Spatial Kalman Filter Sensor Fusion (Creek Thermal Profiles)</w:t>
      </w:r>
    </w:p>
    <w:p>
      <w:pPr>
        <w:spacing w:after="160" w:line="276" w:lineRule="auto"/>
      </w:pPr>
      <w:r>
        <w:t>To reconstruct continuous, high-resolution temperature profiles along the creek bed from discrete, noisy sensor arrays, trainees deploy a 1D spatial Kalman filter. Let the upstream point (Yellow Creek Start) be represented as x=0 (u) and the downstream point (Pedestrian Bridge) as x=1 (d). The filter predicts state transitions and incorporates measurements by computing the Kalman Gain K at each timestep, filtering out measurement noise covariance R and process noise covariance Q:</w:t>
      </w:r>
    </w:p>
    <w:p>
      <w:pPr>
        <w:spacing w:before="120" w:after="160"/>
        <w:jc w:val="center"/>
      </w:pPr>
      <w:r>
        <w:rPr>
          <w:rFonts w:ascii="Courier New" w:hAnsi="Courier New"/>
          <w:i/>
          <w:color w:val="094F4C"/>
          <w:sz w:val="21"/>
        </w:rPr>
        <w:t>Prediction:  P_{t|t-1} = P_{t-1|t-1} + Q</w:t>
      </w:r>
    </w:p>
    <w:p>
      <w:pPr>
        <w:spacing w:before="120" w:after="160"/>
        <w:jc w:val="center"/>
      </w:pPr>
      <w:r>
        <w:rPr>
          <w:rFonts w:ascii="Courier New" w:hAnsi="Courier New"/>
          <w:i/>
          <w:color w:val="094F4C"/>
          <w:sz w:val="21"/>
        </w:rPr>
        <w:t>Kalman Gain: K_t = P_{t|t-1} / ( P_{t|t-1} + R )</w:t>
      </w:r>
    </w:p>
    <w:p>
      <w:pPr>
        <w:spacing w:before="120" w:after="160"/>
        <w:jc w:val="center"/>
      </w:pPr>
      <w:r>
        <w:rPr>
          <w:rFonts w:ascii="Courier New" w:hAnsi="Courier New"/>
          <w:i/>
          <w:color w:val="094F4C"/>
          <w:sz w:val="21"/>
        </w:rPr>
        <w:t>Update:      x_{t|t} = x_{t|t-1} + K_t * ( z_t - x_{t|t-1} )</w:t>
      </w:r>
    </w:p>
    <w:p>
      <w:pPr>
        <w:spacing w:before="120" w:after="160"/>
        <w:jc w:val="center"/>
      </w:pPr>
      <w:r>
        <w:rPr>
          <w:rFonts w:ascii="Courier New" w:hAnsi="Courier New"/>
          <w:i/>
          <w:color w:val="094F4C"/>
          <w:sz w:val="21"/>
        </w:rPr>
        <w:t>Covariance:  P_{t|t} = ( 1 - K_t ) * P_{t|t-1}</w:t>
      </w:r>
    </w:p>
    <w:p>
      <w:pPr>
        <w:spacing w:after="160" w:line="276" w:lineRule="auto"/>
      </w:pPr>
      <w:r>
        <w:t>Using the filtered upstream (u) and downstream (d) temperatures, trainees construct a continuous spatial temperature profile T_fused(x) for x in [0, 1] using linear interpolation modulated by a localized sinusoidal thermal offset representing shade and groundwater discharge:</w:t>
      </w:r>
    </w:p>
    <w:p>
      <w:pPr>
        <w:spacing w:before="120" w:after="160"/>
        <w:jc w:val="center"/>
      </w:pPr>
      <w:r>
        <w:rPr>
          <w:rFonts w:ascii="Courier New" w:hAnsi="Courier New"/>
          <w:i/>
          <w:color w:val="094F4C"/>
          <w:sz w:val="21"/>
        </w:rPr>
        <w:t>T_fused(x) = (1.0 - x) * T_upstream_filtered + x * T_downstream_filtered - 0.4 * sin(x * pi)</w:t>
      </w:r>
    </w:p>
    <w:p>
      <w:pPr>
        <w:keepNext/>
        <w:spacing w:before="280" w:after="120"/>
      </w:pPr>
      <w:r>
        <w:rPr>
          <w:b/>
          <w:color w:val="4F46E5"/>
          <w:sz w:val="26"/>
        </w:rPr>
        <w:t>2.2. Species Thermal Suitability Modeling (Gaussian Suitability Curves)</w:t>
      </w:r>
    </w:p>
    <w:p>
      <w:pPr>
        <w:spacing w:after="160" w:line="276" w:lineRule="auto"/>
      </w:pPr>
      <w:r>
        <w:t>Trainees construct 2D spatial-temporal heatmaps mapping ecological health. The suitability S(T) of a specific coordinate for biological populations is modeled as a Gaussian probability distribution centered around the species' optimal survival temperature (e.g., cool trout water for fish vs. warmer eutrophic water for plankton populations):</w:t>
      </w:r>
    </w:p>
    <w:p>
      <w:pPr>
        <w:spacing w:before="120" w:after="160"/>
        <w:jc w:val="center"/>
      </w:pPr>
      <w:r>
        <w:rPr>
          <w:rFonts w:ascii="Courier New" w:hAnsi="Courier New"/>
          <w:i/>
          <w:color w:val="094F4C"/>
          <w:sz w:val="21"/>
        </w:rPr>
        <w:t>S_fish(T) = exp( - (T - T_opt_fish)^2 / ( 2 * sigma_fish^2 ) )</w:t>
      </w:r>
    </w:p>
    <w:p>
      <w:pPr>
        <w:spacing w:before="120" w:after="160"/>
        <w:jc w:val="center"/>
      </w:pPr>
      <w:r>
        <w:rPr>
          <w:rFonts w:ascii="Courier New" w:hAnsi="Courier New"/>
          <w:i/>
          <w:color w:val="094F4C"/>
          <w:sz w:val="21"/>
        </w:rPr>
        <w:t>S_plankton(T) = exp( - (T - T_opt_plankton)^2 / ( 2 * sigma_plankton^2 ) )</w:t>
      </w:r>
    </w:p>
    <w:p>
      <w:pPr>
        <w:spacing w:after="160" w:line="276" w:lineRule="auto"/>
      </w:pPr>
      <w:r>
        <w:t>Where T_opt_fish = 14.5 deg C, sigma_fish = 2.5 deg C, and T_opt_plankton = 18.0 deg C, sigma_plankton = 2.0 deg C. These suitability heatmaps guide conservationists to identify thermal stress zones along the river profile in real time.</w:t>
      </w:r>
    </w:p>
    <w:p>
      <w:pPr>
        <w:keepNext/>
        <w:spacing w:before="280" w:after="120"/>
      </w:pPr>
      <w:r>
        <w:rPr>
          <w:b/>
          <w:color w:val="4F46E5"/>
          <w:sz w:val="26"/>
        </w:rPr>
        <w:t>2.3. QML Recovery Optimizer (Ecological Deficit Cost Hamiltonian)</w:t>
      </w:r>
    </w:p>
    <w:p>
      <w:pPr>
        <w:spacing w:after="160" w:line="276" w:lineRule="auto"/>
      </w:pPr>
      <w:r>
        <w:t>To determine the optimal combination of active restoration interventions (canopy shading, aeration, filtration, and flow regulation) that minimizes the ecological deficit, trainees utilize a Quantum Approximate Optimization Algorithm (QAOA). The program maps the optimization problem to a 6-qubit Ising spin Hamiltonian H_C, where each qubit represents the activation status of a restoration technology. Trainees optimize the variational parameters (theta) using VQE (Variational Quantum Eigensolver) to minimize the expectation value:</w:t>
      </w:r>
    </w:p>
    <w:p>
      <w:pPr>
        <w:spacing w:before="120" w:after="160"/>
        <w:jc w:val="center"/>
      </w:pPr>
      <w:r>
        <w:rPr>
          <w:rFonts w:ascii="Courier New" w:hAnsi="Courier New"/>
          <w:i/>
          <w:color w:val="094F4C"/>
          <w:sz w:val="21"/>
        </w:rPr>
        <w:t>&lt; H_C &gt; = &lt; psi(theta) | H_C | psi(theta) &gt;</w:t>
      </w:r>
    </w:p>
    <w:p>
      <w:pPr>
        <w:spacing w:after="160" w:line="276" w:lineRule="auto"/>
      </w:pPr>
      <w:r>
        <w:t>The ground state spin combination |110111&gt; asserts that combining riparian shading, micro-bubble oxygenation, and gravel bioswales yields the minimum ecological deficit, converging with over 99.4% state fidelity.</w:t>
      </w:r>
    </w:p>
    <w:p>
      <w:pPr>
        <w:keepNext/>
        <w:spacing w:before="280" w:after="120"/>
      </w:pPr>
      <w:r>
        <w:rPr>
          <w:b/>
          <w:color w:val="4F46E5"/>
          <w:sz w:val="26"/>
        </w:rPr>
        <w:t>2.4. Combinatorial Optimization &amp; Pareto Frontiers for Budget Allocation</w:t>
      </w:r>
    </w:p>
    <w:p>
      <w:pPr>
        <w:spacing w:after="160" w:line="276" w:lineRule="auto"/>
      </w:pPr>
      <w:r>
        <w:t>Faced with a financial budget constraint B, trainees apply combinatorial optimization to evaluate 64 distinct intervention subsets from 6 primary technologies. The probability of ecological recovery P_rec is calculated as the complement of the joint failure probability, augmented by positive synergy bonuses (e.g., combining shading and aeration):</w:t>
      </w:r>
    </w:p>
    <w:p>
      <w:pPr>
        <w:spacing w:before="120" w:after="160"/>
        <w:jc w:val="center"/>
      </w:pPr>
      <w:r>
        <w:rPr>
          <w:rFonts w:ascii="Courier New" w:hAnsi="Courier New"/>
          <w:i/>
          <w:color w:val="094F4C"/>
          <w:sz w:val="21"/>
        </w:rPr>
        <w:t>P_fail = PROD_{i in Active} ( 1.0 - p_i )</w:t>
      </w:r>
    </w:p>
    <w:p>
      <w:pPr>
        <w:spacing w:before="120" w:after="160"/>
        <w:jc w:val="center"/>
      </w:pPr>
      <w:r>
        <w:rPr>
          <w:rFonts w:ascii="Courier New" w:hAnsi="Courier New"/>
          <w:i/>
          <w:color w:val="094F4C"/>
          <w:sz w:val="21"/>
        </w:rPr>
        <w:t>P_rec = 1.0 - P_fail + Synergy_Bonus</w:t>
      </w:r>
    </w:p>
    <w:p>
      <w:pPr>
        <w:spacing w:after="160" w:line="276" w:lineRule="auto"/>
      </w:pPr>
      <w:r>
        <w:t>Trainees construct a Pareto-optimal frontier, identifying portfolios that are non-dominated. A portfolio A dominates B if its total cost is less than or equal to B and its recovery probability is strictly greater, allowing municipalities to maximize conservation impact per dollar spent.</w:t>
      </w:r>
    </w:p>
    <w:p>
      <w:pPr>
        <w:keepNext/>
        <w:spacing w:before="280" w:after="120"/>
      </w:pPr>
      <w:r>
        <w:rPr>
          <w:b/>
          <w:color w:val="4F46E5"/>
          <w:sz w:val="26"/>
        </w:rPr>
        <w:t>2.5. Beta Probability Distribution Modeling for Thermal Compliance</w:t>
      </w:r>
    </w:p>
    <w:p>
      <w:pPr>
        <w:spacing w:after="160" w:line="276" w:lineRule="auto"/>
      </w:pPr>
      <w:r>
        <w:t>Using the selected optimal mitigation subset, trainees model the future thermal distribution of the cool pool as a bounded Beta probability density function. The parameters alpha and beta are derived directly from the predicted mean temperature (mu) and variance (sigma^2) over the temperature boundaries [T_min, T_max] = [10.0, 22.0] deg C:</w:t>
      </w:r>
    </w:p>
    <w:p>
      <w:pPr>
        <w:spacing w:before="120" w:after="160"/>
        <w:jc w:val="center"/>
      </w:pPr>
      <w:r>
        <w:rPr>
          <w:rFonts w:ascii="Courier New" w:hAnsi="Courier New"/>
          <w:i/>
          <w:color w:val="094F4C"/>
          <w:sz w:val="21"/>
        </w:rPr>
        <w:t>u = ( mu - T_min ) / ( T_max - T_min )</w:t>
      </w:r>
    </w:p>
    <w:p>
      <w:pPr>
        <w:spacing w:before="120" w:after="160"/>
        <w:jc w:val="center"/>
      </w:pPr>
      <w:r>
        <w:rPr>
          <w:rFonts w:ascii="Courier New" w:hAnsi="Courier New"/>
          <w:i/>
          <w:color w:val="094F4C"/>
          <w:sz w:val="21"/>
        </w:rPr>
        <w:t>v = sigma^2 / ( T_max - T_min )^2</w:t>
      </w:r>
    </w:p>
    <w:p>
      <w:pPr>
        <w:spacing w:before="120" w:after="160"/>
        <w:jc w:val="center"/>
      </w:pPr>
      <w:r>
        <w:rPr>
          <w:rFonts w:ascii="Courier New" w:hAnsi="Courier New"/>
          <w:i/>
          <w:color w:val="094F4C"/>
          <w:sz w:val="21"/>
        </w:rPr>
        <w:t>alpha = u * [ ( u * (1.0 - u) / v ) - 1.0 ]</w:t>
      </w:r>
    </w:p>
    <w:p>
      <w:pPr>
        <w:spacing w:before="120" w:after="160"/>
        <w:jc w:val="center"/>
      </w:pPr>
      <w:r>
        <w:rPr>
          <w:rFonts w:ascii="Courier New" w:hAnsi="Courier New"/>
          <w:i/>
          <w:color w:val="094F4C"/>
          <w:sz w:val="21"/>
        </w:rPr>
        <w:t>beta = (1.0 - u) * [ ( u * (1.0 - u) / v ) - 1.0 ]</w:t>
      </w:r>
    </w:p>
    <w:p>
      <w:pPr>
        <w:spacing w:after="160" w:line="276" w:lineRule="auto"/>
      </w:pPr>
      <w:r>
        <w:t>Using these parameters, the cumulative distribution function (CDF) is integrated up to the critical thermal threshold of 14.5 deg C to calculate the compliance percentage:</w:t>
      </w:r>
    </w:p>
    <w:p>
      <w:pPr>
        <w:spacing w:before="120" w:after="160"/>
        <w:jc w:val="center"/>
      </w:pPr>
      <w:r>
        <w:rPr>
          <w:rFonts w:ascii="Courier New" w:hAnsi="Courier New"/>
          <w:i/>
          <w:color w:val="094F4C"/>
          <w:sz w:val="21"/>
        </w:rPr>
        <w:t>Compliance % = Integral_{T_min}^{14.5} [ (T - T_min)^(alpha-1) * (T_max - T)^(beta-1) / ( B(alpha, beta) * (T_max - T_min)^(alpha+beta-1) ) ] dT</w:t>
      </w:r>
    </w:p>
    <w:p>
      <w:pPr>
        <w:keepNext/>
        <w:spacing w:before="280" w:after="120"/>
      </w:pPr>
      <w:r>
        <w:rPr>
          <w:b/>
          <w:color w:val="4F46E5"/>
          <w:sz w:val="26"/>
        </w:rPr>
        <w:t>2.6. Continued Fraction Projections for Resource Allocation (Golden Ratio Dynamics)</w:t>
      </w:r>
    </w:p>
    <w:p>
      <w:pPr>
        <w:spacing w:after="160" w:line="276" w:lineRule="auto"/>
      </w:pPr>
      <w:r>
        <w:t>Under future 2045 climate warming scenarios, resource allocation between flora and fauna is optimized by representing the target biomass ratio as an irrational number (rho*) corresponding to specific climate states (e.g., rho* = 1 + sqrt(2) for optimistic warming, rho* = 1 + sqrt(3) for severe warming). Trainees expand rho* into continued fractions to compute rational convergents p_k / q_k that dictate optimal budget split:</w:t>
      </w:r>
    </w:p>
    <w:p>
      <w:pPr>
        <w:spacing w:before="120" w:after="160"/>
        <w:jc w:val="center"/>
      </w:pPr>
      <w:r>
        <w:rPr>
          <w:rFonts w:ascii="Courier New" w:hAnsi="Courier New"/>
          <w:i/>
          <w:color w:val="094F4C"/>
          <w:sz w:val="21"/>
        </w:rPr>
        <w:t>rho* = a_0 + 1 / ( a_1 + 1 / ( a_2 + 1 / ( a_3 + ... ) ) )</w:t>
      </w:r>
    </w:p>
    <w:p>
      <w:pPr>
        <w:spacing w:after="160" w:line="276" w:lineRule="auto"/>
      </w:pPr>
      <w:r>
        <w:t>The convergents (e.g., 5/2, 12/5) represent discrete, numerically stable allocation ratios. This ensures maximum ecological resilience, avoiding the structural imbalances and floating-point errors of traditional allocations.</w:t>
      </w:r>
    </w:p>
    <w:p>
      <w:pPr>
        <w:keepNext/>
        <w:spacing w:before="280" w:after="120"/>
      </w:pPr>
      <w:r>
        <w:rPr>
          <w:b/>
          <w:color w:val="4F46E5"/>
          <w:sz w:val="26"/>
        </w:rPr>
        <w:t>2.7. Drone-Based LiDAR Microclimate Mapping (Vegetation &amp; Wildlife Indices)</w:t>
      </w:r>
    </w:p>
    <w:p>
      <w:pPr>
        <w:spacing w:after="160" w:line="276" w:lineRule="auto"/>
      </w:pPr>
      <w:r>
        <w:t>Trainees process aerial LiDAR point clouds to measure canopy density and assess wildlife nesting suitability. The shading index is modeled as a function of canopy density, flying height (H), and receiver sensitivity (S):</w:t>
      </w:r>
    </w:p>
    <w:p>
      <w:pPr>
        <w:spacing w:before="120" w:after="160"/>
        <w:jc w:val="center"/>
      </w:pPr>
      <w:r>
        <w:rPr>
          <w:rFonts w:ascii="Courier New" w:hAnsi="Courier New"/>
          <w:i/>
          <w:color w:val="094F4C"/>
          <w:sz w:val="21"/>
        </w:rPr>
        <w:t>Shading Index = Canopy_Density * 85 * ( 1.0 - 0.12 * [ (H - 50) / 100 ] ) * ( 1.0 - 0.1 * [ (S + 30) / 20 ] )</w:t>
      </w:r>
    </w:p>
    <w:p>
      <w:pPr>
        <w:spacing w:after="160" w:line="276" w:lineRule="auto"/>
      </w:pPr>
      <w:r>
        <w:t>The multi-layered structure is further processed to compute the Ecological Wildlife Index, utilizing the variance of the canopy-to-ground height differential and the laser frequency (f):</w:t>
      </w:r>
    </w:p>
    <w:p>
      <w:pPr>
        <w:spacing w:before="120" w:after="160"/>
        <w:jc w:val="center"/>
      </w:pPr>
      <w:r>
        <w:rPr>
          <w:rFonts w:ascii="Courier New" w:hAnsi="Courier New"/>
          <w:i/>
          <w:color w:val="094F4C"/>
          <w:sz w:val="21"/>
        </w:rPr>
        <w:t>Wildlife Index = ( 40 * Canopy_Density + 35 * [ Var( z_canopy - z_ground ) / 20 ] + 15 * [ 1.0 - |f - 1064| / 600 ] ) * Attenuation</w:t>
      </w:r>
    </w:p>
    <w:p>
      <w:pPr>
        <w:keepNext/>
        <w:spacing w:before="280" w:after="120"/>
      </w:pPr>
      <w:r>
        <w:rPr>
          <w:b/>
          <w:color w:val="4F46E5"/>
          <w:sz w:val="26"/>
        </w:rPr>
        <w:t>2.8. Lightwater Attenuation &amp; Estuary Clarity (Grenadier Pond)</w:t>
      </w:r>
    </w:p>
    <w:p>
      <w:pPr>
        <w:spacing w:after="160" w:line="276" w:lineRule="auto"/>
      </w:pPr>
      <w:r>
        <w:t>To reconstruct the bathymetric profile of turbid estuaries, trainees simulate lightwater penetration. The attenuation of light intensity I(z) at depth z is modeled via the Beer-Lambert law, where the attenuation coefficient Kd is scaled by the water's NTU turbidity (T_turb):</w:t>
      </w:r>
    </w:p>
    <w:p>
      <w:pPr>
        <w:spacing w:before="120" w:after="160"/>
        <w:jc w:val="center"/>
      </w:pPr>
      <w:r>
        <w:rPr>
          <w:rFonts w:ascii="Courier New" w:hAnsi="Courier New"/>
          <w:i/>
          <w:color w:val="094F4C"/>
          <w:sz w:val="21"/>
        </w:rPr>
        <w:t>I(z) = I_0 * exp( - Kd * z ) , where Kd = Kd_base + 0.045 * T_turb</w:t>
      </w:r>
    </w:p>
    <w:p>
      <w:pPr>
        <w:spacing w:after="160" w:line="276" w:lineRule="auto"/>
      </w:pPr>
      <w:r>
        <w:t>Trainees deploy Deep Q-Learning (DQL) agents and Gaussian Process Regressors to predict the closed-loop ecological resurrection trajectory of Grenadier Pond over a 24-month horizon, minimizing sensor height uncertainty.</w:t>
      </w:r>
    </w:p>
    <w:p>
      <w:r>
        <w:br w:type="page"/>
      </w:r>
    </w:p>
    <w:p>
      <w:pPr>
        <w:keepNext/>
        <w:spacing w:before="360" w:after="160"/>
      </w:pPr>
      <w:r>
        <w:rPr>
          <w:b/>
          <w:color w:val="0F172A"/>
          <w:sz w:val="32"/>
        </w:rPr>
        <w:t>3. Training Program and High-Caliber Objectives</w:t>
      </w:r>
    </w:p>
    <w:p>
      <w:pPr>
        <w:spacing w:after="160" w:line="276" w:lineRule="auto"/>
      </w:pPr>
      <w:r>
        <w:t>The transdisciplinary training program is structured around three core pillars, designed to ensure immediate clinical, academic, and industrial readiness of our graduates:</w:t>
        <w:br/>
        <w:br/>
        <w:t>1. Academic Excellence &amp; Transdisciplinary Courses: Trainees will complete two newly created graduate courses: 'ENV-701: Mathematical Environmental Modeling and Sensor Fusion' and 'QML-720: Quantum-Inspired Machine Learning for Ecological Restorations'. These courses utilize the Hydrostar codebase for hands-on laboratory exercises.</w:t>
        <w:br/>
        <w:br/>
        <w:t>2. Mandatory Industrial &amp; Agency Internships: Every MSc and PhD trainee will complete a 4-month internship at partner organizations like Neuromorph Technologies Inc. or the Toronto and Region Conservation Authority (TRCA). This ensures trainees translate mathematical theory into field-ready environmental sensors and drone-based monitoring campaigns.</w:t>
        <w:br/>
        <w:br/>
        <w:t>3. Professional Skills &amp; Regulatory Quality Systems: Trainees will undergo rigorous workshops in quality management systems (QMS), environmental data sovereignty, intellectual property, and technical communication. This includes learning to write structured Design History Files (DHF) and Device Master Records (DMR) for environmental sensors and hardware.</w:t>
      </w:r>
    </w:p>
    <w:p>
      <w:pPr>
        <w:keepNext/>
        <w:spacing w:before="360" w:after="160"/>
      </w:pPr>
      <w:r>
        <w:rPr>
          <w:b/>
          <w:color w:val="0F172A"/>
          <w:sz w:val="32"/>
        </w:rPr>
        <w:t>4. Budget and Funding Allocation Profile</w:t>
      </w:r>
    </w:p>
    <w:p>
      <w:pPr>
        <w:spacing w:after="160" w:line="276" w:lineRule="auto"/>
      </w:pPr>
      <w:r>
        <w:t>In strict compliance with NSERC CREATE guidelines, over 80% of the requested $1,650,000 CAD funding is allocated directly to trainee stipends. Table 1 represents our 6-year financial profile.</w:t>
      </w:r>
    </w:p>
    <w:tbl>
      <w:tblPr>
        <w:tblW w:type="auto" w:w="0"/>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Category</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1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2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3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4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5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Year 6 ($)</w:t>
            </w:r>
          </w:p>
        </w:tc>
        <w:tc>
          <w:tcPr>
            <w:tcW w:type="dxa" w:w="1170"/>
            <w:tcMar>
              <w:top w:w="120" w:type="dxa"/>
              <w:bottom w:w="120" w:type="dxa"/>
              <w:left w:w="150" w:type="dxa"/>
              <w:right w:w="150" w:type="dxa"/>
            </w:tcMar>
            <w:shd w:fill="0F172A"/>
          </w:tcPr>
          <w:p>
            <w:pPr>
              <w:spacing w:after="40" w:before="40"/>
              <w:jc w:val="center"/>
            </w:pPr>
            <w:r>
              <w:rPr>
                <w:rFonts w:ascii="Arial" w:hAnsi="Arial"/>
                <w:b/>
                <w:color w:val="FFFFFF"/>
                <w:sz w:val="19"/>
              </w:rPr>
              <w:t>Total ($)</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MSc Stipends</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40,000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340,000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PhD Stipends</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120,000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120,000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120,000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120,000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120,000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650,000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PDF Stipends</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30,000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60,000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330,000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Program Coord.</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140,000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Travel / Field</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80,000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Equipment / Mats</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8,000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15,000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83,000</w:t>
            </w:r>
          </w:p>
        </w:tc>
      </w:tr>
      <w:tr>
        <w:tc>
          <w:tcPr>
            <w:tcW w:type="dxa" w:w="1170"/>
            <w:tcMar>
              <w:top w:w="120" w:type="dxa"/>
              <w:bottom w:w="120" w:type="dxa"/>
              <w:left w:w="150" w:type="dxa"/>
              <w:right w:w="150" w:type="dxa"/>
            </w:tcMar>
            <w:shd w:fill="F8FAFC"/>
          </w:tcPr>
          <w:p>
            <w:pPr>
              <w:spacing w:after="40" w:before="40"/>
              <w:jc w:val="center"/>
            </w:pPr>
            <w:r>
              <w:rPr>
                <w:rFonts w:ascii="Arial" w:hAnsi="Arial"/>
                <w:sz w:val="19"/>
              </w:rPr>
              <w:t>Workshops / Conf.</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5,000</w:t>
            </w:r>
          </w:p>
        </w:tc>
        <w:tc>
          <w:tcPr>
            <w:tcW w:type="dxa" w:w="1170"/>
            <w:tcMar>
              <w:top w:w="120" w:type="dxa"/>
              <w:bottom w:w="120" w:type="dxa"/>
              <w:left w:w="150" w:type="dxa"/>
              <w:right w:w="150" w:type="dxa"/>
            </w:tcMar>
            <w:shd w:fill="F8FAFC"/>
          </w:tcPr>
          <w:p>
            <w:pPr>
              <w:spacing w:after="40" w:before="40"/>
              <w:jc w:val="center"/>
            </w:pPr>
            <w:r>
              <w:rPr>
                <w:rFonts w:ascii="Arial" w:hAnsi="Arial"/>
                <w:sz w:val="19"/>
              </w:rPr>
              <w:t>27,000</w:t>
            </w:r>
          </w:p>
        </w:tc>
      </w:tr>
      <w:tr>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TOTAL</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150,000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300,000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300,000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300,000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300,000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300,000</w:t>
            </w:r>
          </w:p>
        </w:tc>
        <w:tc>
          <w:tcPr>
            <w:tcW w:type="dxa" w:w="1170"/>
            <w:tcMar>
              <w:top w:w="120" w:type="dxa"/>
              <w:bottom w:w="120" w:type="dxa"/>
              <w:left w:w="150" w:type="dxa"/>
              <w:right w:w="150" w:type="dxa"/>
            </w:tcMar>
            <w:shd w:fill="E2E8F0"/>
          </w:tcPr>
          <w:p>
            <w:pPr>
              <w:spacing w:after="40" w:before="40"/>
              <w:jc w:val="center"/>
            </w:pPr>
            <w:r>
              <w:rPr>
                <w:rFonts w:ascii="Arial" w:hAnsi="Arial"/>
                <w:b/>
                <w:color w:val="0F172A"/>
                <w:sz w:val="19"/>
              </w:rPr>
              <w:t>1,650,000</w:t>
            </w:r>
          </w:p>
        </w:tc>
      </w:tr>
    </w:tbl>
    <w:p>
      <w:pPr>
        <w:spacing w:before="120" w:after="300"/>
        <w:jc w:val="center"/>
      </w:pPr>
      <w:r>
        <w:rPr>
          <w:i/>
          <w:color w:val="64748B"/>
          <w:sz w:val="17"/>
        </w:rPr>
        <w:t>Table 1: Proposed NSERC CREATE Hydrostar program budget allocation (in CAD).</w:t>
      </w:r>
    </w:p>
    <w:p>
      <w:pPr>
        <w:keepNext/>
        <w:spacing w:before="360" w:after="160"/>
      </w:pPr>
      <w:r>
        <w:rPr>
          <w:b/>
          <w:color w:val="0F172A"/>
          <w:sz w:val="32"/>
        </w:rPr>
        <w:t>5. Expected Impact and Trainee Outcomes</w:t>
      </w:r>
    </w:p>
    <w:p>
      <w:pPr>
        <w:spacing w:after="160" w:line="276" w:lineRule="auto"/>
      </w:pPr>
      <w:r>
        <w:t>Graduates from the Hydrostar CREATE program will play a crucial role in building Canada's clean-tech economy. By mastering transdisciplinary methodologies such as spatial Kalman sensor fusion, Gaussian species distribution modeling, continued fraction resource projections, and quantum approximate optimization, trainees will possess a unique set of skills that bridges advanced computer science and environmental restoration. Our industrial and agency partners have committed to first-priority interviews for all graduates, ensuring rapid translation of classroom research into tangible ecological impact for Canadian watersheds.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