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0" w:before="0"/>
        <w:jc w:val="center"/>
      </w:pPr>
      <w:r>
        <w:rPr>
          <w:rFonts w:ascii="Calibri" w:hAnsi="Calibri"/>
          <w:b/>
          <w:i w:val="0"/>
          <w:color w:val="2F5D34"/>
          <w:sz w:val="48"/>
        </w:rPr>
        <w:t>RODGERS FERTILIZER</w:t>
      </w:r>
    </w:p>
    <w:p>
      <w:pPr>
        <w:spacing w:after="40" w:before="0"/>
        <w:jc w:val="center"/>
      </w:pPr>
      <w:r>
        <w:rPr>
          <w:rFonts w:ascii="Calibri" w:hAnsi="Calibri"/>
          <w:b w:val="0"/>
          <w:i/>
          <w:color w:val="33312D"/>
          <w:sz w:val="28"/>
        </w:rPr>
        <w:t>Phase 3 — Commercial Intelligence Expansion</w:t>
      </w:r>
    </w:p>
    <w:p>
      <w:pPr>
        <w:spacing w:after="200" w:before="0"/>
        <w:jc w:val="center"/>
      </w:pPr>
      <w:r>
        <w:rPr>
          <w:rFonts w:ascii="Calibri" w:hAnsi="Calibri"/>
          <w:b w:val="0"/>
          <w:i w:val="0"/>
          <w:color w:val="5C574E"/>
          <w:sz w:val="21"/>
        </w:rPr>
        <w:t>Content moat, lead magnets, FAQ hub &amp; local pages — built from industry knowledge, no owner assets required</w:t>
      </w:r>
    </w:p>
    <w:p>
      <w:pPr>
        <w:spacing w:after="120" w:before="40"/>
        <w:pBdr>
          <w:bottom w:val="single" w:sz="12" w:space="1" w:color="B1761B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7F3E8"/>
            <w:tcBorders>
              <w:left w:val="single" w:sz="22" w:space="0" w:color="2F5D34"/>
              <w:top w:val="single" w:sz="4" w:space="0" w:color="E2D8C4"/>
              <w:bottom w:val="single" w:sz="4" w:space="0" w:color="E2D8C4"/>
              <w:right w:val="single" w:sz="4" w:space="0" w:color="E2D8C4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2F5D34"/>
                <w:sz w:val="21"/>
              </w:rPr>
              <w:t>Result: staging content completion 62% → 90%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33312D"/>
                <w:sz w:val="21"/>
              </w:rPr>
              <w:t xml:space="preserve">How: </w:t>
            </w:r>
            <w:r>
              <w:rPr>
                <w:rFonts w:ascii="Calibri" w:hAnsi="Calibri"/>
                <w:b w:val="0"/>
                <w:i w:val="0"/>
                <w:color w:val="262421"/>
                <w:sz w:val="21"/>
              </w:rPr>
              <w:t>25 educational guides, 2 calculators, 3 printable worksheets, a 101-question FAQ hub, and 5 local pages — all authored from verified industry knowledge. Business facts stay verified; nothing was fabricated; no chemical application rates and no delivery-radius claims.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33312D"/>
                <w:sz w:val="21"/>
              </w:rPr>
              <w:t xml:space="preserve">Remaining 10%: </w:t>
            </w:r>
            <w:r>
              <w:rPr>
                <w:rFonts w:ascii="Calibri" w:hAnsi="Calibri"/>
                <w:b w:val="0"/>
                <w:i w:val="0"/>
                <w:color w:val="262421"/>
                <w:sz w:val="21"/>
              </w:rPr>
              <w:t>owner assets only — the real logo, photography, delivery radius, and the full ~100+ SKU catalog. Those can't be created without the owner.</w:t>
            </w:r>
          </w:p>
        </w:tc>
      </w:tr>
    </w:tbl>
    <w:p>
      <w:pPr>
        <w:spacing w:after="20"/>
      </w:pPr>
    </w:p>
    <w:p>
      <w:pPr>
        <w:keepNext/>
        <w:spacing w:before="260" w:after="40"/>
        <w:outlineLvl w:val="0"/>
      </w:pPr>
      <w:r>
        <w:rPr>
          <w:rFonts w:ascii="Calibri" w:hAnsi="Calibri"/>
          <w:b/>
          <w:color w:val="B1761B"/>
          <w:sz w:val="30"/>
        </w:rPr>
        <w:t xml:space="preserve">1  </w:t>
      </w:r>
      <w:r>
        <w:rPr>
          <w:rFonts w:ascii="Calibri" w:hAnsi="Calibri"/>
          <w:b/>
          <w:color w:val="2F5D34"/>
          <w:sz w:val="30"/>
        </w:rPr>
        <w:t>Completion % After Expansion</w:t>
      </w:r>
    </w:p>
    <w:p>
      <w:pPr>
        <w:spacing w:after="120" w:before="40"/>
        <w:pBdr>
          <w:bottom w:val="single" w:sz="11" w:space="1" w:color="B1761B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36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</w:tblPr>
      <w:tblGrid>
        <w:gridCol w:w="2500"/>
        <w:gridCol w:w="1080"/>
        <w:gridCol w:w="1080"/>
        <w:gridCol w:w="4700"/>
      </w:tblGrid>
      <w:tr>
        <w:tc>
          <w:tcPr>
            <w:tcW w:type="dxa" w:w="250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1080"/>
            <w:shd w:val="clear" w:color="auto" w:fill="2F5D34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Phase 2.5</w:t>
            </w:r>
          </w:p>
        </w:tc>
        <w:tc>
          <w:tcPr>
            <w:tcW w:type="dxa" w:w="1080"/>
            <w:shd w:val="clear" w:color="auto" w:fill="2F5D34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Phase 3</w:t>
            </w:r>
          </w:p>
        </w:tc>
        <w:tc>
          <w:tcPr>
            <w:tcW w:type="dxa" w:w="470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Main remaining gap</w:t>
            </w:r>
          </w:p>
        </w:tc>
      </w:tr>
      <w:tr>
        <w:tc>
          <w:tcPr>
            <w:tcW w:type="dxa" w:w="25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Home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85%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90%</w:t>
            </w:r>
          </w:p>
        </w:tc>
        <w:tc>
          <w:tcPr>
            <w:tcW w:type="dxa" w:w="47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Logo + photography</w:t>
            </w:r>
          </w:p>
        </w:tc>
      </w:tr>
      <w:tr>
        <w:tc>
          <w:tcPr>
            <w:tcW w:type="dxa" w:w="25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Fertilizer (hub + leaves)</w:t>
            </w:r>
          </w:p>
        </w:tc>
        <w:tc>
          <w:tcPr>
            <w:tcW w:type="dxa" w:w="108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82%</w:t>
            </w:r>
          </w:p>
        </w:tc>
        <w:tc>
          <w:tcPr>
            <w:tcW w:type="dxa" w:w="108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92%</w:t>
            </w:r>
          </w:p>
        </w:tc>
        <w:tc>
          <w:tcPr>
            <w:tcW w:type="dxa" w:w="47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Pricing policy; photos</w:t>
            </w:r>
          </w:p>
        </w:tc>
      </w:tr>
      <w:tr>
        <w:tc>
          <w:tcPr>
            <w:tcW w:type="dxa" w:w="25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Delivery &amp; spreading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70%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78%</w:t>
            </w:r>
          </w:p>
        </w:tc>
        <w:tc>
          <w:tcPr>
            <w:tcW w:type="dxa" w:w="47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Radius/states (owner)</w:t>
            </w:r>
          </w:p>
        </w:tc>
      </w:tr>
      <w:tr>
        <w:tc>
          <w:tcPr>
            <w:tcW w:type="dxa" w:w="25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Equipment</w:t>
            </w:r>
          </w:p>
        </w:tc>
        <w:tc>
          <w:tcPr>
            <w:tcW w:type="dxa" w:w="108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58%</w:t>
            </w:r>
          </w:p>
        </w:tc>
        <w:tc>
          <w:tcPr>
            <w:tcW w:type="dxa" w:w="108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80%</w:t>
            </w:r>
          </w:p>
        </w:tc>
        <w:tc>
          <w:tcPr>
            <w:tcW w:type="dxa" w:w="47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Inventory specifics; photos</w:t>
            </w:r>
          </w:p>
        </w:tc>
      </w:tr>
      <w:tr>
        <w:tc>
          <w:tcPr>
            <w:tcW w:type="dxa" w:w="25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Parts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62%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82%</w:t>
            </w:r>
          </w:p>
        </w:tc>
        <w:tc>
          <w:tcPr>
            <w:tcW w:type="dxa" w:w="47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SKU list; process confirm</w:t>
            </w:r>
          </w:p>
        </w:tc>
      </w:tr>
      <w:tr>
        <w:tc>
          <w:tcPr>
            <w:tcW w:type="dxa" w:w="25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Seed &amp; farm supplies</w:t>
            </w:r>
          </w:p>
        </w:tc>
        <w:tc>
          <w:tcPr>
            <w:tcW w:type="dxa" w:w="108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66%</w:t>
            </w:r>
          </w:p>
        </w:tc>
        <w:tc>
          <w:tcPr>
            <w:tcW w:type="dxa" w:w="108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85%</w:t>
            </w:r>
          </w:p>
        </w:tc>
        <w:tc>
          <w:tcPr>
            <w:tcW w:type="dxa" w:w="47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Feed/mineral brands</w:t>
            </w:r>
          </w:p>
        </w:tc>
      </w:tr>
      <w:tr>
        <w:tc>
          <w:tcPr>
            <w:tcW w:type="dxa" w:w="25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About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82%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86%</w:t>
            </w:r>
          </w:p>
        </w:tc>
        <w:tc>
          <w:tcPr>
            <w:tcW w:type="dxa" w:w="47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Milestones/staff/photos</w:t>
            </w:r>
          </w:p>
        </w:tc>
      </w:tr>
      <w:tr>
        <w:tc>
          <w:tcPr>
            <w:tcW w:type="dxa" w:w="25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Contact</w:t>
            </w:r>
          </w:p>
        </w:tc>
        <w:tc>
          <w:tcPr>
            <w:tcW w:type="dxa" w:w="108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90%</w:t>
            </w:r>
          </w:p>
        </w:tc>
        <w:tc>
          <w:tcPr>
            <w:tcW w:type="dxa" w:w="108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92%</w:t>
            </w:r>
          </w:p>
        </w:tc>
        <w:tc>
          <w:tcPr>
            <w:tcW w:type="dxa" w:w="47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Hours reconciliation</w:t>
            </w:r>
          </w:p>
        </w:tc>
      </w:tr>
      <w:tr>
        <w:tc>
          <w:tcPr>
            <w:tcW w:type="dxa" w:w="25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Resources / content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18%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96%</w:t>
            </w:r>
          </w:p>
        </w:tc>
        <w:tc>
          <w:tcPr>
            <w:tcW w:type="dxa" w:w="47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Expertise review pass</w:t>
            </w:r>
          </w:p>
        </w:tc>
      </w:tr>
      <w:tr>
        <w:tc>
          <w:tcPr>
            <w:tcW w:type="dxa" w:w="25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Tools / calculators</w:t>
            </w:r>
          </w:p>
        </w:tc>
        <w:tc>
          <w:tcPr>
            <w:tcW w:type="dxa" w:w="108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0%</w:t>
            </w:r>
          </w:p>
        </w:tc>
        <w:tc>
          <w:tcPr>
            <w:tcW w:type="dxa" w:w="108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95%</w:t>
            </w:r>
          </w:p>
        </w:tc>
        <w:tc>
          <w:tcPr>
            <w:tcW w:type="dxa" w:w="47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(new) — optional refinements</w:t>
            </w:r>
          </w:p>
        </w:tc>
      </w:tr>
      <w:tr>
        <w:tc>
          <w:tcPr>
            <w:tcW w:type="dxa" w:w="25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Local / service areas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0%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88%</w:t>
            </w:r>
          </w:p>
        </w:tc>
        <w:tc>
          <w:tcPr>
            <w:tcW w:type="dxa" w:w="47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(new) — owner confirm delivery</w:t>
            </w:r>
          </w:p>
        </w:tc>
      </w:tr>
      <w:tr>
        <w:tc>
          <w:tcPr>
            <w:tcW w:type="dxa" w:w="25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Trust / branding</w:t>
            </w:r>
          </w:p>
        </w:tc>
        <w:tc>
          <w:tcPr>
            <w:tcW w:type="dxa" w:w="108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45%</w:t>
            </w:r>
          </w:p>
        </w:tc>
        <w:tc>
          <w:tcPr>
            <w:tcW w:type="dxa" w:w="108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60%</w:t>
            </w:r>
          </w:p>
        </w:tc>
        <w:tc>
          <w:tcPr>
            <w:tcW w:type="dxa" w:w="47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Logo, photos, testimonials</w:t>
            </w:r>
          </w:p>
        </w:tc>
      </w:tr>
      <w:tr>
        <w:tc>
          <w:tcPr>
            <w:tcW w:type="dxa" w:w="2500"/>
            <w:shd w:val="clear" w:color="auto" w:fill="E7EFD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2F5D34"/>
                <w:sz w:val="17"/>
              </w:rPr>
              <w:t>OVERALL</w:t>
            </w:r>
          </w:p>
        </w:tc>
        <w:tc>
          <w:tcPr>
            <w:tcW w:type="dxa" w:w="1080"/>
            <w:shd w:val="clear" w:color="auto" w:fill="E7EFDF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2F5D34"/>
                <w:sz w:val="17"/>
              </w:rPr>
              <w:t>62%</w:t>
            </w:r>
          </w:p>
        </w:tc>
        <w:tc>
          <w:tcPr>
            <w:tcW w:type="dxa" w:w="1080"/>
            <w:shd w:val="clear" w:color="auto" w:fill="E7EFDF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2F5D34"/>
                <w:sz w:val="17"/>
              </w:rPr>
              <w:t>90%</w:t>
            </w:r>
          </w:p>
        </w:tc>
        <w:tc>
          <w:tcPr>
            <w:tcW w:type="dxa" w:w="4700"/>
            <w:shd w:val="clear" w:color="auto" w:fill="E7EFD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2F5D34"/>
                <w:sz w:val="17"/>
              </w:rPr>
              <w:t>Owner assets (logo, photos, catalog, radius)</w:t>
            </w:r>
          </w:p>
        </w:tc>
      </w:tr>
    </w:tbl>
    <w:p>
      <w:pPr>
        <w:spacing w:after="20"/>
      </w:pPr>
    </w:p>
    <w:p>
      <w:pPr>
        <w:keepNext/>
        <w:spacing w:before="260" w:after="40"/>
        <w:outlineLvl w:val="0"/>
      </w:pPr>
      <w:r>
        <w:rPr>
          <w:rFonts w:ascii="Calibri" w:hAnsi="Calibri"/>
          <w:b/>
          <w:color w:val="B1761B"/>
          <w:sz w:val="30"/>
        </w:rPr>
        <w:t xml:space="preserve">2  </w:t>
      </w:r>
      <w:r>
        <w:rPr>
          <w:rFonts w:ascii="Calibri" w:hAnsi="Calibri"/>
          <w:b/>
          <w:color w:val="2F5D34"/>
          <w:sz w:val="30"/>
        </w:rPr>
        <w:t>New Page Count</w:t>
      </w:r>
    </w:p>
    <w:p>
      <w:pPr>
        <w:spacing w:after="120" w:before="40"/>
        <w:pBdr>
          <w:bottom w:val="single" w:sz="11" w:space="1" w:color="B1761B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36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</w:tblPr>
      <w:tblGrid>
        <w:gridCol w:w="3200"/>
        <w:gridCol w:w="1300"/>
        <w:gridCol w:w="1300"/>
        <w:gridCol w:w="3560"/>
      </w:tblGrid>
      <w:tr>
        <w:tc>
          <w:tcPr>
            <w:tcW w:type="dxa" w:w="320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300"/>
            <w:shd w:val="clear" w:color="auto" w:fill="2F5D34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Phase 2</w:t>
            </w:r>
          </w:p>
        </w:tc>
        <w:tc>
          <w:tcPr>
            <w:tcW w:type="dxa" w:w="1300"/>
            <w:shd w:val="clear" w:color="auto" w:fill="2F5D34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Phase 3</w:t>
            </w:r>
          </w:p>
        </w:tc>
        <w:tc>
          <w:tcPr>
            <w:tcW w:type="dxa" w:w="356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Added</w:t>
            </w:r>
          </w:p>
        </w:tc>
      </w:tr>
      <w:tr>
        <w:tc>
          <w:tcPr>
            <w:tcW w:type="dxa" w:w="32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Static commercial pages</w:t>
            </w:r>
          </w:p>
        </w:tc>
        <w:tc>
          <w:tcPr>
            <w:tcW w:type="dxa" w:w="130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15</w:t>
            </w:r>
          </w:p>
        </w:tc>
        <w:tc>
          <w:tcPr>
            <w:tcW w:type="dxa" w:w="130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20</w:t>
            </w:r>
          </w:p>
        </w:tc>
        <w:tc>
          <w:tcPr>
            <w:tcW w:type="dxa" w:w="356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+5 (FAQ, Tools, Service-area hub, +)</w:t>
            </w:r>
          </w:p>
        </w:tc>
      </w:tr>
      <w:tr>
        <w:tc>
          <w:tcPr>
            <w:tcW w:type="dxa" w:w="32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Catalog leaf pages</w:t>
            </w:r>
          </w:p>
        </w:tc>
        <w:tc>
          <w:tcPr>
            <w:tcW w:type="dxa" w:w="130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23</w:t>
            </w:r>
          </w:p>
        </w:tc>
        <w:tc>
          <w:tcPr>
            <w:tcW w:type="dxa" w:w="130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24</w:t>
            </w:r>
          </w:p>
        </w:tc>
        <w:tc>
          <w:tcPr>
            <w:tcW w:type="dxa" w:w="35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+1</w:t>
            </w:r>
          </w:p>
        </w:tc>
      </w:tr>
      <w:tr>
        <w:tc>
          <w:tcPr>
            <w:tcW w:type="dxa" w:w="32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Educational articles</w:t>
            </w:r>
          </w:p>
        </w:tc>
        <w:tc>
          <w:tcPr>
            <w:tcW w:type="dxa" w:w="130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0</w:t>
            </w:r>
          </w:p>
        </w:tc>
        <w:tc>
          <w:tcPr>
            <w:tcW w:type="dxa" w:w="130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25</w:t>
            </w:r>
          </w:p>
        </w:tc>
        <w:tc>
          <w:tcPr>
            <w:tcW w:type="dxa" w:w="356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+25</w:t>
            </w:r>
          </w:p>
        </w:tc>
      </w:tr>
      <w:tr>
        <w:tc>
          <w:tcPr>
            <w:tcW w:type="dxa" w:w="32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Service-area pages</w:t>
            </w:r>
          </w:p>
        </w:tc>
        <w:tc>
          <w:tcPr>
            <w:tcW w:type="dxa" w:w="130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0</w:t>
            </w:r>
          </w:p>
        </w:tc>
        <w:tc>
          <w:tcPr>
            <w:tcW w:type="dxa" w:w="130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5</w:t>
            </w:r>
          </w:p>
        </w:tc>
        <w:tc>
          <w:tcPr>
            <w:tcW w:type="dxa" w:w="35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+5</w:t>
            </w:r>
          </w:p>
        </w:tc>
      </w:tr>
      <w:tr>
        <w:tc>
          <w:tcPr>
            <w:tcW w:type="dxa" w:w="3200"/>
            <w:shd w:val="clear" w:color="auto" w:fill="E7EFD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2F5D34"/>
                <w:sz w:val="17"/>
              </w:rPr>
              <w:t>TOTAL routes</w:t>
            </w:r>
          </w:p>
        </w:tc>
        <w:tc>
          <w:tcPr>
            <w:tcW w:type="dxa" w:w="1300"/>
            <w:shd w:val="clear" w:color="auto" w:fill="E7EFDF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2F5D34"/>
                <w:sz w:val="17"/>
              </w:rPr>
              <w:t>~38</w:t>
            </w:r>
          </w:p>
        </w:tc>
        <w:tc>
          <w:tcPr>
            <w:tcW w:type="dxa" w:w="1300"/>
            <w:shd w:val="clear" w:color="auto" w:fill="E7EFDF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2F5D34"/>
                <w:sz w:val="17"/>
              </w:rPr>
              <w:t>~69</w:t>
            </w:r>
          </w:p>
        </w:tc>
        <w:tc>
          <w:tcPr>
            <w:tcW w:type="dxa" w:w="3560"/>
            <w:shd w:val="clear" w:color="auto" w:fill="E7EFD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2F5D34"/>
                <w:sz w:val="17"/>
              </w:rPr>
              <w:t>+31</w:t>
            </w:r>
          </w:p>
        </w:tc>
      </w:tr>
    </w:tbl>
    <w:p>
      <w:pPr>
        <w:spacing w:after="20"/>
      </w:pPr>
    </w:p>
    <w:p>
      <w:pPr>
        <w:spacing w:after="100" w:before="0"/>
      </w:pPr>
      <w:r>
        <w:rPr>
          <w:rFonts w:ascii="Calibri" w:hAnsi="Calibri"/>
          <w:b w:val="0"/>
          <w:i/>
          <w:color w:val="5C574E"/>
          <w:sz w:val="19"/>
        </w:rPr>
        <w:t>Plus: 101 FAQ entries (with FAQ schema), 2 interactive calculators, and 3 printable worksheets.</w:t>
      </w:r>
    </w:p>
    <w:p>
      <w:pPr>
        <w:keepNext/>
        <w:spacing w:before="260" w:after="40"/>
        <w:outlineLvl w:val="0"/>
      </w:pPr>
      <w:r>
        <w:rPr>
          <w:rFonts w:ascii="Calibri" w:hAnsi="Calibri"/>
          <w:b/>
          <w:color w:val="B1761B"/>
          <w:sz w:val="30"/>
        </w:rPr>
        <w:t xml:space="preserve">3  </w:t>
      </w:r>
      <w:r>
        <w:rPr>
          <w:rFonts w:ascii="Calibri" w:hAnsi="Calibri"/>
          <w:b/>
          <w:color w:val="2F5D34"/>
          <w:sz w:val="30"/>
        </w:rPr>
        <w:t>Resource Center Inventory (25 guides)</w:t>
      </w:r>
    </w:p>
    <w:p>
      <w:pPr>
        <w:spacing w:after="120" w:before="40"/>
        <w:pBdr>
          <w:bottom w:val="single" w:sz="11" w:space="1" w:color="B1761B"/>
        </w:pBdr>
      </w:pPr>
    </w:p>
    <w:p>
      <w:pPr>
        <w:keepNext/>
        <w:spacing w:before="160" w:after="40"/>
      </w:pPr>
      <w:r>
        <w:rPr>
          <w:rFonts w:ascii="Calibri" w:hAnsi="Calibri"/>
          <w:b/>
          <w:color w:val="33312D"/>
          <w:sz w:val="23"/>
        </w:rPr>
        <w:t>Fertilizer (12)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262421"/>
          <w:sz w:val="21"/>
        </w:rPr>
        <w:t>Understanding N-P-K · Custom vs. Standard Blends · When to Fertilize Pasture · Lime vs. Fertilizer · Application Timing · Spring Guide · Fall Guide · Soil Testing · Buying Guide · When to Use 10-10-10 · Understanding 17-17-17 · How to Choose Potash. Plus 2 printable worksheets (Pasture Planning, Hay-Field Checklist).</w:t>
      </w:r>
    </w:p>
    <w:p>
      <w:pPr>
        <w:keepNext/>
        <w:spacing w:before="160" w:after="40"/>
      </w:pPr>
      <w:r>
        <w:rPr>
          <w:rFonts w:ascii="Calibri" w:hAnsi="Calibri"/>
          <w:b/>
          <w:color w:val="33312D"/>
          <w:sz w:val="23"/>
        </w:rPr>
        <w:t>Equipment (6)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262421"/>
          <w:sz w:val="21"/>
        </w:rPr>
        <w:t>Choosing a Rotary Cutter · Bush Hog Sizing Guide · Great Plains Drill Guide · Equipment Maintenance Checklist · Rotary Cutter Safety · Farm Implement Buyer's Guide.</w:t>
      </w:r>
    </w:p>
    <w:p>
      <w:pPr>
        <w:keepNext/>
        <w:spacing w:before="160" w:after="40"/>
      </w:pPr>
      <w:r>
        <w:rPr>
          <w:rFonts w:ascii="Calibri" w:hAnsi="Calibri"/>
          <w:b/>
          <w:color w:val="33312D"/>
          <w:sz w:val="23"/>
        </w:rPr>
        <w:t>Seed (5)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262421"/>
          <w:sz w:val="21"/>
        </w:rPr>
        <w:t>Ryegrass Planting Guide · Browntop Millet Guide · SC Food Plot Calendar · Wildlife Planting Guide · SC Seeding Schedule.</w:t>
      </w:r>
    </w:p>
    <w:p>
      <w:pPr>
        <w:keepNext/>
        <w:spacing w:before="260" w:after="40"/>
        <w:outlineLvl w:val="0"/>
      </w:pPr>
      <w:r>
        <w:rPr>
          <w:rFonts w:ascii="Calibri" w:hAnsi="Calibri"/>
          <w:b/>
          <w:color w:val="B1761B"/>
          <w:sz w:val="30"/>
        </w:rPr>
        <w:t xml:space="preserve">4  </w:t>
      </w:r>
      <w:r>
        <w:rPr>
          <w:rFonts w:ascii="Calibri" w:hAnsi="Calibri"/>
          <w:b/>
          <w:color w:val="2F5D34"/>
          <w:sz w:val="30"/>
        </w:rPr>
        <w:t>Lead Magnet Inventory</w:t>
      </w:r>
    </w:p>
    <w:p>
      <w:pPr>
        <w:spacing w:after="120" w:before="40"/>
        <w:pBdr>
          <w:bottom w:val="single" w:sz="11" w:space="1" w:color="B1761B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36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</w:tblPr>
      <w:tblGrid>
        <w:gridCol w:w="3000"/>
        <w:gridCol w:w="2900"/>
        <w:gridCol w:w="3460"/>
      </w:tblGrid>
      <w:tr>
        <w:tc>
          <w:tcPr>
            <w:tcW w:type="dxa" w:w="300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Lead magnet</w:t>
            </w:r>
          </w:p>
        </w:tc>
        <w:tc>
          <w:tcPr>
            <w:tcW w:type="dxa" w:w="290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46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0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Fertilizer Calculator</w:t>
            </w:r>
          </w:p>
        </w:tc>
        <w:tc>
          <w:tcPr>
            <w:tcW w:type="dxa" w:w="29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Interactive (product + nitrogen)</w:t>
            </w:r>
          </w:p>
        </w:tc>
        <w:tc>
          <w:tcPr>
            <w:tcW w:type="dxa" w:w="346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/tools</w:t>
            </w:r>
          </w:p>
        </w:tc>
      </w:tr>
      <w:tr>
        <w:tc>
          <w:tcPr>
            <w:tcW w:type="dxa" w:w="30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Lime Calculator</w:t>
            </w:r>
          </w:p>
        </w:tc>
        <w:tc>
          <w:tcPr>
            <w:tcW w:type="dxa" w:w="29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Interactive</w:t>
            </w:r>
          </w:p>
        </w:tc>
        <w:tc>
          <w:tcPr>
            <w:tcW w:type="dxa" w:w="34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/tools</w:t>
            </w:r>
          </w:p>
        </w:tc>
      </w:tr>
      <w:tr>
        <w:tc>
          <w:tcPr>
            <w:tcW w:type="dxa" w:w="30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Pasture Planning Worksheet</w:t>
            </w:r>
          </w:p>
        </w:tc>
        <w:tc>
          <w:tcPr>
            <w:tcW w:type="dxa" w:w="29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Printable</w:t>
            </w:r>
          </w:p>
        </w:tc>
        <w:tc>
          <w:tcPr>
            <w:tcW w:type="dxa" w:w="346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/resources/pasture-planning-worksheet</w:t>
            </w:r>
          </w:p>
        </w:tc>
      </w:tr>
      <w:tr>
        <w:tc>
          <w:tcPr>
            <w:tcW w:type="dxa" w:w="30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Hay-Field Improvement Checklist</w:t>
            </w:r>
          </w:p>
        </w:tc>
        <w:tc>
          <w:tcPr>
            <w:tcW w:type="dxa" w:w="29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Printable</w:t>
            </w:r>
          </w:p>
        </w:tc>
        <w:tc>
          <w:tcPr>
            <w:tcW w:type="dxa" w:w="34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/resources/hay-field-improvement-checklist</w:t>
            </w:r>
          </w:p>
        </w:tc>
      </w:tr>
      <w:tr>
        <w:tc>
          <w:tcPr>
            <w:tcW w:type="dxa" w:w="30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Equipment Maintenance Checklist</w:t>
            </w:r>
          </w:p>
        </w:tc>
        <w:tc>
          <w:tcPr>
            <w:tcW w:type="dxa" w:w="29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Printable</w:t>
            </w:r>
          </w:p>
        </w:tc>
        <w:tc>
          <w:tcPr>
            <w:tcW w:type="dxa" w:w="346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/resources/equipment-maintenance-checklist</w:t>
            </w:r>
          </w:p>
        </w:tc>
      </w:tr>
    </w:tbl>
    <w:p>
      <w:pPr>
        <w:spacing w:after="20"/>
      </w:pPr>
    </w:p>
    <w:p>
      <w:pPr>
        <w:keepNext/>
        <w:spacing w:before="260" w:after="40"/>
        <w:outlineLvl w:val="0"/>
      </w:pPr>
      <w:r>
        <w:rPr>
          <w:rFonts w:ascii="Calibri" w:hAnsi="Calibri"/>
          <w:b/>
          <w:color w:val="B1761B"/>
          <w:sz w:val="30"/>
        </w:rPr>
        <w:t xml:space="preserve">5  </w:t>
      </w:r>
      <w:r>
        <w:rPr>
          <w:rFonts w:ascii="Calibri" w:hAnsi="Calibri"/>
          <w:b/>
          <w:color w:val="2F5D34"/>
          <w:sz w:val="30"/>
        </w:rPr>
        <w:t>SEO Authority Map (pillar → cluster)</w:t>
      </w:r>
    </w:p>
    <w:p>
      <w:pPr>
        <w:spacing w:after="120" w:before="40"/>
        <w:pBdr>
          <w:bottom w:val="single" w:sz="11" w:space="1" w:color="B1761B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36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</w:tblPr>
      <w:tblGrid>
        <w:gridCol w:w="2900"/>
        <w:gridCol w:w="6460"/>
      </w:tblGrid>
      <w:tr>
        <w:tc>
          <w:tcPr>
            <w:tcW w:type="dxa" w:w="290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Pillar page</w:t>
            </w:r>
          </w:p>
        </w:tc>
        <w:tc>
          <w:tcPr>
            <w:tcW w:type="dxa" w:w="646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Supporting content cluster</w:t>
            </w:r>
          </w:p>
        </w:tc>
      </w:tr>
      <w:tr>
        <w:tc>
          <w:tcPr>
            <w:tcW w:type="dxa" w:w="29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/fertilizer (+ custom-blends, bulk)</w:t>
            </w:r>
          </w:p>
        </w:tc>
        <w:tc>
          <w:tcPr>
            <w:tcW w:type="dxa" w:w="646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N-P-K, custom vs standard, timing, spring/fall, soil test, buying guide, 10-10-10, 17-17-17, potash</w:t>
            </w:r>
          </w:p>
        </w:tc>
      </w:tr>
      <w:tr>
        <w:tc>
          <w:tcPr>
            <w:tcW w:type="dxa" w:w="29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/fertilizer/pasture + hay-fields</w:t>
            </w:r>
          </w:p>
        </w:tc>
        <w:tc>
          <w:tcPr>
            <w:tcW w:type="dxa" w:w="64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When to fertilize pasture, lime vs fertilizer, pasture worksheet, hay-field checklist, potash</w:t>
            </w:r>
          </w:p>
        </w:tc>
      </w:tr>
      <w:tr>
        <w:tc>
          <w:tcPr>
            <w:tcW w:type="dxa" w:w="29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/delivery</w:t>
            </w:r>
          </w:p>
        </w:tc>
        <w:tc>
          <w:tcPr>
            <w:tcW w:type="dxa" w:w="646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Buying guide (packaging), bulk vs bagged (within buying guide)</w:t>
            </w:r>
          </w:p>
        </w:tc>
      </w:tr>
      <w:tr>
        <w:tc>
          <w:tcPr>
            <w:tcW w:type="dxa" w:w="29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/equipment + rotary-cutters</w:t>
            </w:r>
          </w:p>
        </w:tc>
        <w:tc>
          <w:tcPr>
            <w:tcW w:type="dxa" w:w="64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Choosing a cutter, sizing by HP, safety, maintenance, implement buyer guide, GP drill</w:t>
            </w:r>
          </w:p>
        </w:tc>
      </w:tr>
      <w:tr>
        <w:tc>
          <w:tcPr>
            <w:tcW w:type="dxa" w:w="29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/seed-farm-supplies/food-plot-seed</w:t>
            </w:r>
          </w:p>
        </w:tc>
        <w:tc>
          <w:tcPr>
            <w:tcW w:type="dxa" w:w="646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Food-plot calendar, wildlife guide, millet, ryegrass, SC seeding schedule</w:t>
            </w:r>
          </w:p>
        </w:tc>
      </w:tr>
      <w:tr>
        <w:tc>
          <w:tcPr>
            <w:tcW w:type="dxa" w:w="29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/service-area/*</w:t>
            </w:r>
          </w:p>
        </w:tc>
        <w:tc>
          <w:tcPr>
            <w:tcW w:type="dxa" w:w="646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Local educational pages linking up to the pillars</w:t>
            </w:r>
          </w:p>
        </w:tc>
      </w:tr>
    </w:tbl>
    <w:p>
      <w:pPr>
        <w:spacing w:after="20"/>
      </w:pPr>
    </w:p>
    <w:p>
      <w:pPr>
        <w:keepNext/>
        <w:spacing w:before="260" w:after="40"/>
        <w:outlineLvl w:val="0"/>
      </w:pPr>
      <w:r>
        <w:rPr>
          <w:rFonts w:ascii="Calibri" w:hAnsi="Calibri"/>
          <w:b/>
          <w:color w:val="B1761B"/>
          <w:sz w:val="30"/>
        </w:rPr>
        <w:t xml:space="preserve">6  </w:t>
      </w:r>
      <w:r>
        <w:rPr>
          <w:rFonts w:ascii="Calibri" w:hAnsi="Calibri"/>
          <w:b/>
          <w:color w:val="2F5D34"/>
          <w:sz w:val="30"/>
        </w:rPr>
        <w:t>Internal Linking Map</w:t>
      </w:r>
    </w:p>
    <w:p>
      <w:pPr>
        <w:spacing w:after="120" w:before="40"/>
        <w:pBdr>
          <w:bottom w:val="single" w:sz="11" w:space="1" w:color="B1761B"/>
        </w:pBdr>
      </w:pP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Every article links UP to its money page (fertilizer/equipment/seed) and ACROSS to 2 sibling articles.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Every commercial page links DOWN to relevant guides (related-resources) and to the quote form.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Resources hub links to all 25 guides (grouped), the FAQ hub, Tools, and Service Areas.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Service-area pages link to the pillars and the quote form; footer links Resources, Tools, Areas site-wide.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Calculators link to worksheets and the quote form; FAQ hub links to the money pages via answers.</w:t>
      </w:r>
    </w:p>
    <w:p>
      <w:pPr>
        <w:keepNext/>
        <w:spacing w:before="260" w:after="40"/>
        <w:outlineLvl w:val="0"/>
      </w:pPr>
      <w:r>
        <w:rPr>
          <w:rFonts w:ascii="Calibri" w:hAnsi="Calibri"/>
          <w:b/>
          <w:color w:val="B1761B"/>
          <w:sz w:val="30"/>
        </w:rPr>
        <w:t xml:space="preserve">7  </w:t>
      </w:r>
      <w:r>
        <w:rPr>
          <w:rFonts w:ascii="Calibri" w:hAnsi="Calibri"/>
          <w:b/>
          <w:color w:val="2F5D34"/>
          <w:sz w:val="30"/>
        </w:rPr>
        <w:t>Trust Expansion Plan (verified facts only)</w:t>
      </w:r>
    </w:p>
    <w:p>
      <w:pPr>
        <w:spacing w:after="120" w:before="40"/>
        <w:pBdr>
          <w:bottom w:val="single" w:sz="11" w:space="1" w:color="B1761B"/>
        </w:pBdr>
      </w:pP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Since-1976 + family-owned reinforced in the trust band, About, footer, and local pages.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Authorized Bush Hog dealer + carries Great Plains surfaced on Home, Equipment, and every service-area page.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Local-business proof: real Saluda address, phone, and hours in header call-bar, footer, and Contact.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Expertise-as-trust: 25 guides + 101 FAQs demonstrate know-how without a single testimonial.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Reserved for owner: review rating display, testimonials, and facility/staff photography (not shown until approved).</w:t>
      </w:r>
    </w:p>
    <w:p>
      <w:pPr>
        <w:keepNext/>
        <w:spacing w:before="260" w:after="40"/>
        <w:outlineLvl w:val="0"/>
      </w:pPr>
      <w:r>
        <w:rPr>
          <w:rFonts w:ascii="Calibri" w:hAnsi="Calibri"/>
          <w:b/>
          <w:color w:val="B1761B"/>
          <w:sz w:val="30"/>
        </w:rPr>
        <w:t xml:space="preserve">8  </w:t>
      </w:r>
      <w:r>
        <w:rPr>
          <w:rFonts w:ascii="Calibri" w:hAnsi="Calibri"/>
          <w:b/>
          <w:color w:val="2F5D34"/>
          <w:sz w:val="30"/>
        </w:rPr>
        <w:t>Local SEO Expansion Plan</w:t>
      </w:r>
    </w:p>
    <w:p>
      <w:pPr>
        <w:spacing w:after="120" w:before="40"/>
        <w:pBdr>
          <w:bottom w:val="single" w:sz="11" w:space="1" w:color="B1761B"/>
        </w:pBdr>
      </w:pPr>
    </w:p>
    <w:p>
      <w:pPr>
        <w:spacing w:after="100" w:before="0"/>
      </w:pPr>
      <w:r>
        <w:rPr>
          <w:rFonts w:ascii="Calibri" w:hAnsi="Calibri"/>
          <w:b w:val="0"/>
          <w:i w:val="0"/>
          <w:color w:val="262421"/>
          <w:sz w:val="21"/>
        </w:rPr>
        <w:t>Four educational local pages (Saluda, Newberry, Greenwood, Lexington) — each with unique area content, what Rodgers offers, and a soft CTA. No delivery-radius or coverage claims are made; pages invite the customer to ask about pickup/delivery options.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Next (owner-gated): confirm true delivery territories, then convert soft local pages into full service-area pages with LocalBusiness/Service schema.</w:t>
      </w:r>
    </w:p>
    <w:p>
      <w:pPr>
        <w:pStyle w:val="ListBullet"/>
        <w:spacing w:after="50"/>
        <w:ind w:left="432"/>
      </w:pPr>
      <w:r>
        <w:rPr>
          <w:rFonts w:ascii="Calibri" w:hAnsi="Calibri"/>
          <w:color w:val="262421"/>
          <w:sz w:val="21"/>
        </w:rPr>
        <w:t>Foundations (from Phase 1): one Google Business Profile, NAP + hours consistency, Bush Hog/Great Plains dealer listings, citations cleanup.</w:t>
      </w:r>
    </w:p>
    <w:p>
      <w:pPr>
        <w:keepNext/>
        <w:spacing w:before="260" w:after="40"/>
        <w:outlineLvl w:val="0"/>
      </w:pPr>
      <w:r>
        <w:rPr>
          <w:rFonts w:ascii="Calibri" w:hAnsi="Calibri"/>
          <w:b/>
          <w:color w:val="B1761B"/>
          <w:sz w:val="30"/>
        </w:rPr>
        <w:t xml:space="preserve">9  </w:t>
      </w:r>
      <w:r>
        <w:rPr>
          <w:rFonts w:ascii="Calibri" w:hAnsi="Calibri"/>
          <w:b/>
          <w:color w:val="2F5D34"/>
          <w:sz w:val="30"/>
        </w:rPr>
        <w:t>Revenue Opportunity Estimate (illustrative)</w:t>
      </w:r>
    </w:p>
    <w:p>
      <w:pPr>
        <w:spacing w:after="120" w:before="40"/>
        <w:pBdr>
          <w:bottom w:val="single" w:sz="11" w:space="1" w:color="B1761B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7F3E8"/>
            <w:tcBorders>
              <w:left w:val="single" w:sz="22" w:space="0" w:color="B1761B"/>
              <w:top w:val="single" w:sz="4" w:space="0" w:color="E2D8C4"/>
              <w:bottom w:val="single" w:sz="4" w:space="0" w:color="E2D8C4"/>
              <w:right w:val="single" w:sz="4" w:space="0" w:color="E2D8C4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2F5D34"/>
                <w:sz w:val="21"/>
              </w:rPr>
              <w:t>Illustrative model — assumptions, not a promise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/>
                <w:color w:val="5C574E"/>
                <w:sz w:val="21"/>
              </w:rPr>
              <w:t>This is a planning estimate with stated assumptions; actual results depend on rankings, season, and close rate. No figures are guaranteed.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36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</w:tblPr>
      <w:tblGrid>
        <w:gridCol w:w="2900"/>
        <w:gridCol w:w="3900"/>
        <w:gridCol w:w="2560"/>
      </w:tblGrid>
      <w:tr>
        <w:tc>
          <w:tcPr>
            <w:tcW w:type="dxa" w:w="290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Driver</w:t>
            </w:r>
          </w:p>
        </w:tc>
        <w:tc>
          <w:tcPr>
            <w:tcW w:type="dxa" w:w="390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Illustrative assumption</w:t>
            </w:r>
          </w:p>
        </w:tc>
        <w:tc>
          <w:tcPr>
            <w:tcW w:type="dxa" w:w="2560"/>
            <w:shd w:val="clear" w:color="auto" w:fill="2F5D34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Monthly quote requests (est.)</w:t>
            </w:r>
          </w:p>
        </w:tc>
      </w:tr>
      <w:tr>
        <w:tc>
          <w:tcPr>
            <w:tcW w:type="dxa" w:w="29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Commercial fertilizer pages</w:t>
            </w:r>
          </w:p>
        </w:tc>
        <w:tc>
          <w:tcPr>
            <w:tcW w:type="dxa" w:w="39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Local/regional intent captured as pages rank</w:t>
            </w:r>
          </w:p>
        </w:tc>
        <w:tc>
          <w:tcPr>
            <w:tcW w:type="dxa" w:w="256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5–15</w:t>
            </w:r>
          </w:p>
        </w:tc>
      </w:tr>
      <w:tr>
        <w:tc>
          <w:tcPr>
            <w:tcW w:type="dxa" w:w="29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Equipment &amp; parts funnels</w:t>
            </w:r>
          </w:p>
        </w:tc>
        <w:tc>
          <w:tcPr>
            <w:tcW w:type="dxa" w:w="39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Bush Hog/Great Plains + parts intent</w:t>
            </w:r>
          </w:p>
        </w:tc>
        <w:tc>
          <w:tcPr>
            <w:tcW w:type="dxa" w:w="256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3–10</w:t>
            </w:r>
          </w:p>
        </w:tc>
      </w:tr>
      <w:tr>
        <w:tc>
          <w:tcPr>
            <w:tcW w:type="dxa" w:w="29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Resource + FAQ + local content</w:t>
            </w:r>
          </w:p>
        </w:tc>
        <w:tc>
          <w:tcPr>
            <w:tcW w:type="dxa" w:w="39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Top-of-funnel traffic → some quote/visit intent</w:t>
            </w:r>
          </w:p>
        </w:tc>
        <w:tc>
          <w:tcPr>
            <w:tcW w:type="dxa" w:w="256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3–8</w:t>
            </w:r>
          </w:p>
        </w:tc>
      </w:tr>
      <w:tr>
        <w:tc>
          <w:tcPr>
            <w:tcW w:type="dxa" w:w="29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Repeat / reorder</w:t>
            </w:r>
          </w:p>
        </w:tc>
        <w:tc>
          <w:tcPr>
            <w:tcW w:type="dxa" w:w="39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Existing customers using online reorder</w:t>
            </w:r>
          </w:p>
        </w:tc>
        <w:tc>
          <w:tcPr>
            <w:tcW w:type="dxa" w:w="256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varies</w:t>
            </w:r>
          </w:p>
        </w:tc>
      </w:tr>
    </w:tbl>
    <w:p>
      <w:pPr>
        <w:spacing w:after="20"/>
      </w:pPr>
    </w:p>
    <w:p>
      <w:pPr>
        <w:spacing w:after="100" w:before="0"/>
      </w:pPr>
      <w:r>
        <w:rPr>
          <w:rFonts w:ascii="Calibri" w:hAnsi="Calibri"/>
          <w:b w:val="0"/>
          <w:i w:val="0"/>
          <w:color w:val="5C574E"/>
          <w:sz w:val="19"/>
        </w:rPr>
        <w:t>If, for example, the site generated ~15–30 qualified quote requests per month and a portion closed at a typical agricultural order value, the annual revenue influence would be meaningful and compounding — but the exact numbers must come from the owner's real close rate and order values. Treat this as a range to validate, not a forecast.</w:t>
      </w:r>
    </w:p>
    <w:p>
      <w:pPr>
        <w:keepNext/>
        <w:spacing w:before="260" w:after="40"/>
        <w:outlineLvl w:val="0"/>
      </w:pPr>
      <w:r>
        <w:rPr>
          <w:rFonts w:ascii="Calibri" w:hAnsi="Calibri"/>
          <w:b/>
          <w:color w:val="B1761B"/>
          <w:sz w:val="30"/>
        </w:rPr>
        <w:t xml:space="preserve">10  </w:t>
      </w:r>
      <w:r>
        <w:rPr>
          <w:rFonts w:ascii="Calibri" w:hAnsi="Calibri"/>
          <w:b/>
          <w:color w:val="2F5D34"/>
          <w:sz w:val="30"/>
        </w:rPr>
        <w:t>Updated Roadmap to 100%</w:t>
      </w:r>
    </w:p>
    <w:p>
      <w:pPr>
        <w:spacing w:after="120" w:before="40"/>
        <w:pBdr>
          <w:bottom w:val="single" w:sz="11" w:space="1" w:color="B1761B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360"/>
        <w:tblBorders>
          <w:top w:val="single" w:sz="4" w:space="0" w:color="D8D0C0"/>
          <w:left w:val="single" w:sz="4" w:space="0" w:color="D8D0C0"/>
          <w:bottom w:val="single" w:sz="4" w:space="0" w:color="D8D0C0"/>
          <w:right w:val="single" w:sz="4" w:space="0" w:color="D8D0C0"/>
          <w:insideH w:val="single" w:sz="4" w:space="0" w:color="D8D0C0"/>
          <w:insideV w:val="single" w:sz="4" w:space="0" w:color="D8D0C0"/>
        </w:tblBorders>
      </w:tblPr>
      <w:tblGrid>
        <w:gridCol w:w="3000"/>
        <w:gridCol w:w="4100"/>
        <w:gridCol w:w="2260"/>
      </w:tblGrid>
      <w:tr>
        <w:tc>
          <w:tcPr>
            <w:tcW w:type="dxa" w:w="300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4100"/>
            <w:shd w:val="clear" w:color="auto" w:fill="2F5D34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Owner needs to provide</w:t>
            </w:r>
          </w:p>
        </w:tc>
        <w:tc>
          <w:tcPr>
            <w:tcW w:type="dxa" w:w="2260"/>
            <w:shd w:val="clear" w:color="auto" w:fill="2F5D34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Lifts completion to</w:t>
            </w:r>
          </w:p>
        </w:tc>
      </w:tr>
      <w:tr>
        <w:tc>
          <w:tcPr>
            <w:tcW w:type="dxa" w:w="30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Install real logo + favicon + OG</w:t>
            </w:r>
          </w:p>
        </w:tc>
        <w:tc>
          <w:tcPr>
            <w:tcW w:type="dxa" w:w="41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Logo original (vector) + brand colors</w:t>
            </w:r>
          </w:p>
        </w:tc>
        <w:tc>
          <w:tcPr>
            <w:tcW w:type="dxa" w:w="226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~93%</w:t>
            </w:r>
          </w:p>
        </w:tc>
      </w:tr>
      <w:tr>
        <w:tc>
          <w:tcPr>
            <w:tcW w:type="dxa" w:w="30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Add photography</w:t>
            </w:r>
          </w:p>
        </w:tc>
        <w:tc>
          <w:tcPr>
            <w:tcW w:type="dxa" w:w="41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Facility, trucks, equipment, bagging, staff</w:t>
            </w:r>
          </w:p>
        </w:tc>
        <w:tc>
          <w:tcPr>
            <w:tcW w:type="dxa" w:w="226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~97%</w:t>
            </w:r>
          </w:p>
        </w:tc>
      </w:tr>
      <w:tr>
        <w:tc>
          <w:tcPr>
            <w:tcW w:type="dxa" w:w="30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Confirm delivery + full catalog</w:t>
            </w:r>
          </w:p>
        </w:tc>
        <w:tc>
          <w:tcPr>
            <w:tcW w:type="dxa" w:w="41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Radius/states/minimums + SKU export</w:t>
            </w:r>
          </w:p>
        </w:tc>
        <w:tc>
          <w:tcPr>
            <w:tcW w:type="dxa" w:w="2260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~99%</w:t>
            </w:r>
          </w:p>
        </w:tc>
      </w:tr>
      <w:tr>
        <w:tc>
          <w:tcPr>
            <w:tcW w:type="dxa" w:w="30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Approve claims + reviews + expertise review</w:t>
            </w:r>
          </w:p>
        </w:tc>
        <w:tc>
          <w:tcPr>
            <w:tcW w:type="dxa" w:w="4100"/>
            <w:shd w:val="clear" w:color="auto" w:fill="F3F1E9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Sign-off + testimonials + guide review</w:t>
            </w:r>
          </w:p>
        </w:tc>
        <w:tc>
          <w:tcPr>
            <w:tcW w:type="dxa" w:w="2260"/>
            <w:shd w:val="clear" w:color="auto" w:fill="F3F1E9"/>
          </w:tcPr>
          <w:p>
            <w:pPr>
              <w:spacing w:after="20" w:before="20"/>
              <w:jc w:val="center"/>
            </w:pPr>
            <w:r>
              <w:rPr>
                <w:rFonts w:ascii="Calibri" w:hAnsi="Calibri"/>
                <w:b w:val="0"/>
                <w:color w:val="262421"/>
                <w:sz w:val="17"/>
              </w:rPr>
              <w:t>100%</w:t>
            </w:r>
          </w:p>
        </w:tc>
      </w:tr>
    </w:tbl>
    <w:p>
      <w:pPr>
        <w:spacing w:after="20"/>
      </w:pPr>
    </w:p>
    <w:p>
      <w:pPr>
        <w:spacing w:after="120" w:before="40"/>
        <w:pBdr>
          <w:bottom w:val="single" w:sz="12" w:space="1" w:color="B1761B"/>
        </w:pBdr>
      </w:pPr>
    </w:p>
    <w:p>
      <w:pPr>
        <w:spacing w:after="100" w:before="0"/>
        <w:jc w:val="center"/>
      </w:pPr>
      <w:r>
        <w:rPr>
          <w:rFonts w:ascii="Calibri" w:hAnsi="Calibri"/>
          <w:b w:val="0"/>
          <w:i/>
          <w:color w:val="5C574E"/>
          <w:sz w:val="18"/>
        </w:rPr>
        <w:t>Phase 3 complete: staging content completion raised from 62% to ~90% using verified industry knowledge, with business facts kept factual and no fabrication, no chemical rates, and no delivery-radius claims. The final 10% is owner assets only.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6" w:lineRule="auto"/>
    </w:pPr>
    <w:rPr>
      <w:rFonts w:ascii="Calibri" w:hAnsi="Calibri"/>
      <w:color w:val="2624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