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0" w:before="0"/>
        <w:jc w:val="center"/>
      </w:pPr>
      <w:r>
        <w:rPr>
          <w:rFonts w:ascii="Calibri" w:hAnsi="Calibri"/>
          <w:b/>
          <w:i w:val="0"/>
          <w:color w:val="2F5D34"/>
          <w:sz w:val="48"/>
        </w:rPr>
        <w:t>RODGERS FERTILIZER</w:t>
      </w:r>
    </w:p>
    <w:p>
      <w:pPr>
        <w:spacing w:after="40" w:before="0"/>
        <w:jc w:val="center"/>
      </w:pPr>
      <w:r>
        <w:rPr>
          <w:rFonts w:ascii="Calibri" w:hAnsi="Calibri"/>
          <w:b w:val="0"/>
          <w:i/>
          <w:color w:val="33312D"/>
          <w:sz w:val="28"/>
        </w:rPr>
        <w:t>Phase 4 — Conversion &amp; Revenue Architecture</w:t>
      </w:r>
    </w:p>
    <w:p>
      <w:pPr>
        <w:spacing w:after="200" w:before="0"/>
        <w:jc w:val="center"/>
      </w:pPr>
      <w:r>
        <w:rPr>
          <w:rFonts w:ascii="Calibri" w:hAnsi="Calibri"/>
          <w:b w:val="0"/>
          <w:i w:val="0"/>
          <w:color w:val="5C574E"/>
          <w:sz w:val="21"/>
        </w:rPr>
        <w:t>From SEO asset to lead-generation machine · includes the Sales Enablement Playbook</w:t>
      </w:r>
    </w:p>
    <w:p>
      <w:pPr>
        <w:spacing w:after="120" w:before="40"/>
        <w:pBdr>
          <w:bottom w:val="single" w:sz="12" w:space="1" w:color="B1761B"/>
        </w:pBdr>
      </w:pPr>
    </w:p>
    <w:p>
      <w:pPr>
        <w:spacing w:after="120" w:before="0"/>
      </w:pPr>
      <w:r>
        <w:rPr>
          <w:rFonts w:ascii="Calibri" w:hAnsi="Calibri"/>
          <w:b w:val="0"/>
          <w:i w:val="0"/>
          <w:color w:val="262421"/>
          <w:sz w:val="21"/>
        </w:rPr>
        <w:t>Objective: maximize revenue per visitor. This phase audits every route for conversion, defines five revenue funnels, redesigns lead capture around what sales actually needs, and adds automatic lead classification so no high-value inquiry gets treated like a tire-kicker. Conversion machinery is built into the staging app; the sales playbook is ready to use.</w:t>
      </w:r>
    </w:p>
    <w:p>
      <w:pPr>
        <w:keepNext/>
        <w:spacing w:before="260" w:after="40"/>
        <w:outlineLvl w:val="0"/>
      </w:pPr>
      <w:r>
        <w:rPr>
          <w:rFonts w:ascii="Calibri" w:hAnsi="Calibri"/>
          <w:b/>
          <w:color w:val="B1761B"/>
          <w:sz w:val="30"/>
        </w:rPr>
        <w:t xml:space="preserve">1  </w:t>
      </w:r>
      <w:r>
        <w:rPr>
          <w:rFonts w:ascii="Calibri" w:hAnsi="Calibri"/>
          <w:b/>
          <w:color w:val="2F5D34"/>
          <w:sz w:val="30"/>
        </w:rPr>
        <w:t>Conversion Audit (by route)</w:t>
      </w:r>
    </w:p>
    <w:p>
      <w:pPr>
        <w:spacing w:after="120" w:before="40"/>
        <w:pBdr>
          <w:bottom w:val="single" w:sz="11" w:space="1" w:color="B1761B"/>
        </w:pBdr>
      </w:pPr>
    </w:p>
    <w:p>
      <w:pPr>
        <w:spacing w:after="80" w:before="0"/>
      </w:pPr>
      <w:r>
        <w:rPr>
          <w:rFonts w:ascii="Calibri" w:hAnsi="Calibri"/>
          <w:b w:val="0"/>
          <w:i/>
          <w:color w:val="5C574E"/>
          <w:sz w:val="19"/>
        </w:rPr>
        <w:t>Scores 1–10 (10 = best). Primary goal per route with CTA / Trust / Friction (lower is better) / Lead-capture scores. Reflects the build after Phase 4 machinery.</w:t>
      </w:r>
    </w:p>
    <w:tbl>
      <w:tblPr>
        <w:tblW w:type="auto" w:w="0"/>
        <w:jc w:val="center"/>
        <w:tblLayout w:type="fixed"/>
        <w:tblLook w:firstColumn="1" w:firstRow="1" w:lastColumn="0" w:lastRow="0" w:noHBand="0" w:noVBand="1" w:val="04A0"/>
        <w:tblW w:type="dxa" w:w="7590"/>
        <w:tblBorders>
          <w:top w:val="single" w:sz="4" w:space="0" w:color="D8D0C0"/>
          <w:left w:val="single" w:sz="4" w:space="0" w:color="D8D0C0"/>
          <w:bottom w:val="single" w:sz="4" w:space="0" w:color="D8D0C0"/>
          <w:right w:val="single" w:sz="4" w:space="0" w:color="D8D0C0"/>
          <w:insideH w:val="single" w:sz="4" w:space="0" w:color="D8D0C0"/>
          <w:insideV w:val="single" w:sz="4" w:space="0" w:color="D8D0C0"/>
        </w:tblBorders>
      </w:tblPr>
      <w:tblGrid>
        <w:gridCol w:w="2450"/>
        <w:gridCol w:w="2100"/>
        <w:gridCol w:w="760"/>
        <w:gridCol w:w="760"/>
        <w:gridCol w:w="760"/>
        <w:gridCol w:w="760"/>
      </w:tblGrid>
      <w:tr>
        <w:tc>
          <w:tcPr>
            <w:tcW w:type="dxa" w:w="2450"/>
            <w:shd w:val="clear" w:color="auto" w:fill="2F5D34"/>
          </w:tcPr>
          <w:p>
            <w:pPr>
              <w:spacing w:after="20" w:before="20"/>
            </w:pPr>
            <w:r>
              <w:rPr>
                <w:rFonts w:ascii="Calibri" w:hAnsi="Calibri"/>
                <w:b/>
                <w:color w:val="FFFFFF"/>
                <w:sz w:val="18"/>
              </w:rPr>
              <w:t>Route</w:t>
            </w:r>
          </w:p>
        </w:tc>
        <w:tc>
          <w:tcPr>
            <w:tcW w:type="dxa" w:w="2100"/>
            <w:shd w:val="clear" w:color="auto" w:fill="2F5D34"/>
          </w:tcPr>
          <w:p>
            <w:pPr>
              <w:spacing w:after="20" w:before="20"/>
            </w:pPr>
            <w:r>
              <w:rPr>
                <w:rFonts w:ascii="Calibri" w:hAnsi="Calibri"/>
                <w:b/>
                <w:color w:val="FFFFFF"/>
                <w:sz w:val="18"/>
              </w:rPr>
              <w:t>Primary goal</w:t>
            </w:r>
          </w:p>
        </w:tc>
        <w:tc>
          <w:tcPr>
            <w:tcW w:type="dxa" w:w="760"/>
            <w:shd w:val="clear" w:color="auto" w:fill="2F5D34"/>
          </w:tcPr>
          <w:p>
            <w:pPr>
              <w:spacing w:after="20" w:before="20"/>
              <w:jc w:val="center"/>
            </w:pPr>
            <w:r>
              <w:rPr>
                <w:rFonts w:ascii="Calibri" w:hAnsi="Calibri"/>
                <w:b/>
                <w:color w:val="FFFFFF"/>
                <w:sz w:val="18"/>
              </w:rPr>
              <w:t>CTA</w:t>
            </w:r>
          </w:p>
        </w:tc>
        <w:tc>
          <w:tcPr>
            <w:tcW w:type="dxa" w:w="760"/>
            <w:shd w:val="clear" w:color="auto" w:fill="2F5D34"/>
          </w:tcPr>
          <w:p>
            <w:pPr>
              <w:spacing w:after="20" w:before="20"/>
              <w:jc w:val="center"/>
            </w:pPr>
            <w:r>
              <w:rPr>
                <w:rFonts w:ascii="Calibri" w:hAnsi="Calibri"/>
                <w:b/>
                <w:color w:val="FFFFFF"/>
                <w:sz w:val="18"/>
              </w:rPr>
              <w:t>Trust</w:t>
            </w:r>
          </w:p>
        </w:tc>
        <w:tc>
          <w:tcPr>
            <w:tcW w:type="dxa" w:w="760"/>
            <w:shd w:val="clear" w:color="auto" w:fill="2F5D34"/>
          </w:tcPr>
          <w:p>
            <w:pPr>
              <w:spacing w:after="20" w:before="20"/>
              <w:jc w:val="center"/>
            </w:pPr>
            <w:r>
              <w:rPr>
                <w:rFonts w:ascii="Calibri" w:hAnsi="Calibri"/>
                <w:b/>
                <w:color w:val="FFFFFF"/>
                <w:sz w:val="18"/>
              </w:rPr>
              <w:t>Fric.</w:t>
            </w:r>
          </w:p>
        </w:tc>
        <w:tc>
          <w:tcPr>
            <w:tcW w:type="dxa" w:w="760"/>
            <w:shd w:val="clear" w:color="auto" w:fill="2F5D34"/>
          </w:tcPr>
          <w:p>
            <w:pPr>
              <w:spacing w:after="20" w:before="20"/>
              <w:jc w:val="center"/>
            </w:pPr>
            <w:r>
              <w:rPr>
                <w:rFonts w:ascii="Calibri" w:hAnsi="Calibri"/>
                <w:b/>
                <w:color w:val="FFFFFF"/>
                <w:sz w:val="18"/>
              </w:rPr>
              <w:t>Lead</w:t>
            </w:r>
          </w:p>
        </w:tc>
      </w:tr>
      <w:tr>
        <w:tc>
          <w:tcPr>
            <w:tcW w:type="dxa" w:w="2450"/>
          </w:tcPr>
          <w:p>
            <w:pPr>
              <w:spacing w:after="20" w:before="20"/>
            </w:pPr>
            <w:r>
              <w:rPr>
                <w:rFonts w:ascii="Calibri" w:hAnsi="Calibri"/>
                <w:b w:val="0"/>
                <w:color w:val="262421"/>
                <w:sz w:val="17"/>
              </w:rPr>
              <w:t>Home</w:t>
            </w:r>
          </w:p>
        </w:tc>
        <w:tc>
          <w:tcPr>
            <w:tcW w:type="dxa" w:w="2100"/>
          </w:tcPr>
          <w:p>
            <w:pPr>
              <w:spacing w:after="20" w:before="20"/>
            </w:pPr>
            <w:r>
              <w:rPr>
                <w:rFonts w:ascii="Calibri" w:hAnsi="Calibri"/>
                <w:b w:val="0"/>
                <w:color w:val="262421"/>
                <w:sz w:val="17"/>
              </w:rPr>
              <w:t>Route to a funnel / call</w:t>
            </w:r>
          </w:p>
        </w:tc>
        <w:tc>
          <w:tcPr>
            <w:tcW w:type="dxa" w:w="760"/>
          </w:tcPr>
          <w:p>
            <w:pPr>
              <w:spacing w:after="20" w:before="20"/>
              <w:jc w:val="center"/>
            </w:pPr>
            <w:r>
              <w:rPr>
                <w:rFonts w:ascii="Calibri" w:hAnsi="Calibri"/>
                <w:b w:val="0"/>
                <w:color w:val="262421"/>
                <w:sz w:val="17"/>
              </w:rPr>
              <w:t>9</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3</w:t>
            </w:r>
          </w:p>
        </w:tc>
        <w:tc>
          <w:tcPr>
            <w:tcW w:type="dxa" w:w="760"/>
          </w:tcPr>
          <w:p>
            <w:pPr>
              <w:spacing w:after="20" w:before="20"/>
              <w:jc w:val="center"/>
            </w:pPr>
            <w:r>
              <w:rPr>
                <w:rFonts w:ascii="Calibri" w:hAnsi="Calibri"/>
                <w:b w:val="0"/>
                <w:color w:val="262421"/>
                <w:sz w:val="17"/>
              </w:rPr>
              <w:t>8</w:t>
            </w:r>
          </w:p>
        </w:tc>
      </w:tr>
      <w:tr>
        <w:tc>
          <w:tcPr>
            <w:tcW w:type="dxa" w:w="2450"/>
            <w:shd w:val="clear" w:color="auto" w:fill="F3F1E9"/>
          </w:tcPr>
          <w:p>
            <w:pPr>
              <w:spacing w:after="20" w:before="20"/>
            </w:pPr>
            <w:r>
              <w:rPr>
                <w:rFonts w:ascii="Calibri" w:hAnsi="Calibri"/>
                <w:b w:val="0"/>
                <w:color w:val="262421"/>
                <w:sz w:val="17"/>
              </w:rPr>
              <w:t>/fertilizer + custom-blends</w:t>
            </w:r>
          </w:p>
        </w:tc>
        <w:tc>
          <w:tcPr>
            <w:tcW w:type="dxa" w:w="2100"/>
            <w:shd w:val="clear" w:color="auto" w:fill="F3F1E9"/>
          </w:tcPr>
          <w:p>
            <w:pPr>
              <w:spacing w:after="20" w:before="20"/>
            </w:pPr>
            <w:r>
              <w:rPr>
                <w:rFonts w:ascii="Calibri" w:hAnsi="Calibri"/>
                <w:b w:val="0"/>
                <w:color w:val="262421"/>
                <w:sz w:val="17"/>
              </w:rPr>
              <w:t>Fertilizer quote</w:t>
            </w:r>
          </w:p>
        </w:tc>
        <w:tc>
          <w:tcPr>
            <w:tcW w:type="dxa" w:w="760"/>
            <w:shd w:val="clear" w:color="auto" w:fill="F3F1E9"/>
          </w:tcPr>
          <w:p>
            <w:pPr>
              <w:spacing w:after="20" w:before="20"/>
              <w:jc w:val="center"/>
            </w:pPr>
            <w:r>
              <w:rPr>
                <w:rFonts w:ascii="Calibri" w:hAnsi="Calibri"/>
                <w:b w:val="0"/>
                <w:color w:val="262421"/>
                <w:sz w:val="17"/>
              </w:rPr>
              <w:t>9</w:t>
            </w:r>
          </w:p>
        </w:tc>
        <w:tc>
          <w:tcPr>
            <w:tcW w:type="dxa" w:w="760"/>
            <w:shd w:val="clear" w:color="auto" w:fill="F3F1E9"/>
          </w:tcPr>
          <w:p>
            <w:pPr>
              <w:spacing w:after="20" w:before="20"/>
              <w:jc w:val="center"/>
            </w:pPr>
            <w:r>
              <w:rPr>
                <w:rFonts w:ascii="Calibri" w:hAnsi="Calibri"/>
                <w:b w:val="0"/>
                <w:color w:val="262421"/>
                <w:sz w:val="17"/>
              </w:rPr>
              <w:t>7</w:t>
            </w:r>
          </w:p>
        </w:tc>
        <w:tc>
          <w:tcPr>
            <w:tcW w:type="dxa" w:w="760"/>
            <w:shd w:val="clear" w:color="auto" w:fill="F3F1E9"/>
          </w:tcPr>
          <w:p>
            <w:pPr>
              <w:spacing w:after="20" w:before="20"/>
              <w:jc w:val="center"/>
            </w:pPr>
            <w:r>
              <w:rPr>
                <w:rFonts w:ascii="Calibri" w:hAnsi="Calibri"/>
                <w:b w:val="0"/>
                <w:color w:val="262421"/>
                <w:sz w:val="17"/>
              </w:rPr>
              <w:t>3</w:t>
            </w:r>
          </w:p>
        </w:tc>
        <w:tc>
          <w:tcPr>
            <w:tcW w:type="dxa" w:w="760"/>
            <w:shd w:val="clear" w:color="auto" w:fill="F3F1E9"/>
          </w:tcPr>
          <w:p>
            <w:pPr>
              <w:spacing w:after="20" w:before="20"/>
              <w:jc w:val="center"/>
            </w:pPr>
            <w:r>
              <w:rPr>
                <w:rFonts w:ascii="Calibri" w:hAnsi="Calibri"/>
                <w:b w:val="0"/>
                <w:color w:val="262421"/>
                <w:sz w:val="17"/>
              </w:rPr>
              <w:t>9</w:t>
            </w:r>
          </w:p>
        </w:tc>
      </w:tr>
      <w:tr>
        <w:tc>
          <w:tcPr>
            <w:tcW w:type="dxa" w:w="2450"/>
          </w:tcPr>
          <w:p>
            <w:pPr>
              <w:spacing w:after="20" w:before="20"/>
            </w:pPr>
            <w:r>
              <w:rPr>
                <w:rFonts w:ascii="Calibri" w:hAnsi="Calibri"/>
                <w:b w:val="0"/>
                <w:color w:val="262421"/>
                <w:sz w:val="17"/>
              </w:rPr>
              <w:t>/fertilizer/bulk, totes</w:t>
            </w:r>
          </w:p>
        </w:tc>
        <w:tc>
          <w:tcPr>
            <w:tcW w:type="dxa" w:w="2100"/>
          </w:tcPr>
          <w:p>
            <w:pPr>
              <w:spacing w:after="20" w:before="20"/>
            </w:pPr>
            <w:r>
              <w:rPr>
                <w:rFonts w:ascii="Calibri" w:hAnsi="Calibri"/>
                <w:b w:val="0"/>
                <w:color w:val="262421"/>
                <w:sz w:val="17"/>
              </w:rPr>
              <w:t>Volume quote</w:t>
            </w:r>
          </w:p>
        </w:tc>
        <w:tc>
          <w:tcPr>
            <w:tcW w:type="dxa" w:w="760"/>
          </w:tcPr>
          <w:p>
            <w:pPr>
              <w:spacing w:after="20" w:before="20"/>
              <w:jc w:val="center"/>
            </w:pPr>
            <w:r>
              <w:rPr>
                <w:rFonts w:ascii="Calibri" w:hAnsi="Calibri"/>
                <w:b w:val="0"/>
                <w:color w:val="262421"/>
                <w:sz w:val="17"/>
              </w:rPr>
              <w:t>9</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3</w:t>
            </w:r>
          </w:p>
        </w:tc>
        <w:tc>
          <w:tcPr>
            <w:tcW w:type="dxa" w:w="760"/>
          </w:tcPr>
          <w:p>
            <w:pPr>
              <w:spacing w:after="20" w:before="20"/>
              <w:jc w:val="center"/>
            </w:pPr>
            <w:r>
              <w:rPr>
                <w:rFonts w:ascii="Calibri" w:hAnsi="Calibri"/>
                <w:b w:val="0"/>
                <w:color w:val="262421"/>
                <w:sz w:val="17"/>
              </w:rPr>
              <w:t>9</w:t>
            </w:r>
          </w:p>
        </w:tc>
      </w:tr>
      <w:tr>
        <w:tc>
          <w:tcPr>
            <w:tcW w:type="dxa" w:w="2450"/>
            <w:shd w:val="clear" w:color="auto" w:fill="F3F1E9"/>
          </w:tcPr>
          <w:p>
            <w:pPr>
              <w:spacing w:after="20" w:before="20"/>
            </w:pPr>
            <w:r>
              <w:rPr>
                <w:rFonts w:ascii="Calibri" w:hAnsi="Calibri"/>
                <w:b w:val="0"/>
                <w:color w:val="262421"/>
                <w:sz w:val="17"/>
              </w:rPr>
              <w:t>/delivery/*</w:t>
            </w:r>
          </w:p>
        </w:tc>
        <w:tc>
          <w:tcPr>
            <w:tcW w:type="dxa" w:w="2100"/>
            <w:shd w:val="clear" w:color="auto" w:fill="F3F1E9"/>
          </w:tcPr>
          <w:p>
            <w:pPr>
              <w:spacing w:after="20" w:before="20"/>
            </w:pPr>
            <w:r>
              <w:rPr>
                <w:rFonts w:ascii="Calibri" w:hAnsi="Calibri"/>
                <w:b w:val="0"/>
                <w:color w:val="262421"/>
                <w:sz w:val="17"/>
              </w:rPr>
              <w:t>Delivery request</w:t>
            </w:r>
          </w:p>
        </w:tc>
        <w:tc>
          <w:tcPr>
            <w:tcW w:type="dxa" w:w="760"/>
            <w:shd w:val="clear" w:color="auto" w:fill="F3F1E9"/>
          </w:tcPr>
          <w:p>
            <w:pPr>
              <w:spacing w:after="20" w:before="20"/>
              <w:jc w:val="center"/>
            </w:pPr>
            <w:r>
              <w:rPr>
                <w:rFonts w:ascii="Calibri" w:hAnsi="Calibri"/>
                <w:b w:val="0"/>
                <w:color w:val="262421"/>
                <w:sz w:val="17"/>
              </w:rPr>
              <w:t>8</w:t>
            </w:r>
          </w:p>
        </w:tc>
        <w:tc>
          <w:tcPr>
            <w:tcW w:type="dxa" w:w="760"/>
            <w:shd w:val="clear" w:color="auto" w:fill="F3F1E9"/>
          </w:tcPr>
          <w:p>
            <w:pPr>
              <w:spacing w:after="20" w:before="20"/>
              <w:jc w:val="center"/>
            </w:pPr>
            <w:r>
              <w:rPr>
                <w:rFonts w:ascii="Calibri" w:hAnsi="Calibri"/>
                <w:b w:val="0"/>
                <w:color w:val="262421"/>
                <w:sz w:val="17"/>
              </w:rPr>
              <w:t>7</w:t>
            </w:r>
          </w:p>
        </w:tc>
        <w:tc>
          <w:tcPr>
            <w:tcW w:type="dxa" w:w="760"/>
            <w:shd w:val="clear" w:color="auto" w:fill="F3F1E9"/>
          </w:tcPr>
          <w:p>
            <w:pPr>
              <w:spacing w:after="20" w:before="20"/>
              <w:jc w:val="center"/>
            </w:pPr>
            <w:r>
              <w:rPr>
                <w:rFonts w:ascii="Calibri" w:hAnsi="Calibri"/>
                <w:b w:val="0"/>
                <w:color w:val="262421"/>
                <w:sz w:val="17"/>
              </w:rPr>
              <w:t>4</w:t>
            </w:r>
          </w:p>
        </w:tc>
        <w:tc>
          <w:tcPr>
            <w:tcW w:type="dxa" w:w="760"/>
            <w:shd w:val="clear" w:color="auto" w:fill="F3F1E9"/>
          </w:tcPr>
          <w:p>
            <w:pPr>
              <w:spacing w:after="20" w:before="20"/>
              <w:jc w:val="center"/>
            </w:pPr>
            <w:r>
              <w:rPr>
                <w:rFonts w:ascii="Calibri" w:hAnsi="Calibri"/>
                <w:b w:val="0"/>
                <w:color w:val="262421"/>
                <w:sz w:val="17"/>
              </w:rPr>
              <w:t>8</w:t>
            </w:r>
          </w:p>
        </w:tc>
      </w:tr>
      <w:tr>
        <w:tc>
          <w:tcPr>
            <w:tcW w:type="dxa" w:w="2450"/>
          </w:tcPr>
          <w:p>
            <w:pPr>
              <w:spacing w:after="20" w:before="20"/>
            </w:pPr>
            <w:r>
              <w:rPr>
                <w:rFonts w:ascii="Calibri" w:hAnsi="Calibri"/>
                <w:b w:val="0"/>
                <w:color w:val="262421"/>
                <w:sz w:val="17"/>
              </w:rPr>
              <w:t>/equipment + rotary-cutters</w:t>
            </w:r>
          </w:p>
        </w:tc>
        <w:tc>
          <w:tcPr>
            <w:tcW w:type="dxa" w:w="2100"/>
          </w:tcPr>
          <w:p>
            <w:pPr>
              <w:spacing w:after="20" w:before="20"/>
            </w:pPr>
            <w:r>
              <w:rPr>
                <w:rFonts w:ascii="Calibri" w:hAnsi="Calibri"/>
                <w:b w:val="0"/>
                <w:color w:val="262421"/>
                <w:sz w:val="17"/>
              </w:rPr>
              <w:t>Equipment inquiry</w:t>
            </w:r>
          </w:p>
        </w:tc>
        <w:tc>
          <w:tcPr>
            <w:tcW w:type="dxa" w:w="760"/>
          </w:tcPr>
          <w:p>
            <w:pPr>
              <w:spacing w:after="20" w:before="20"/>
              <w:jc w:val="center"/>
            </w:pPr>
            <w:r>
              <w:rPr>
                <w:rFonts w:ascii="Calibri" w:hAnsi="Calibri"/>
                <w:b w:val="0"/>
                <w:color w:val="262421"/>
                <w:sz w:val="17"/>
              </w:rPr>
              <w:t>8</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4</w:t>
            </w:r>
          </w:p>
        </w:tc>
        <w:tc>
          <w:tcPr>
            <w:tcW w:type="dxa" w:w="760"/>
          </w:tcPr>
          <w:p>
            <w:pPr>
              <w:spacing w:after="20" w:before="20"/>
              <w:jc w:val="center"/>
            </w:pPr>
            <w:r>
              <w:rPr>
                <w:rFonts w:ascii="Calibri" w:hAnsi="Calibri"/>
                <w:b w:val="0"/>
                <w:color w:val="262421"/>
                <w:sz w:val="17"/>
              </w:rPr>
              <w:t>8</w:t>
            </w:r>
          </w:p>
        </w:tc>
      </w:tr>
      <w:tr>
        <w:tc>
          <w:tcPr>
            <w:tcW w:type="dxa" w:w="2450"/>
            <w:shd w:val="clear" w:color="auto" w:fill="F3F1E9"/>
          </w:tcPr>
          <w:p>
            <w:pPr>
              <w:spacing w:after="20" w:before="20"/>
            </w:pPr>
            <w:r>
              <w:rPr>
                <w:rFonts w:ascii="Calibri" w:hAnsi="Calibri"/>
                <w:b w:val="0"/>
                <w:color w:val="262421"/>
                <w:sz w:val="17"/>
              </w:rPr>
              <w:t>/parts + request-a-part</w:t>
            </w:r>
          </w:p>
        </w:tc>
        <w:tc>
          <w:tcPr>
            <w:tcW w:type="dxa" w:w="2100"/>
            <w:shd w:val="clear" w:color="auto" w:fill="F3F1E9"/>
          </w:tcPr>
          <w:p>
            <w:pPr>
              <w:spacing w:after="20" w:before="20"/>
            </w:pPr>
            <w:r>
              <w:rPr>
                <w:rFonts w:ascii="Calibri" w:hAnsi="Calibri"/>
                <w:b w:val="0"/>
                <w:color w:val="262421"/>
                <w:sz w:val="17"/>
              </w:rPr>
              <w:t>Parts request (photo)</w:t>
            </w:r>
          </w:p>
        </w:tc>
        <w:tc>
          <w:tcPr>
            <w:tcW w:type="dxa" w:w="760"/>
            <w:shd w:val="clear" w:color="auto" w:fill="F3F1E9"/>
          </w:tcPr>
          <w:p>
            <w:pPr>
              <w:spacing w:after="20" w:before="20"/>
              <w:jc w:val="center"/>
            </w:pPr>
            <w:r>
              <w:rPr>
                <w:rFonts w:ascii="Calibri" w:hAnsi="Calibri"/>
                <w:b w:val="0"/>
                <w:color w:val="262421"/>
                <w:sz w:val="17"/>
              </w:rPr>
              <w:t>8</w:t>
            </w:r>
          </w:p>
        </w:tc>
        <w:tc>
          <w:tcPr>
            <w:tcW w:type="dxa" w:w="760"/>
            <w:shd w:val="clear" w:color="auto" w:fill="F3F1E9"/>
          </w:tcPr>
          <w:p>
            <w:pPr>
              <w:spacing w:after="20" w:before="20"/>
              <w:jc w:val="center"/>
            </w:pPr>
            <w:r>
              <w:rPr>
                <w:rFonts w:ascii="Calibri" w:hAnsi="Calibri"/>
                <w:b w:val="0"/>
                <w:color w:val="262421"/>
                <w:sz w:val="17"/>
              </w:rPr>
              <w:t>6</w:t>
            </w:r>
          </w:p>
        </w:tc>
        <w:tc>
          <w:tcPr>
            <w:tcW w:type="dxa" w:w="760"/>
            <w:shd w:val="clear" w:color="auto" w:fill="F3F1E9"/>
          </w:tcPr>
          <w:p>
            <w:pPr>
              <w:spacing w:after="20" w:before="20"/>
              <w:jc w:val="center"/>
            </w:pPr>
            <w:r>
              <w:rPr>
                <w:rFonts w:ascii="Calibri" w:hAnsi="Calibri"/>
                <w:b w:val="0"/>
                <w:color w:val="262421"/>
                <w:sz w:val="17"/>
              </w:rPr>
              <w:t>4</w:t>
            </w:r>
          </w:p>
        </w:tc>
        <w:tc>
          <w:tcPr>
            <w:tcW w:type="dxa" w:w="760"/>
            <w:shd w:val="clear" w:color="auto" w:fill="F3F1E9"/>
          </w:tcPr>
          <w:p>
            <w:pPr>
              <w:spacing w:after="20" w:before="20"/>
              <w:jc w:val="center"/>
            </w:pPr>
            <w:r>
              <w:rPr>
                <w:rFonts w:ascii="Calibri" w:hAnsi="Calibri"/>
                <w:b w:val="0"/>
                <w:color w:val="262421"/>
                <w:sz w:val="17"/>
              </w:rPr>
              <w:t>9</w:t>
            </w:r>
          </w:p>
        </w:tc>
      </w:tr>
      <w:tr>
        <w:tc>
          <w:tcPr>
            <w:tcW w:type="dxa" w:w="2450"/>
          </w:tcPr>
          <w:p>
            <w:pPr>
              <w:spacing w:after="20" w:before="20"/>
            </w:pPr>
            <w:r>
              <w:rPr>
                <w:rFonts w:ascii="Calibri" w:hAnsi="Calibri"/>
                <w:b w:val="0"/>
                <w:color w:val="262421"/>
                <w:sz w:val="17"/>
              </w:rPr>
              <w:t>/seed-farm-supplies/*</w:t>
            </w:r>
          </w:p>
        </w:tc>
        <w:tc>
          <w:tcPr>
            <w:tcW w:type="dxa" w:w="2100"/>
          </w:tcPr>
          <w:p>
            <w:pPr>
              <w:spacing w:after="20" w:before="20"/>
            </w:pPr>
            <w:r>
              <w:rPr>
                <w:rFonts w:ascii="Calibri" w:hAnsi="Calibri"/>
                <w:b w:val="0"/>
                <w:color w:val="262421"/>
                <w:sz w:val="17"/>
              </w:rPr>
              <w:t>Availability / call</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6</w:t>
            </w:r>
          </w:p>
        </w:tc>
        <w:tc>
          <w:tcPr>
            <w:tcW w:type="dxa" w:w="760"/>
          </w:tcPr>
          <w:p>
            <w:pPr>
              <w:spacing w:after="20" w:before="20"/>
              <w:jc w:val="center"/>
            </w:pPr>
            <w:r>
              <w:rPr>
                <w:rFonts w:ascii="Calibri" w:hAnsi="Calibri"/>
                <w:b w:val="0"/>
                <w:color w:val="262421"/>
                <w:sz w:val="17"/>
              </w:rPr>
              <w:t>4</w:t>
            </w:r>
          </w:p>
        </w:tc>
        <w:tc>
          <w:tcPr>
            <w:tcW w:type="dxa" w:w="760"/>
          </w:tcPr>
          <w:p>
            <w:pPr>
              <w:spacing w:after="20" w:before="20"/>
              <w:jc w:val="center"/>
            </w:pPr>
            <w:r>
              <w:rPr>
                <w:rFonts w:ascii="Calibri" w:hAnsi="Calibri"/>
                <w:b w:val="0"/>
                <w:color w:val="262421"/>
                <w:sz w:val="17"/>
              </w:rPr>
              <w:t>6</w:t>
            </w:r>
          </w:p>
        </w:tc>
      </w:tr>
      <w:tr>
        <w:tc>
          <w:tcPr>
            <w:tcW w:type="dxa" w:w="2450"/>
            <w:shd w:val="clear" w:color="auto" w:fill="F3F1E9"/>
          </w:tcPr>
          <w:p>
            <w:pPr>
              <w:spacing w:after="20" w:before="20"/>
            </w:pPr>
            <w:r>
              <w:rPr>
                <w:rFonts w:ascii="Calibri" w:hAnsi="Calibri"/>
                <w:b w:val="0"/>
                <w:color w:val="262421"/>
                <w:sz w:val="17"/>
              </w:rPr>
              <w:t>/resources/* (guides)</w:t>
            </w:r>
          </w:p>
        </w:tc>
        <w:tc>
          <w:tcPr>
            <w:tcW w:type="dxa" w:w="2100"/>
            <w:shd w:val="clear" w:color="auto" w:fill="F3F1E9"/>
          </w:tcPr>
          <w:p>
            <w:pPr>
              <w:spacing w:after="20" w:before="20"/>
            </w:pPr>
            <w:r>
              <w:rPr>
                <w:rFonts w:ascii="Calibri" w:hAnsi="Calibri"/>
                <w:b w:val="0"/>
                <w:color w:val="262421"/>
                <w:sz w:val="17"/>
              </w:rPr>
              <w:t>Assist → quote</w:t>
            </w:r>
          </w:p>
        </w:tc>
        <w:tc>
          <w:tcPr>
            <w:tcW w:type="dxa" w:w="760"/>
            <w:shd w:val="clear" w:color="auto" w:fill="F3F1E9"/>
          </w:tcPr>
          <w:p>
            <w:pPr>
              <w:spacing w:after="20" w:before="20"/>
              <w:jc w:val="center"/>
            </w:pPr>
            <w:r>
              <w:rPr>
                <w:rFonts w:ascii="Calibri" w:hAnsi="Calibri"/>
                <w:b w:val="0"/>
                <w:color w:val="262421"/>
                <w:sz w:val="17"/>
              </w:rPr>
              <w:t>7</w:t>
            </w:r>
          </w:p>
        </w:tc>
        <w:tc>
          <w:tcPr>
            <w:tcW w:type="dxa" w:w="760"/>
            <w:shd w:val="clear" w:color="auto" w:fill="F3F1E9"/>
          </w:tcPr>
          <w:p>
            <w:pPr>
              <w:spacing w:after="20" w:before="20"/>
              <w:jc w:val="center"/>
            </w:pPr>
            <w:r>
              <w:rPr>
                <w:rFonts w:ascii="Calibri" w:hAnsi="Calibri"/>
                <w:b w:val="0"/>
                <w:color w:val="262421"/>
                <w:sz w:val="17"/>
              </w:rPr>
              <w:t>8</w:t>
            </w:r>
          </w:p>
        </w:tc>
        <w:tc>
          <w:tcPr>
            <w:tcW w:type="dxa" w:w="760"/>
            <w:shd w:val="clear" w:color="auto" w:fill="F3F1E9"/>
          </w:tcPr>
          <w:p>
            <w:pPr>
              <w:spacing w:after="20" w:before="20"/>
              <w:jc w:val="center"/>
            </w:pPr>
            <w:r>
              <w:rPr>
                <w:rFonts w:ascii="Calibri" w:hAnsi="Calibri"/>
                <w:b w:val="0"/>
                <w:color w:val="262421"/>
                <w:sz w:val="17"/>
              </w:rPr>
              <w:t>3</w:t>
            </w:r>
          </w:p>
        </w:tc>
        <w:tc>
          <w:tcPr>
            <w:tcW w:type="dxa" w:w="760"/>
            <w:shd w:val="clear" w:color="auto" w:fill="F3F1E9"/>
          </w:tcPr>
          <w:p>
            <w:pPr>
              <w:spacing w:after="20" w:before="20"/>
              <w:jc w:val="center"/>
            </w:pPr>
            <w:r>
              <w:rPr>
                <w:rFonts w:ascii="Calibri" w:hAnsi="Calibri"/>
                <w:b w:val="0"/>
                <w:color w:val="262421"/>
                <w:sz w:val="17"/>
              </w:rPr>
              <w:t>6</w:t>
            </w:r>
          </w:p>
        </w:tc>
      </w:tr>
      <w:tr>
        <w:tc>
          <w:tcPr>
            <w:tcW w:type="dxa" w:w="2450"/>
          </w:tcPr>
          <w:p>
            <w:pPr>
              <w:spacing w:after="20" w:before="20"/>
            </w:pPr>
            <w:r>
              <w:rPr>
                <w:rFonts w:ascii="Calibri" w:hAnsi="Calibri"/>
                <w:b w:val="0"/>
                <w:color w:val="262421"/>
                <w:sz w:val="17"/>
              </w:rPr>
              <w:t>/tools (calculators)</w:t>
            </w:r>
          </w:p>
        </w:tc>
        <w:tc>
          <w:tcPr>
            <w:tcW w:type="dxa" w:w="2100"/>
          </w:tcPr>
          <w:p>
            <w:pPr>
              <w:spacing w:after="20" w:before="20"/>
            </w:pPr>
            <w:r>
              <w:rPr>
                <w:rFonts w:ascii="Calibri" w:hAnsi="Calibri"/>
                <w:b w:val="0"/>
                <w:color w:val="262421"/>
                <w:sz w:val="17"/>
              </w:rPr>
              <w:t>Capture intent → quote</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3</w:t>
            </w:r>
          </w:p>
        </w:tc>
        <w:tc>
          <w:tcPr>
            <w:tcW w:type="dxa" w:w="760"/>
          </w:tcPr>
          <w:p>
            <w:pPr>
              <w:spacing w:after="20" w:before="20"/>
              <w:jc w:val="center"/>
            </w:pPr>
            <w:r>
              <w:rPr>
                <w:rFonts w:ascii="Calibri" w:hAnsi="Calibri"/>
                <w:b w:val="0"/>
                <w:color w:val="262421"/>
                <w:sz w:val="17"/>
              </w:rPr>
              <w:t>6</w:t>
            </w:r>
          </w:p>
        </w:tc>
      </w:tr>
      <w:tr>
        <w:tc>
          <w:tcPr>
            <w:tcW w:type="dxa" w:w="2450"/>
            <w:shd w:val="clear" w:color="auto" w:fill="F3F1E9"/>
          </w:tcPr>
          <w:p>
            <w:pPr>
              <w:spacing w:after="20" w:before="20"/>
            </w:pPr>
            <w:r>
              <w:rPr>
                <w:rFonts w:ascii="Calibri" w:hAnsi="Calibri"/>
                <w:b w:val="0"/>
                <w:color w:val="262421"/>
                <w:sz w:val="17"/>
              </w:rPr>
              <w:t>/service-area/*</w:t>
            </w:r>
          </w:p>
        </w:tc>
        <w:tc>
          <w:tcPr>
            <w:tcW w:type="dxa" w:w="2100"/>
            <w:shd w:val="clear" w:color="auto" w:fill="F3F1E9"/>
          </w:tcPr>
          <w:p>
            <w:pPr>
              <w:spacing w:after="20" w:before="20"/>
            </w:pPr>
            <w:r>
              <w:rPr>
                <w:rFonts w:ascii="Calibri" w:hAnsi="Calibri"/>
                <w:b w:val="0"/>
                <w:color w:val="262421"/>
                <w:sz w:val="17"/>
              </w:rPr>
              <w:t>Local inquiry</w:t>
            </w:r>
          </w:p>
        </w:tc>
        <w:tc>
          <w:tcPr>
            <w:tcW w:type="dxa" w:w="760"/>
            <w:shd w:val="clear" w:color="auto" w:fill="F3F1E9"/>
          </w:tcPr>
          <w:p>
            <w:pPr>
              <w:spacing w:after="20" w:before="20"/>
              <w:jc w:val="center"/>
            </w:pPr>
            <w:r>
              <w:rPr>
                <w:rFonts w:ascii="Calibri" w:hAnsi="Calibri"/>
                <w:b w:val="0"/>
                <w:color w:val="262421"/>
                <w:sz w:val="17"/>
              </w:rPr>
              <w:t>7</w:t>
            </w:r>
          </w:p>
        </w:tc>
        <w:tc>
          <w:tcPr>
            <w:tcW w:type="dxa" w:w="760"/>
            <w:shd w:val="clear" w:color="auto" w:fill="F3F1E9"/>
          </w:tcPr>
          <w:p>
            <w:pPr>
              <w:spacing w:after="20" w:before="20"/>
              <w:jc w:val="center"/>
            </w:pPr>
            <w:r>
              <w:rPr>
                <w:rFonts w:ascii="Calibri" w:hAnsi="Calibri"/>
                <w:b w:val="0"/>
                <w:color w:val="262421"/>
                <w:sz w:val="17"/>
              </w:rPr>
              <w:t>7</w:t>
            </w:r>
          </w:p>
        </w:tc>
        <w:tc>
          <w:tcPr>
            <w:tcW w:type="dxa" w:w="760"/>
            <w:shd w:val="clear" w:color="auto" w:fill="F3F1E9"/>
          </w:tcPr>
          <w:p>
            <w:pPr>
              <w:spacing w:after="20" w:before="20"/>
              <w:jc w:val="center"/>
            </w:pPr>
            <w:r>
              <w:rPr>
                <w:rFonts w:ascii="Calibri" w:hAnsi="Calibri"/>
                <w:b w:val="0"/>
                <w:color w:val="262421"/>
                <w:sz w:val="17"/>
              </w:rPr>
              <w:t>4</w:t>
            </w:r>
          </w:p>
        </w:tc>
        <w:tc>
          <w:tcPr>
            <w:tcW w:type="dxa" w:w="760"/>
            <w:shd w:val="clear" w:color="auto" w:fill="F3F1E9"/>
          </w:tcPr>
          <w:p>
            <w:pPr>
              <w:spacing w:after="20" w:before="20"/>
              <w:jc w:val="center"/>
            </w:pPr>
            <w:r>
              <w:rPr>
                <w:rFonts w:ascii="Calibri" w:hAnsi="Calibri"/>
                <w:b w:val="0"/>
                <w:color w:val="262421"/>
                <w:sz w:val="17"/>
              </w:rPr>
              <w:t>6</w:t>
            </w:r>
          </w:p>
        </w:tc>
      </w:tr>
      <w:tr>
        <w:tc>
          <w:tcPr>
            <w:tcW w:type="dxa" w:w="2450"/>
          </w:tcPr>
          <w:p>
            <w:pPr>
              <w:spacing w:after="20" w:before="20"/>
            </w:pPr>
            <w:r>
              <w:rPr>
                <w:rFonts w:ascii="Calibri" w:hAnsi="Calibri"/>
                <w:b w:val="0"/>
                <w:color w:val="262421"/>
                <w:sz w:val="17"/>
              </w:rPr>
              <w:t>/request-a-quote (6 forms)</w:t>
            </w:r>
          </w:p>
        </w:tc>
        <w:tc>
          <w:tcPr>
            <w:tcW w:type="dxa" w:w="2100"/>
          </w:tcPr>
          <w:p>
            <w:pPr>
              <w:spacing w:after="20" w:before="20"/>
            </w:pPr>
            <w:r>
              <w:rPr>
                <w:rFonts w:ascii="Calibri" w:hAnsi="Calibri"/>
                <w:b w:val="0"/>
                <w:color w:val="262421"/>
                <w:sz w:val="17"/>
              </w:rPr>
              <w:t>Submit qualified lead</w:t>
            </w:r>
          </w:p>
        </w:tc>
        <w:tc>
          <w:tcPr>
            <w:tcW w:type="dxa" w:w="760"/>
          </w:tcPr>
          <w:p>
            <w:pPr>
              <w:spacing w:after="20" w:before="20"/>
              <w:jc w:val="center"/>
            </w:pPr>
            <w:r>
              <w:rPr>
                <w:rFonts w:ascii="Calibri" w:hAnsi="Calibri"/>
                <w:b w:val="0"/>
                <w:color w:val="262421"/>
                <w:sz w:val="17"/>
              </w:rPr>
              <w:t>9</w:t>
            </w:r>
          </w:p>
        </w:tc>
        <w:tc>
          <w:tcPr>
            <w:tcW w:type="dxa" w:w="760"/>
          </w:tcPr>
          <w:p>
            <w:pPr>
              <w:spacing w:after="20" w:before="20"/>
              <w:jc w:val="center"/>
            </w:pPr>
            <w:r>
              <w:rPr>
                <w:rFonts w:ascii="Calibri" w:hAnsi="Calibri"/>
                <w:b w:val="0"/>
                <w:color w:val="262421"/>
                <w:sz w:val="17"/>
              </w:rPr>
              <w:t>7</w:t>
            </w:r>
          </w:p>
        </w:tc>
        <w:tc>
          <w:tcPr>
            <w:tcW w:type="dxa" w:w="760"/>
          </w:tcPr>
          <w:p>
            <w:pPr>
              <w:spacing w:after="20" w:before="20"/>
              <w:jc w:val="center"/>
            </w:pPr>
            <w:r>
              <w:rPr>
                <w:rFonts w:ascii="Calibri" w:hAnsi="Calibri"/>
                <w:b w:val="0"/>
                <w:color w:val="262421"/>
                <w:sz w:val="17"/>
              </w:rPr>
              <w:t>4</w:t>
            </w:r>
          </w:p>
        </w:tc>
        <w:tc>
          <w:tcPr>
            <w:tcW w:type="dxa" w:w="760"/>
          </w:tcPr>
          <w:p>
            <w:pPr>
              <w:spacing w:after="20" w:before="20"/>
              <w:jc w:val="center"/>
            </w:pPr>
            <w:r>
              <w:rPr>
                <w:rFonts w:ascii="Calibri" w:hAnsi="Calibri"/>
                <w:b w:val="0"/>
                <w:color w:val="262421"/>
                <w:sz w:val="17"/>
              </w:rPr>
              <w:t>10</w:t>
            </w:r>
          </w:p>
        </w:tc>
      </w:tr>
    </w:tbl>
    <w:p>
      <w:pPr>
        <w:spacing w:after="20"/>
      </w:pPr>
    </w:p>
    <w:p>
      <w:pPr>
        <w:keepNext/>
        <w:spacing w:before="160" w:after="40"/>
      </w:pPr>
      <w:r>
        <w:rPr>
          <w:rFonts w:ascii="Calibri" w:hAnsi="Calibri"/>
          <w:b/>
          <w:color w:val="33312D"/>
          <w:sz w:val="23"/>
        </w:rPr>
        <w:t>Biggest conversion gains added this phase</w:t>
      </w:r>
    </w:p>
    <w:p>
      <w:pPr>
        <w:pStyle w:val="ListBullet"/>
        <w:spacing w:after="46"/>
        <w:ind w:left="432"/>
      </w:pPr>
      <w:r>
        <w:rPr>
          <w:rFonts w:ascii="Calibri" w:hAnsi="Calibri"/>
          <w:color w:val="262421"/>
          <w:sz w:val="20"/>
        </w:rPr>
        <w:t>Sticky mobile call/quote bar — a farmer in the field is always one thumb-tap from calling or quoting.</w:t>
      </w:r>
    </w:p>
    <w:p>
      <w:pPr>
        <w:pStyle w:val="ListBullet"/>
        <w:spacing w:after="46"/>
        <w:ind w:left="432"/>
      </w:pPr>
      <w:r>
        <w:rPr>
          <w:rFonts w:ascii="Calibri" w:hAnsi="Calibri"/>
          <w:color w:val="262421"/>
          <w:sz w:val="20"/>
        </w:rPr>
        <w:t>Every quote CTA is form-specific (?form=fertilizer/equipment/parts/...) so the right workflow opens pre-selected.</w:t>
      </w:r>
    </w:p>
    <w:p>
      <w:pPr>
        <w:pStyle w:val="ListBullet"/>
        <w:spacing w:after="46"/>
        <w:ind w:left="432"/>
      </w:pPr>
      <w:r>
        <w:rPr>
          <w:rFonts w:ascii="Calibri" w:hAnsi="Calibri"/>
          <w:color w:val="262421"/>
          <w:sz w:val="20"/>
        </w:rPr>
        <w:t>A visible 3-step 'How it works' process strip lowers friction and answers 'what happens if I submit this?'</w:t>
      </w:r>
    </w:p>
    <w:p>
      <w:pPr>
        <w:pStyle w:val="ListBullet"/>
        <w:spacing w:after="46"/>
        <w:ind w:left="432"/>
      </w:pPr>
      <w:r>
        <w:rPr>
          <w:rFonts w:ascii="Calibri" w:hAnsi="Calibri"/>
          <w:color w:val="262421"/>
          <w:sz w:val="20"/>
        </w:rPr>
        <w:t>Guides and calculators route to quotes; the FAQ answers link to money pages.</w:t>
      </w:r>
    </w:p>
    <w:p>
      <w:pPr>
        <w:keepNext/>
        <w:spacing w:before="160" w:after="40"/>
      </w:pPr>
      <w:r>
        <w:rPr>
          <w:rFonts w:ascii="Calibri" w:hAnsi="Calibri"/>
          <w:b/>
          <w:color w:val="33312D"/>
          <w:sz w:val="23"/>
        </w:rPr>
        <w:t>Remaining conversion gaps (owner-gated)</w:t>
      </w:r>
    </w:p>
    <w:p>
      <w:pPr>
        <w:pStyle w:val="ListBullet"/>
        <w:spacing w:after="46"/>
        <w:ind w:left="432"/>
      </w:pPr>
      <w:r>
        <w:rPr>
          <w:rFonts w:ascii="Calibri" w:hAnsi="Calibri"/>
          <w:color w:val="262421"/>
          <w:sz w:val="20"/>
        </w:rPr>
        <w:t>Trust proof: reviews/testimonials and real photography (held until approved) would lift Trust scores 1–2 points.</w:t>
      </w:r>
    </w:p>
    <w:p>
      <w:pPr>
        <w:pStyle w:val="ListBullet"/>
        <w:spacing w:after="46"/>
        <w:ind w:left="432"/>
      </w:pPr>
      <w:r>
        <w:rPr>
          <w:rFonts w:ascii="Calibri" w:hAnsi="Calibri"/>
          <w:color w:val="262421"/>
          <w:sz w:val="20"/>
        </w:rPr>
        <w:t>Seed/availability pages convert to 'call' — add online availability once inventory data exists.</w:t>
      </w:r>
    </w:p>
    <w:p>
      <w:pPr>
        <w:keepNext/>
        <w:spacing w:before="260" w:after="40"/>
        <w:outlineLvl w:val="0"/>
      </w:pPr>
      <w:r>
        <w:rPr>
          <w:rFonts w:ascii="Calibri" w:hAnsi="Calibri"/>
          <w:b/>
          <w:color w:val="B1761B"/>
          <w:sz w:val="30"/>
        </w:rPr>
        <w:t xml:space="preserve">2  </w:t>
      </w:r>
      <w:r>
        <w:rPr>
          <w:rFonts w:ascii="Calibri" w:hAnsi="Calibri"/>
          <w:b/>
          <w:color w:val="2F5D34"/>
          <w:sz w:val="30"/>
        </w:rPr>
        <w:t>Revenue Funnel Map</w:t>
      </w:r>
    </w:p>
    <w:p>
      <w:pPr>
        <w:spacing w:after="120" w:before="40"/>
        <w:pBdr>
          <w:bottom w:val="single" w:sz="11" w:space="1" w:color="B1761B"/>
        </w:pBdr>
      </w:pPr>
    </w:p>
    <w:tbl>
      <w:tblPr>
        <w:tblW w:type="auto" w:w="0"/>
        <w:jc w:val="center"/>
        <w:tblLayout w:type="fixed"/>
        <w:tblLook w:firstColumn="1" w:firstRow="1" w:lastColumn="0" w:lastRow="0" w:noHBand="0" w:noVBand="1" w:val="04A0"/>
        <w:tblW w:type="dxa" w:w="9360"/>
        <w:tblBorders>
          <w:top w:val="single" w:sz="4" w:space="0" w:color="D8D0C0"/>
          <w:left w:val="single" w:sz="4" w:space="0" w:color="D8D0C0"/>
          <w:bottom w:val="single" w:sz="4" w:space="0" w:color="D8D0C0"/>
          <w:right w:val="single" w:sz="4" w:space="0" w:color="D8D0C0"/>
          <w:insideH w:val="single" w:sz="4" w:space="0" w:color="D8D0C0"/>
          <w:insideV w:val="single" w:sz="4" w:space="0" w:color="D8D0C0"/>
        </w:tblBorders>
      </w:tblPr>
      <w:tblGrid>
        <w:gridCol w:w="1900"/>
        <w:gridCol w:w="5300"/>
        <w:gridCol w:w="2160"/>
      </w:tblGrid>
      <w:tr>
        <w:tc>
          <w:tcPr>
            <w:tcW w:type="dxa" w:w="1900"/>
            <w:shd w:val="clear" w:color="auto" w:fill="2F5D34"/>
          </w:tcPr>
          <w:p>
            <w:pPr>
              <w:spacing w:after="20" w:before="20"/>
            </w:pPr>
            <w:r>
              <w:rPr>
                <w:rFonts w:ascii="Calibri" w:hAnsi="Calibri"/>
                <w:b/>
                <w:color w:val="FFFFFF"/>
                <w:sz w:val="18"/>
              </w:rPr>
              <w:t>Funnel</w:t>
            </w:r>
          </w:p>
        </w:tc>
        <w:tc>
          <w:tcPr>
            <w:tcW w:type="dxa" w:w="5300"/>
            <w:shd w:val="clear" w:color="auto" w:fill="2F5D34"/>
          </w:tcPr>
          <w:p>
            <w:pPr>
              <w:spacing w:after="20" w:before="20"/>
            </w:pPr>
            <w:r>
              <w:rPr>
                <w:rFonts w:ascii="Calibri" w:hAnsi="Calibri"/>
                <w:b/>
                <w:color w:val="FFFFFF"/>
                <w:sz w:val="18"/>
              </w:rPr>
              <w:t>Path (built)</w:t>
            </w:r>
          </w:p>
        </w:tc>
        <w:tc>
          <w:tcPr>
            <w:tcW w:type="dxa" w:w="2160"/>
            <w:shd w:val="clear" w:color="auto" w:fill="2F5D34"/>
          </w:tcPr>
          <w:p>
            <w:pPr>
              <w:spacing w:after="20" w:before="20"/>
            </w:pPr>
            <w:r>
              <w:rPr>
                <w:rFonts w:ascii="Calibri" w:hAnsi="Calibri"/>
                <w:b/>
                <w:color w:val="FFFFFF"/>
                <w:sz w:val="18"/>
              </w:rPr>
              <w:t>Conversion event</w:t>
            </w:r>
          </w:p>
        </w:tc>
      </w:tr>
      <w:tr>
        <w:tc>
          <w:tcPr>
            <w:tcW w:type="dxa" w:w="1900"/>
          </w:tcPr>
          <w:p>
            <w:pPr>
              <w:spacing w:after="20" w:before="20"/>
            </w:pPr>
            <w:r>
              <w:rPr>
                <w:rFonts w:ascii="Calibri" w:hAnsi="Calibri"/>
                <w:b w:val="0"/>
                <w:color w:val="262421"/>
                <w:sz w:val="17"/>
              </w:rPr>
              <w:t>Custom Blending</w:t>
            </w:r>
          </w:p>
        </w:tc>
        <w:tc>
          <w:tcPr>
            <w:tcW w:type="dxa" w:w="5300"/>
          </w:tcPr>
          <w:p>
            <w:pPr>
              <w:spacing w:after="20" w:before="20"/>
            </w:pPr>
            <w:r>
              <w:rPr>
                <w:rFonts w:ascii="Calibri" w:hAnsi="Calibri"/>
                <w:b w:val="0"/>
                <w:color w:val="262421"/>
                <w:sz w:val="17"/>
              </w:rPr>
              <w:t>Guide/calculator → Custom-Blends page → Fertilizer Quote (soil-test upload) → consult</w:t>
            </w:r>
          </w:p>
        </w:tc>
        <w:tc>
          <w:tcPr>
            <w:tcW w:type="dxa" w:w="2160"/>
          </w:tcPr>
          <w:p>
            <w:pPr>
              <w:spacing w:after="20" w:before="20"/>
            </w:pPr>
            <w:r>
              <w:rPr>
                <w:rFonts w:ascii="Calibri" w:hAnsi="Calibri"/>
                <w:b w:val="0"/>
                <w:color w:val="262421"/>
                <w:sz w:val="17"/>
              </w:rPr>
              <w:t>quote_submit</w:t>
            </w:r>
          </w:p>
        </w:tc>
      </w:tr>
      <w:tr>
        <w:tc>
          <w:tcPr>
            <w:tcW w:type="dxa" w:w="1900"/>
            <w:shd w:val="clear" w:color="auto" w:fill="F3F1E9"/>
          </w:tcPr>
          <w:p>
            <w:pPr>
              <w:spacing w:after="20" w:before="20"/>
            </w:pPr>
            <w:r>
              <w:rPr>
                <w:rFonts w:ascii="Calibri" w:hAnsi="Calibri"/>
                <w:b w:val="0"/>
                <w:color w:val="262421"/>
                <w:sz w:val="17"/>
              </w:rPr>
              <w:t>Bulk Fertilizer</w:t>
            </w:r>
          </w:p>
        </w:tc>
        <w:tc>
          <w:tcPr>
            <w:tcW w:type="dxa" w:w="5300"/>
            <w:shd w:val="clear" w:color="auto" w:fill="F3F1E9"/>
          </w:tcPr>
          <w:p>
            <w:pPr>
              <w:spacing w:after="20" w:before="20"/>
            </w:pPr>
            <w:r>
              <w:rPr>
                <w:rFonts w:ascii="Calibri" w:hAnsi="Calibri"/>
                <w:b w:val="0"/>
                <w:color w:val="262421"/>
                <w:sz w:val="17"/>
              </w:rPr>
              <w:t>Search → Fertilizer/Bulk or Totes → Volume quote (packaging+tonnage)</w:t>
            </w:r>
          </w:p>
        </w:tc>
        <w:tc>
          <w:tcPr>
            <w:tcW w:type="dxa" w:w="2160"/>
            <w:shd w:val="clear" w:color="auto" w:fill="F3F1E9"/>
          </w:tcPr>
          <w:p>
            <w:pPr>
              <w:spacing w:after="20" w:before="20"/>
            </w:pPr>
            <w:r>
              <w:rPr>
                <w:rFonts w:ascii="Calibri" w:hAnsi="Calibri"/>
                <w:b w:val="0"/>
                <w:color w:val="262421"/>
                <w:sz w:val="17"/>
              </w:rPr>
              <w:t>quote_submit</w:t>
            </w:r>
          </w:p>
        </w:tc>
      </w:tr>
      <w:tr>
        <w:tc>
          <w:tcPr>
            <w:tcW w:type="dxa" w:w="1900"/>
          </w:tcPr>
          <w:p>
            <w:pPr>
              <w:spacing w:after="20" w:before="20"/>
            </w:pPr>
            <w:r>
              <w:rPr>
                <w:rFonts w:ascii="Calibri" w:hAnsi="Calibri"/>
                <w:b w:val="0"/>
                <w:color w:val="262421"/>
                <w:sz w:val="17"/>
              </w:rPr>
              <w:t>Bush Hog Equipment</w:t>
            </w:r>
          </w:p>
        </w:tc>
        <w:tc>
          <w:tcPr>
            <w:tcW w:type="dxa" w:w="5300"/>
          </w:tcPr>
          <w:p>
            <w:pPr>
              <w:spacing w:after="20" w:before="20"/>
            </w:pPr>
            <w:r>
              <w:rPr>
                <w:rFonts w:ascii="Calibri" w:hAnsi="Calibri"/>
                <w:b w:val="0"/>
                <w:color w:val="262421"/>
                <w:sz w:val="17"/>
              </w:rPr>
              <w:t>Guide → Equipment page → Equipment Inquiry (HP, width, budget) → sales follow-up</w:t>
            </w:r>
          </w:p>
        </w:tc>
        <w:tc>
          <w:tcPr>
            <w:tcW w:type="dxa" w:w="2160"/>
          </w:tcPr>
          <w:p>
            <w:pPr>
              <w:spacing w:after="20" w:before="20"/>
            </w:pPr>
            <w:r>
              <w:rPr>
                <w:rFonts w:ascii="Calibri" w:hAnsi="Calibri"/>
                <w:b w:val="0"/>
                <w:color w:val="262421"/>
                <w:sz w:val="17"/>
              </w:rPr>
              <w:t>equipment_inquiry_submit</w:t>
            </w:r>
          </w:p>
        </w:tc>
      </w:tr>
      <w:tr>
        <w:tc>
          <w:tcPr>
            <w:tcW w:type="dxa" w:w="1900"/>
            <w:shd w:val="clear" w:color="auto" w:fill="F3F1E9"/>
          </w:tcPr>
          <w:p>
            <w:pPr>
              <w:spacing w:after="20" w:before="20"/>
            </w:pPr>
            <w:r>
              <w:rPr>
                <w:rFonts w:ascii="Calibri" w:hAnsi="Calibri"/>
                <w:b w:val="0"/>
                <w:color w:val="262421"/>
                <w:sz w:val="17"/>
              </w:rPr>
              <w:t>Parts Department</w:t>
            </w:r>
          </w:p>
        </w:tc>
        <w:tc>
          <w:tcPr>
            <w:tcW w:type="dxa" w:w="5300"/>
            <w:shd w:val="clear" w:color="auto" w:fill="F3F1E9"/>
          </w:tcPr>
          <w:p>
            <w:pPr>
              <w:spacing w:after="20" w:before="20"/>
            </w:pPr>
            <w:r>
              <w:rPr>
                <w:rFonts w:ascii="Calibri" w:hAnsi="Calibri"/>
                <w:b w:val="0"/>
                <w:color w:val="262421"/>
                <w:sz w:val="17"/>
              </w:rPr>
              <w:t>Search → Parts page → Request-a-Part (model + photo upload)</w:t>
            </w:r>
          </w:p>
        </w:tc>
        <w:tc>
          <w:tcPr>
            <w:tcW w:type="dxa" w:w="2160"/>
            <w:shd w:val="clear" w:color="auto" w:fill="F3F1E9"/>
          </w:tcPr>
          <w:p>
            <w:pPr>
              <w:spacing w:after="20" w:before="20"/>
            </w:pPr>
            <w:r>
              <w:rPr>
                <w:rFonts w:ascii="Calibri" w:hAnsi="Calibri"/>
                <w:b w:val="0"/>
                <w:color w:val="262421"/>
                <w:sz w:val="17"/>
              </w:rPr>
              <w:t>parts_request_submit</w:t>
            </w:r>
          </w:p>
        </w:tc>
      </w:tr>
      <w:tr>
        <w:tc>
          <w:tcPr>
            <w:tcW w:type="dxa" w:w="1900"/>
          </w:tcPr>
          <w:p>
            <w:pPr>
              <w:spacing w:after="20" w:before="20"/>
            </w:pPr>
            <w:r>
              <w:rPr>
                <w:rFonts w:ascii="Calibri" w:hAnsi="Calibri"/>
                <w:b w:val="0"/>
                <w:color w:val="262421"/>
                <w:sz w:val="17"/>
              </w:rPr>
              <w:t>Delivery</w:t>
            </w:r>
          </w:p>
        </w:tc>
        <w:tc>
          <w:tcPr>
            <w:tcW w:type="dxa" w:w="5300"/>
          </w:tcPr>
          <w:p>
            <w:pPr>
              <w:spacing w:after="20" w:before="20"/>
            </w:pPr>
            <w:r>
              <w:rPr>
                <w:rFonts w:ascii="Calibri" w:hAnsi="Calibri"/>
                <w:b w:val="0"/>
                <w:color w:val="262421"/>
                <w:sz w:val="17"/>
              </w:rPr>
              <w:t>Delivery page → Delivery &amp; Spreading Request (location, access, date)</w:t>
            </w:r>
          </w:p>
        </w:tc>
        <w:tc>
          <w:tcPr>
            <w:tcW w:type="dxa" w:w="2160"/>
          </w:tcPr>
          <w:p>
            <w:pPr>
              <w:spacing w:after="20" w:before="20"/>
            </w:pPr>
            <w:r>
              <w:rPr>
                <w:rFonts w:ascii="Calibri" w:hAnsi="Calibri"/>
                <w:b w:val="0"/>
                <w:color w:val="262421"/>
                <w:sz w:val="17"/>
              </w:rPr>
              <w:t>delivery_request_submit</w:t>
            </w:r>
          </w:p>
        </w:tc>
      </w:tr>
    </w:tbl>
    <w:p>
      <w:pPr>
        <w:spacing w:after="20"/>
      </w:pPr>
    </w:p>
    <w:p>
      <w:pPr>
        <w:spacing w:after="100" w:before="0"/>
      </w:pPr>
      <w:r>
        <w:rPr>
          <w:rFonts w:ascii="Calibri" w:hAnsi="Calibri"/>
          <w:b w:val="0"/>
          <w:i w:val="0"/>
          <w:color w:val="5C574E"/>
          <w:sz w:val="19"/>
        </w:rPr>
        <w:t>Each funnel has a dedicated CTA, a purpose-built form, an analytics event, and an auto-classified lead. The custom-blending funnel intentionally offers a soil-test upload and a 'consultation' framing to capture the highest-value fertilizer buyers.</w:t>
      </w:r>
    </w:p>
    <w:p>
      <w:pPr>
        <w:keepNext/>
        <w:spacing w:before="260" w:after="40"/>
        <w:outlineLvl w:val="0"/>
      </w:pPr>
      <w:r>
        <w:rPr>
          <w:rFonts w:ascii="Calibri" w:hAnsi="Calibri"/>
          <w:b/>
          <w:color w:val="B1761B"/>
          <w:sz w:val="30"/>
        </w:rPr>
        <w:t xml:space="preserve">3  </w:t>
      </w:r>
      <w:r>
        <w:rPr>
          <w:rFonts w:ascii="Calibri" w:hAnsi="Calibri"/>
          <w:b/>
          <w:color w:val="2F5D34"/>
          <w:sz w:val="30"/>
        </w:rPr>
        <w:t>Lead-Capture Redesign (what sales needs)</w:t>
      </w:r>
    </w:p>
    <w:p>
      <w:pPr>
        <w:spacing w:after="120" w:before="40"/>
        <w:pBdr>
          <w:bottom w:val="single" w:sz="11" w:space="1" w:color="B1761B"/>
        </w:pBdr>
      </w:pPr>
    </w:p>
    <w:p>
      <w:pPr>
        <w:spacing w:after="100" w:before="0"/>
      </w:pPr>
      <w:r>
        <w:rPr>
          <w:rFonts w:ascii="Calibri" w:hAnsi="Calibri"/>
          <w:b w:val="0"/>
          <w:i w:val="0"/>
          <w:color w:val="262421"/>
          <w:sz w:val="21"/>
        </w:rPr>
        <w:t>Name/email/phone is not enough. Each form now captures the fields that let sales quote without a second call.</w:t>
      </w:r>
    </w:p>
    <w:tbl>
      <w:tblPr>
        <w:tblW w:type="auto" w:w="0"/>
        <w:jc w:val="center"/>
        <w:tblLayout w:type="fixed"/>
        <w:tblLook w:firstColumn="1" w:firstRow="1" w:lastColumn="0" w:lastRow="0" w:noHBand="0" w:noVBand="1" w:val="04A0"/>
        <w:tblW w:type="dxa" w:w="9360"/>
        <w:tblBorders>
          <w:top w:val="single" w:sz="4" w:space="0" w:color="D8D0C0"/>
          <w:left w:val="single" w:sz="4" w:space="0" w:color="D8D0C0"/>
          <w:bottom w:val="single" w:sz="4" w:space="0" w:color="D8D0C0"/>
          <w:right w:val="single" w:sz="4" w:space="0" w:color="D8D0C0"/>
          <w:insideH w:val="single" w:sz="4" w:space="0" w:color="D8D0C0"/>
          <w:insideV w:val="single" w:sz="4" w:space="0" w:color="D8D0C0"/>
        </w:tblBorders>
      </w:tblPr>
      <w:tblGrid>
        <w:gridCol w:w="1900"/>
        <w:gridCol w:w="7460"/>
      </w:tblGrid>
      <w:tr>
        <w:tc>
          <w:tcPr>
            <w:tcW w:type="dxa" w:w="1900"/>
            <w:shd w:val="clear" w:color="auto" w:fill="2F5D34"/>
          </w:tcPr>
          <w:p>
            <w:pPr>
              <w:spacing w:after="20" w:before="20"/>
            </w:pPr>
            <w:r>
              <w:rPr>
                <w:rFonts w:ascii="Calibri" w:hAnsi="Calibri"/>
                <w:b/>
                <w:color w:val="FFFFFF"/>
                <w:sz w:val="18"/>
              </w:rPr>
              <w:t>Form</w:t>
            </w:r>
          </w:p>
        </w:tc>
        <w:tc>
          <w:tcPr>
            <w:tcW w:type="dxa" w:w="7460"/>
            <w:shd w:val="clear" w:color="auto" w:fill="2F5D34"/>
          </w:tcPr>
          <w:p>
            <w:pPr>
              <w:spacing w:after="20" w:before="20"/>
            </w:pPr>
            <w:r>
              <w:rPr>
                <w:rFonts w:ascii="Calibri" w:hAnsi="Calibri"/>
                <w:b/>
                <w:color w:val="FFFFFF"/>
                <w:sz w:val="18"/>
              </w:rPr>
              <w:t>Sales-critical fields captured</w:t>
            </w:r>
          </w:p>
        </w:tc>
      </w:tr>
      <w:tr>
        <w:tc>
          <w:tcPr>
            <w:tcW w:type="dxa" w:w="1900"/>
          </w:tcPr>
          <w:p>
            <w:pPr>
              <w:spacing w:after="20" w:before="20"/>
            </w:pPr>
            <w:r>
              <w:rPr>
                <w:rFonts w:ascii="Calibri" w:hAnsi="Calibri"/>
                <w:b w:val="0"/>
                <w:color w:val="262421"/>
                <w:sz w:val="17"/>
              </w:rPr>
              <w:t>Fertilizer Quote</w:t>
            </w:r>
          </w:p>
        </w:tc>
        <w:tc>
          <w:tcPr>
            <w:tcW w:type="dxa" w:w="7460"/>
          </w:tcPr>
          <w:p>
            <w:pPr>
              <w:spacing w:after="20" w:before="20"/>
            </w:pPr>
            <w:r>
              <w:rPr>
                <w:rFonts w:ascii="Calibri" w:hAnsi="Calibri"/>
                <w:b w:val="0"/>
                <w:color w:val="262421"/>
                <w:sz w:val="17"/>
              </w:rPr>
              <w:t>Customer type · crop/use · acreage · blend/analysis · quantity · packaging · pickup/delivery · date · soil-test upload · repeat ref</w:t>
            </w:r>
          </w:p>
        </w:tc>
      </w:tr>
      <w:tr>
        <w:tc>
          <w:tcPr>
            <w:tcW w:type="dxa" w:w="1900"/>
            <w:shd w:val="clear" w:color="auto" w:fill="F3F1E9"/>
          </w:tcPr>
          <w:p>
            <w:pPr>
              <w:spacing w:after="20" w:before="20"/>
            </w:pPr>
            <w:r>
              <w:rPr>
                <w:rFonts w:ascii="Calibri" w:hAnsi="Calibri"/>
                <w:b w:val="0"/>
                <w:color w:val="262421"/>
                <w:sz w:val="17"/>
              </w:rPr>
              <w:t>Delivery &amp; Spreading</w:t>
            </w:r>
          </w:p>
        </w:tc>
        <w:tc>
          <w:tcPr>
            <w:tcW w:type="dxa" w:w="7460"/>
            <w:shd w:val="clear" w:color="auto" w:fill="F3F1E9"/>
          </w:tcPr>
          <w:p>
            <w:pPr>
              <w:spacing w:after="20" w:before="20"/>
            </w:pPr>
            <w:r>
              <w:rPr>
                <w:rFonts w:ascii="Calibri" w:hAnsi="Calibri"/>
                <w:b w:val="0"/>
                <w:color w:val="262421"/>
                <w:sz w:val="17"/>
              </w:rPr>
              <w:t>Product · quantity · acreage · delivery address · field access (gate/ground) · spreading? · date</w:t>
            </w:r>
          </w:p>
        </w:tc>
      </w:tr>
      <w:tr>
        <w:tc>
          <w:tcPr>
            <w:tcW w:type="dxa" w:w="1900"/>
          </w:tcPr>
          <w:p>
            <w:pPr>
              <w:spacing w:after="20" w:before="20"/>
            </w:pPr>
            <w:r>
              <w:rPr>
                <w:rFonts w:ascii="Calibri" w:hAnsi="Calibri"/>
                <w:b w:val="0"/>
                <w:color w:val="262421"/>
                <w:sz w:val="17"/>
              </w:rPr>
              <w:t>Equipment Inquiry</w:t>
            </w:r>
          </w:p>
        </w:tc>
        <w:tc>
          <w:tcPr>
            <w:tcW w:type="dxa" w:w="7460"/>
          </w:tcPr>
          <w:p>
            <w:pPr>
              <w:spacing w:after="20" w:before="20"/>
            </w:pPr>
            <w:r>
              <w:rPr>
                <w:rFonts w:ascii="Calibri" w:hAnsi="Calibri"/>
                <w:b w:val="0"/>
                <w:color w:val="262421"/>
                <w:sz w:val="17"/>
              </w:rPr>
              <w:t>Type · brand · model · tractor HP · use · width · new/used · budget range · timeframe</w:t>
            </w:r>
          </w:p>
        </w:tc>
      </w:tr>
      <w:tr>
        <w:tc>
          <w:tcPr>
            <w:tcW w:type="dxa" w:w="1900"/>
            <w:shd w:val="clear" w:color="auto" w:fill="F3F1E9"/>
          </w:tcPr>
          <w:p>
            <w:pPr>
              <w:spacing w:after="20" w:before="20"/>
            </w:pPr>
            <w:r>
              <w:rPr>
                <w:rFonts w:ascii="Calibri" w:hAnsi="Calibri"/>
                <w:b w:val="0"/>
                <w:color w:val="262421"/>
                <w:sz w:val="17"/>
              </w:rPr>
              <w:t>Parts Request</w:t>
            </w:r>
          </w:p>
        </w:tc>
        <w:tc>
          <w:tcPr>
            <w:tcW w:type="dxa" w:w="7460"/>
            <w:shd w:val="clear" w:color="auto" w:fill="F3F1E9"/>
          </w:tcPr>
          <w:p>
            <w:pPr>
              <w:spacing w:after="20" w:before="20"/>
            </w:pPr>
            <w:r>
              <w:rPr>
                <w:rFonts w:ascii="Calibri" w:hAnsi="Calibri"/>
                <w:b w:val="0"/>
                <w:color w:val="262421"/>
                <w:sz w:val="17"/>
              </w:rPr>
              <w:t>Manufacturer · model · serial · part # · description · quantity · photo upload · pickup/ship</w:t>
            </w:r>
          </w:p>
        </w:tc>
      </w:tr>
      <w:tr>
        <w:tc>
          <w:tcPr>
            <w:tcW w:type="dxa" w:w="1900"/>
          </w:tcPr>
          <w:p>
            <w:pPr>
              <w:spacing w:after="20" w:before="20"/>
            </w:pPr>
            <w:r>
              <w:rPr>
                <w:rFonts w:ascii="Calibri" w:hAnsi="Calibri"/>
                <w:b w:val="0"/>
                <w:color w:val="262421"/>
                <w:sz w:val="17"/>
              </w:rPr>
              <w:t>Quick Reorder</w:t>
            </w:r>
          </w:p>
        </w:tc>
        <w:tc>
          <w:tcPr>
            <w:tcW w:type="dxa" w:w="7460"/>
          </w:tcPr>
          <w:p>
            <w:pPr>
              <w:spacing w:after="20" w:before="20"/>
            </w:pPr>
            <w:r>
              <w:rPr>
                <w:rFonts w:ascii="Calibri" w:hAnsi="Calibri"/>
                <w:b w:val="0"/>
                <w:color w:val="262421"/>
                <w:sz w:val="17"/>
              </w:rPr>
              <w:t>Business · phone · prior blend/order ref · quantity · pickup/delivery · date</w:t>
            </w:r>
          </w:p>
        </w:tc>
      </w:tr>
      <w:tr>
        <w:tc>
          <w:tcPr>
            <w:tcW w:type="dxa" w:w="1900"/>
            <w:shd w:val="clear" w:color="auto" w:fill="F3F1E9"/>
          </w:tcPr>
          <w:p>
            <w:pPr>
              <w:spacing w:after="20" w:before="20"/>
            </w:pPr>
            <w:r>
              <w:rPr>
                <w:rFonts w:ascii="Calibri" w:hAnsi="Calibri"/>
                <w:b w:val="0"/>
                <w:color w:val="262421"/>
                <w:sz w:val="17"/>
              </w:rPr>
              <w:t>Commercial Account</w:t>
            </w:r>
          </w:p>
        </w:tc>
        <w:tc>
          <w:tcPr>
            <w:tcW w:type="dxa" w:w="7460"/>
            <w:shd w:val="clear" w:color="auto" w:fill="F3F1E9"/>
          </w:tcPr>
          <w:p>
            <w:pPr>
              <w:spacing w:after="20" w:before="20"/>
            </w:pPr>
            <w:r>
              <w:rPr>
                <w:rFonts w:ascii="Calibri" w:hAnsi="Calibri"/>
                <w:b w:val="0"/>
                <w:color w:val="262421"/>
                <w:sz w:val="17"/>
              </w:rPr>
              <w:t>Business · tax-exempt · est. volume · categories · delivery needs · states · credit request</w:t>
            </w:r>
          </w:p>
        </w:tc>
      </w:tr>
    </w:tbl>
    <w:p>
      <w:pPr>
        <w:spacing w:after="20"/>
      </w:pPr>
    </w:p>
    <w:p>
      <w:pPr>
        <w:keepNext/>
        <w:spacing w:before="260" w:after="40"/>
        <w:outlineLvl w:val="0"/>
      </w:pPr>
      <w:r>
        <w:rPr>
          <w:rFonts w:ascii="Calibri" w:hAnsi="Calibri"/>
          <w:b/>
          <w:color w:val="B1761B"/>
          <w:sz w:val="30"/>
        </w:rPr>
        <w:t xml:space="preserve">4  </w:t>
      </w:r>
      <w:r>
        <w:rPr>
          <w:rFonts w:ascii="Calibri" w:hAnsi="Calibri"/>
          <w:b/>
          <w:color w:val="2F5D34"/>
          <w:sz w:val="30"/>
        </w:rPr>
        <w:t>CRM Data Model (auto-classification)</w:t>
      </w:r>
    </w:p>
    <w:p>
      <w:pPr>
        <w:spacing w:after="120" w:before="40"/>
        <w:pBdr>
          <w:bottom w:val="single" w:sz="11" w:space="1" w:color="B1761B"/>
        </w:pBdr>
      </w:pPr>
    </w:p>
    <w:p>
      <w:pPr>
        <w:spacing w:after="100" w:before="0"/>
      </w:pPr>
      <w:r>
        <w:rPr>
          <w:rFonts w:ascii="Calibri" w:hAnsi="Calibri"/>
          <w:b w:val="0"/>
          <w:i w:val="0"/>
          <w:color w:val="262421"/>
          <w:sz w:val="21"/>
        </w:rPr>
        <w:t>Every submission is classified automatically by lib/leadScoring.ts before routing — implemented and returned by /api/lead. Fields written per lead:</w:t>
      </w:r>
    </w:p>
    <w:tbl>
      <w:tblPr>
        <w:tblW w:type="auto" w:w="0"/>
        <w:tblLook w:firstColumn="1" w:firstRow="1" w:lastColumn="0" w:lastRow="0" w:noHBand="0" w:noVBand="1" w:val="04A0"/>
      </w:tblPr>
      <w:tblGrid>
        <w:gridCol w:w="9936"/>
      </w:tblGrid>
      <w:tr>
        <w:tc>
          <w:tcPr>
            <w:tcW w:type="dxa" w:w="9936"/>
            <w:shd w:val="clear" w:color="auto" w:fill="F1EFE8"/>
          </w:tcPr>
          <w:p>
            <w:pPr>
              <w:spacing w:after="20"/>
            </w:pPr>
            <w:r>
              <w:rPr>
                <w:rFonts w:ascii="Consolas" w:hAnsi="Consolas"/>
                <w:color w:val="33312D"/>
                <w:sz w:val="18"/>
              </w:rPr>
              <w:t>lead = {</w:t>
            </w:r>
          </w:p>
          <w:p>
            <w:pPr>
              <w:spacing w:after="20"/>
            </w:pPr>
            <w:r>
              <w:rPr>
                <w:rFonts w:ascii="Consolas" w:hAnsi="Consolas"/>
                <w:color w:val="33312D"/>
                <w:sz w:val="18"/>
              </w:rPr>
              <w:t xml:space="preserve">  leadType: Fertilizer | Delivery | Equipment | Parts | Seed | Commercial | General,</w:t>
            </w:r>
          </w:p>
          <w:p>
            <w:pPr>
              <w:spacing w:after="20"/>
            </w:pPr>
            <w:r>
              <w:rPr>
                <w:rFonts w:ascii="Consolas" w:hAnsi="Consolas"/>
                <w:color w:val="33312D"/>
                <w:sz w:val="18"/>
              </w:rPr>
              <w:t xml:space="preserve">  priority: 1-100        // base by type + signals (acreage, volume, soil test, repeat, budget)</w:t>
            </w:r>
          </w:p>
          <w:p>
            <w:pPr>
              <w:spacing w:after="20"/>
            </w:pPr>
            <w:r>
              <w:rPr>
                <w:rFonts w:ascii="Consolas" w:hAnsi="Consolas"/>
                <w:color w:val="33312D"/>
                <w:sz w:val="18"/>
              </w:rPr>
              <w:t xml:space="preserve">  valueBand: $ | $$ | $$$ | $$$$   // deal-size band</w:t>
            </w:r>
          </w:p>
          <w:p>
            <w:pPr>
              <w:spacing w:after="20"/>
            </w:pPr>
            <w:r>
              <w:rPr>
                <w:rFonts w:ascii="Consolas" w:hAnsi="Consolas"/>
                <w:color w:val="33312D"/>
                <w:sz w:val="18"/>
              </w:rPr>
              <w:t xml:space="preserve">  urgency: High | Medium | Low     // from desired date / parts / high score</w:t>
            </w:r>
          </w:p>
          <w:p>
            <w:pPr>
              <w:spacing w:after="20"/>
            </w:pPr>
            <w:r>
              <w:rPr>
                <w:rFonts w:ascii="Consolas" w:hAnsi="Consolas"/>
                <w:color w:val="33312D"/>
                <w:sz w:val="18"/>
              </w:rPr>
              <w:t xml:space="preserve">  reasons: [ '50+ acres', 'bulk/volume', 'soil test provided', ... ],</w:t>
            </w:r>
          </w:p>
          <w:p>
            <w:pPr>
              <w:spacing w:after="20"/>
            </w:pPr>
            <w:r>
              <w:rPr>
                <w:rFonts w:ascii="Consolas" w:hAnsi="Consolas"/>
                <w:color w:val="33312D"/>
                <w:sz w:val="18"/>
              </w:rPr>
              <w:t xml:space="preserve">  source, utm, fields, status: 'New', assignedOwner: '&lt;per Owner Packet §6&gt;'</w:t>
            </w:r>
          </w:p>
          <w:p>
            <w:pPr>
              <w:spacing w:after="20"/>
            </w:pPr>
            <w:r>
              <w:rPr>
                <w:rFonts w:ascii="Consolas" w:hAnsi="Consolas"/>
                <w:color w:val="33312D"/>
                <w:sz w:val="18"/>
              </w:rPr>
              <w:t>}</w:t>
            </w:r>
          </w:p>
        </w:tc>
      </w:tr>
    </w:tbl>
    <w:p>
      <w:pPr>
        <w:spacing w:after="40"/>
      </w:pPr>
    </w:p>
    <w:p>
      <w:pPr>
        <w:keepNext/>
        <w:spacing w:before="160" w:after="40"/>
      </w:pPr>
      <w:r>
        <w:rPr>
          <w:rFonts w:ascii="Calibri" w:hAnsi="Calibri"/>
          <w:b/>
          <w:color w:val="33312D"/>
          <w:sz w:val="23"/>
        </w:rPr>
        <w:t>Priority signals (examples)</w:t>
      </w:r>
    </w:p>
    <w:p>
      <w:pPr>
        <w:pStyle w:val="ListBullet"/>
        <w:spacing w:after="46"/>
        <w:ind w:left="432"/>
      </w:pPr>
      <w:r>
        <w:rPr>
          <w:rFonts w:ascii="Calibri" w:hAnsi="Calibri"/>
          <w:color w:val="262421"/>
          <w:sz w:val="20"/>
        </w:rPr>
        <w:t>+ Commercial account, 50+ acres, bulk/ton/tote/pallet, soil test provided, repeat customer, $10k+ budget.</w:t>
      </w:r>
    </w:p>
    <w:p>
      <w:pPr>
        <w:pStyle w:val="ListBullet"/>
        <w:spacing w:after="46"/>
        <w:ind w:left="432"/>
      </w:pPr>
      <w:r>
        <w:rPr>
          <w:rFonts w:ascii="Calibri" w:hAnsi="Calibri"/>
          <w:color w:val="262421"/>
          <w:sz w:val="20"/>
        </w:rPr>
        <w:t>Deal-value band: Commercial/bulk/100+ ac → $$$$ ; Equipment/30+ ac/pallet → $$$ ; standard fertilizer/parts → $$.</w:t>
      </w:r>
    </w:p>
    <w:p>
      <w:pPr>
        <w:pStyle w:val="ListBullet"/>
        <w:spacing w:after="46"/>
        <w:ind w:left="432"/>
      </w:pPr>
      <w:r>
        <w:rPr>
          <w:rFonts w:ascii="Calibri" w:hAnsi="Calibri"/>
          <w:color w:val="262421"/>
          <w:sz w:val="20"/>
        </w:rPr>
        <w:t>Urgency: parts and 'ASAP/this week' → High; any date → Medium; none → Low; high score bumps urgency up.</w:t>
      </w:r>
    </w:p>
    <w:p>
      <w:pPr>
        <w:keepNext/>
        <w:spacing w:before="160" w:after="40"/>
      </w:pPr>
      <w:r>
        <w:rPr>
          <w:rFonts w:ascii="Calibri" w:hAnsi="Calibri"/>
          <w:b/>
          <w:color w:val="33312D"/>
          <w:sz w:val="23"/>
        </w:rPr>
        <w:t>Pipeline</w:t>
      </w:r>
    </w:p>
    <w:p>
      <w:pPr>
        <w:spacing w:after="100" w:before="0"/>
      </w:pPr>
      <w:r>
        <w:rPr>
          <w:rFonts w:ascii="Calibri" w:hAnsi="Calibri"/>
          <w:b w:val="0"/>
          <w:i w:val="0"/>
          <w:color w:val="262421"/>
          <w:sz w:val="21"/>
        </w:rPr>
        <w:t>New → Qualified → Quoted → Won / Lost → Fulfilled → Reorder. Each lead carries source, campaign, landing page, product interest, and the classification above for prioritized follow-up.</w:t>
      </w:r>
    </w:p>
    <w:p>
      <w:pPr>
        <w:keepNext/>
        <w:spacing w:before="260" w:after="40"/>
        <w:outlineLvl w:val="0"/>
      </w:pPr>
      <w:r>
        <w:rPr>
          <w:rFonts w:ascii="Calibri" w:hAnsi="Calibri"/>
          <w:b/>
          <w:color w:val="B1761B"/>
          <w:sz w:val="30"/>
        </w:rPr>
        <w:t xml:space="preserve">5  </w:t>
      </w:r>
      <w:r>
        <w:rPr>
          <w:rFonts w:ascii="Calibri" w:hAnsi="Calibri"/>
          <w:b/>
          <w:color w:val="2F5D34"/>
          <w:sz w:val="30"/>
        </w:rPr>
        <w:t>Revenue Architecture</w:t>
      </w:r>
    </w:p>
    <w:p>
      <w:pPr>
        <w:spacing w:after="120" w:before="40"/>
        <w:pBdr>
          <w:bottom w:val="single" w:sz="11" w:space="1" w:color="B1761B"/>
        </w:pBdr>
      </w:pPr>
    </w:p>
    <w:p>
      <w:pPr>
        <w:spacing w:after="100" w:before="0"/>
      </w:pPr>
      <w:r>
        <w:rPr>
          <w:rFonts w:ascii="Calibri" w:hAnsi="Calibri"/>
          <w:b w:val="0"/>
          <w:i w:val="0"/>
          <w:color w:val="262421"/>
          <w:sz w:val="21"/>
        </w:rPr>
        <w:t>Traffic (SEO from Phase 3) → route-level CTAs → funnel-specific form → auto-classified, scored lead → assigned owner with SLA → quote/callback → won → fulfillment → review + reorder. The website is the top of a repeatable commercial pipeline, not a brochure. High-value leads (commercial, bulk, equipment) are visibly flagged so the team works the biggest deals first.</w:t>
      </w:r>
    </w:p>
    <w:p>
      <w:pPr>
        <w:keepNext/>
        <w:spacing w:before="260" w:after="40"/>
        <w:outlineLvl w:val="0"/>
      </w:pPr>
      <w:r>
        <w:rPr>
          <w:rFonts w:ascii="Calibri" w:hAnsi="Calibri"/>
          <w:b/>
          <w:color w:val="B1761B"/>
          <w:sz w:val="30"/>
        </w:rPr>
        <w:t xml:space="preserve">6  </w:t>
      </w:r>
      <w:r>
        <w:rPr>
          <w:rFonts w:ascii="Calibri" w:hAnsi="Calibri"/>
          <w:b/>
          <w:color w:val="2F5D34"/>
          <w:sz w:val="30"/>
        </w:rPr>
        <w:t>Sales Enablement Playbook</w:t>
      </w:r>
    </w:p>
    <w:p>
      <w:pPr>
        <w:spacing w:after="120" w:before="40"/>
        <w:pBdr>
          <w:bottom w:val="single" w:sz="11" w:space="1" w:color="B1761B"/>
        </w:pBdr>
      </w:pPr>
    </w:p>
    <w:p>
      <w:pPr>
        <w:keepNext/>
        <w:spacing w:before="160" w:after="40"/>
      </w:pPr>
      <w:r>
        <w:rPr>
          <w:rFonts w:ascii="Calibri" w:hAnsi="Calibri"/>
          <w:b/>
          <w:color w:val="33312D"/>
          <w:sz w:val="23"/>
        </w:rPr>
        <w:t>Call scripts</w:t>
      </w:r>
    </w:p>
    <w:p>
      <w:pPr>
        <w:keepNext/>
        <w:spacing w:before="120" w:after="20"/>
      </w:pPr>
      <w:r>
        <w:rPr>
          <w:rFonts w:ascii="Calibri" w:hAnsi="Calibri"/>
          <w:b/>
          <w:color w:val="8A5A12"/>
          <w:sz w:val="21"/>
        </w:rPr>
        <w:t>Fertilizer inquiry</w:t>
      </w:r>
    </w:p>
    <w:p>
      <w:pPr>
        <w:spacing w:after="40"/>
        <w:ind w:left="216"/>
      </w:pPr>
      <w:r>
        <w:rPr>
          <w:rFonts w:ascii="Calibri" w:hAnsi="Calibri"/>
          <w:color w:val="262421"/>
          <w:sz w:val="20"/>
        </w:rPr>
        <w:t>Open: "Thanks for reaching out to Rodgers Fertilizer — we've blended fertilizer for growers around Saluda since 1976. Happy to help."</w:t>
      </w:r>
    </w:p>
    <w:p>
      <w:pPr>
        <w:spacing w:after="40"/>
        <w:ind w:left="216"/>
      </w:pPr>
      <w:r>
        <w:rPr>
          <w:rFonts w:ascii="Calibri" w:hAnsi="Calibri"/>
          <w:color w:val="262421"/>
          <w:sz w:val="20"/>
        </w:rPr>
        <w:t>Discover: What are you growing / what's the field for? How many acres? Do you have a recent soil test? Bag, tote, or bulk? Pickup or should we deliver?</w:t>
      </w:r>
    </w:p>
    <w:p>
      <w:pPr>
        <w:spacing w:after="40"/>
        <w:ind w:left="216"/>
      </w:pPr>
      <w:r>
        <w:rPr>
          <w:rFonts w:ascii="Calibri" w:hAnsi="Calibri"/>
          <w:color w:val="262421"/>
          <w:sz w:val="20"/>
        </w:rPr>
        <w:t>Value: "We can blend exactly to your soil and crop, package it how you want, and get it to you — pickup, flatbed delivery, or we can spread it."</w:t>
      </w:r>
    </w:p>
    <w:p>
      <w:pPr>
        <w:spacing w:after="40"/>
        <w:ind w:left="216"/>
      </w:pPr>
      <w:r>
        <w:rPr>
          <w:rFonts w:ascii="Calibri" w:hAnsi="Calibri"/>
          <w:color w:val="262421"/>
          <w:sz w:val="20"/>
        </w:rPr>
        <w:t>Close: "I can put a quote together today. What's the best number, and when do you need it on the ground?"</w:t>
      </w:r>
    </w:p>
    <w:p>
      <w:pPr>
        <w:keepNext/>
        <w:spacing w:before="120" w:after="20"/>
      </w:pPr>
      <w:r>
        <w:rPr>
          <w:rFonts w:ascii="Calibri" w:hAnsi="Calibri"/>
          <w:b/>
          <w:color w:val="8A5A12"/>
          <w:sz w:val="21"/>
        </w:rPr>
        <w:t>Equipment inquiry</w:t>
      </w:r>
    </w:p>
    <w:p>
      <w:pPr>
        <w:spacing w:after="40"/>
        <w:ind w:left="216"/>
      </w:pPr>
      <w:r>
        <w:rPr>
          <w:rFonts w:ascii="Calibri" w:hAnsi="Calibri"/>
          <w:color w:val="262421"/>
          <w:sz w:val="20"/>
        </w:rPr>
        <w:t>Open: "Rodgers Fertilizer — we're an authorized Bush Hog dealer and carry Great Plains too. Let's find you the right machine."</w:t>
      </w:r>
    </w:p>
    <w:p>
      <w:pPr>
        <w:spacing w:after="40"/>
        <w:ind w:left="216"/>
      </w:pPr>
      <w:r>
        <w:rPr>
          <w:rFonts w:ascii="Calibri" w:hAnsi="Calibri"/>
          <w:color w:val="262421"/>
          <w:sz w:val="20"/>
        </w:rPr>
        <w:t>Discover: What's the job (pasture, brush, field)? What tractor and horsepower? What width are you thinking? New, or open to used? Budget and timeframe?</w:t>
      </w:r>
    </w:p>
    <w:p>
      <w:pPr>
        <w:spacing w:after="40"/>
        <w:ind w:left="216"/>
      </w:pPr>
      <w:r>
        <w:rPr>
          <w:rFonts w:ascii="Calibri" w:hAnsi="Calibri"/>
          <w:color w:val="262421"/>
          <w:sz w:val="20"/>
        </w:rPr>
        <w:t>Value: "The key is matching the cutter to your tractor and material — I'll make sure we spec it right so it lasts."</w:t>
      </w:r>
    </w:p>
    <w:p>
      <w:pPr>
        <w:spacing w:after="40"/>
        <w:ind w:left="216"/>
      </w:pPr>
      <w:r>
        <w:rPr>
          <w:rFonts w:ascii="Calibri" w:hAnsi="Calibri"/>
          <w:color w:val="262421"/>
          <w:sz w:val="20"/>
        </w:rPr>
        <w:t>Close: "Let me confirm availability and pricing and follow up. Best number and timeframe?"</w:t>
      </w:r>
    </w:p>
    <w:p>
      <w:pPr>
        <w:keepNext/>
        <w:spacing w:before="120" w:after="20"/>
      </w:pPr>
      <w:r>
        <w:rPr>
          <w:rFonts w:ascii="Calibri" w:hAnsi="Calibri"/>
          <w:b/>
          <w:color w:val="8A5A12"/>
          <w:sz w:val="21"/>
        </w:rPr>
        <w:t>Parts inquiry</w:t>
      </w:r>
    </w:p>
    <w:p>
      <w:pPr>
        <w:spacing w:after="40"/>
        <w:ind w:left="216"/>
      </w:pPr>
      <w:r>
        <w:rPr>
          <w:rFonts w:ascii="Calibri" w:hAnsi="Calibri"/>
          <w:color w:val="262421"/>
          <w:sz w:val="20"/>
        </w:rPr>
        <w:t>Open: "Rodgers Fertilizer parts — let's get you the exact part."</w:t>
      </w:r>
    </w:p>
    <w:p>
      <w:pPr>
        <w:spacing w:after="40"/>
        <w:ind w:left="216"/>
      </w:pPr>
      <w:r>
        <w:rPr>
          <w:rFonts w:ascii="Calibri" w:hAnsi="Calibri"/>
          <w:color w:val="262421"/>
          <w:sz w:val="20"/>
        </w:rPr>
        <w:t>Discover: What machine — make, model, and serial if you have it? Do you have the part number, or can you text a photo? How many?</w:t>
      </w:r>
    </w:p>
    <w:p>
      <w:pPr>
        <w:spacing w:after="40"/>
        <w:ind w:left="216"/>
      </w:pPr>
      <w:r>
        <w:rPr>
          <w:rFonts w:ascii="Calibri" w:hAnsi="Calibri"/>
          <w:color w:val="262421"/>
          <w:sz w:val="20"/>
        </w:rPr>
        <w:t>Value: "Send me a photo and your model and I'll identify it — we handle Bush Hog blades, gearboxes, drivelines, and wear parts."</w:t>
      </w:r>
    </w:p>
    <w:p>
      <w:pPr>
        <w:spacing w:after="40"/>
        <w:ind w:left="216"/>
      </w:pPr>
      <w:r>
        <w:rPr>
          <w:rFonts w:ascii="Calibri" w:hAnsi="Calibri"/>
          <w:color w:val="262421"/>
          <w:sz w:val="20"/>
        </w:rPr>
        <w:t>Close: "I'll confirm the part and let you know pickup or options. What's the best number to text?"</w:t>
      </w:r>
    </w:p>
    <w:p>
      <w:pPr>
        <w:keepNext/>
        <w:spacing w:before="160" w:after="40"/>
      </w:pPr>
      <w:r>
        <w:rPr>
          <w:rFonts w:ascii="Calibri" w:hAnsi="Calibri"/>
          <w:b/>
          <w:color w:val="33312D"/>
          <w:sz w:val="23"/>
        </w:rPr>
        <w:t>Email templates</w:t>
      </w:r>
    </w:p>
    <w:p>
      <w:pPr>
        <w:keepNext/>
        <w:spacing w:before="120" w:after="20"/>
      </w:pPr>
      <w:r>
        <w:rPr>
          <w:rFonts w:ascii="Calibri" w:hAnsi="Calibri"/>
          <w:b/>
          <w:color w:val="8A5A12"/>
          <w:sz w:val="21"/>
        </w:rPr>
        <w:t>Quote follow-up</w:t>
      </w:r>
    </w:p>
    <w:tbl>
      <w:tblPr>
        <w:tblW w:type="auto" w:w="0"/>
        <w:tblLook w:firstColumn="1" w:firstRow="1" w:lastColumn="0" w:lastRow="0" w:noHBand="0" w:noVBand="1" w:val="04A0"/>
      </w:tblPr>
      <w:tblGrid>
        <w:gridCol w:w="9936"/>
      </w:tblGrid>
      <w:tr>
        <w:tc>
          <w:tcPr>
            <w:tcW w:type="dxa" w:w="9936"/>
            <w:shd w:val="clear" w:color="auto" w:fill="F1EFE8"/>
          </w:tcPr>
          <w:p>
            <w:pPr>
              <w:spacing w:after="20"/>
            </w:pPr>
            <w:r>
              <w:rPr>
                <w:rFonts w:ascii="Consolas" w:hAnsi="Consolas"/>
                <w:color w:val="33312D"/>
                <w:sz w:val="18"/>
              </w:rPr>
              <w:t>Subject: Your Rodgers Fertilizer quote</w:t>
            </w:r>
          </w:p>
          <w:p>
            <w:pPr>
              <w:spacing w:after="20"/>
            </w:pPr>
            <w:r>
              <w:rPr>
                <w:rFonts w:ascii="Consolas" w:hAnsi="Consolas"/>
                <w:color w:val="33312D"/>
                <w:sz w:val="18"/>
              </w:rPr>
              <w:t>Hi {FirstName}, thanks for reaching out. Based on {crop/acreage or product},</w:t>
            </w:r>
          </w:p>
          <w:p>
            <w:pPr>
              <w:spacing w:after="20"/>
            </w:pPr>
            <w:r>
              <w:rPr>
                <w:rFonts w:ascii="Consolas" w:hAnsi="Consolas"/>
                <w:color w:val="33312D"/>
                <w:sz w:val="18"/>
              </w:rPr>
              <w:t>here's what we recommend: {blend/product}, {packaging}, {pickup/delivery}.</w:t>
            </w:r>
          </w:p>
          <w:p>
            <w:pPr>
              <w:spacing w:after="20"/>
            </w:pPr>
            <w:r>
              <w:rPr>
                <w:rFonts w:ascii="Consolas" w:hAnsi="Consolas"/>
                <w:color w:val="33312D"/>
                <w:sz w:val="18"/>
              </w:rPr>
              <w:t>Quote: we'll confirm pricing by {phone/reply}. Want us to schedule it for {date}?</w:t>
            </w:r>
          </w:p>
          <w:p>
            <w:pPr>
              <w:spacing w:after="20"/>
            </w:pPr>
            <w:r>
              <w:rPr>
                <w:rFonts w:ascii="Consolas" w:hAnsi="Consolas"/>
                <w:color w:val="33312D"/>
                <w:sz w:val="18"/>
              </w:rPr>
              <w:t>— {Rep}, Rodgers Fertilizer · 864-445-2104</w:t>
            </w:r>
          </w:p>
        </w:tc>
      </w:tr>
    </w:tbl>
    <w:p>
      <w:pPr>
        <w:spacing w:after="40"/>
      </w:pPr>
    </w:p>
    <w:p>
      <w:pPr>
        <w:keepNext/>
        <w:spacing w:before="120" w:after="20"/>
      </w:pPr>
      <w:r>
        <w:rPr>
          <w:rFonts w:ascii="Calibri" w:hAnsi="Calibri"/>
          <w:b/>
          <w:color w:val="8A5A12"/>
          <w:sz w:val="21"/>
        </w:rPr>
        <w:t>No-response follow-up</w:t>
      </w:r>
    </w:p>
    <w:tbl>
      <w:tblPr>
        <w:tblW w:type="auto" w:w="0"/>
        <w:tblLook w:firstColumn="1" w:firstRow="1" w:lastColumn="0" w:lastRow="0" w:noHBand="0" w:noVBand="1" w:val="04A0"/>
      </w:tblPr>
      <w:tblGrid>
        <w:gridCol w:w="9936"/>
      </w:tblGrid>
      <w:tr>
        <w:tc>
          <w:tcPr>
            <w:tcW w:type="dxa" w:w="9936"/>
            <w:shd w:val="clear" w:color="auto" w:fill="F1EFE8"/>
          </w:tcPr>
          <w:p>
            <w:pPr>
              <w:spacing w:after="20"/>
            </w:pPr>
            <w:r>
              <w:rPr>
                <w:rFonts w:ascii="Consolas" w:hAnsi="Consolas"/>
                <w:color w:val="33312D"/>
                <w:sz w:val="18"/>
              </w:rPr>
              <w:t>Subject: Still want that {product} quote?</w:t>
            </w:r>
          </w:p>
          <w:p>
            <w:pPr>
              <w:spacing w:after="20"/>
            </w:pPr>
            <w:r>
              <w:rPr>
                <w:rFonts w:ascii="Consolas" w:hAnsi="Consolas"/>
                <w:color w:val="33312D"/>
                <w:sz w:val="18"/>
              </w:rPr>
              <w:t>Hi {FirstName}, just checking in on the {product/blend} you asked about.</w:t>
            </w:r>
          </w:p>
          <w:p>
            <w:pPr>
              <w:spacing w:after="20"/>
            </w:pPr>
            <w:r>
              <w:rPr>
                <w:rFonts w:ascii="Consolas" w:hAnsi="Consolas"/>
                <w:color w:val="33312D"/>
                <w:sz w:val="18"/>
              </w:rPr>
              <w:t>Happy to lock in a quote and a pickup or delivery date whenever you're ready —</w:t>
            </w:r>
          </w:p>
          <w:p>
            <w:pPr>
              <w:spacing w:after="20"/>
            </w:pPr>
            <w:r>
              <w:rPr>
                <w:rFonts w:ascii="Consolas" w:hAnsi="Consolas"/>
                <w:color w:val="33312D"/>
                <w:sz w:val="18"/>
              </w:rPr>
              <w:t>reply here or call 864-445-2104. Season moves fast; glad to hold your spot.</w:t>
            </w:r>
          </w:p>
        </w:tc>
      </w:tr>
    </w:tbl>
    <w:p>
      <w:pPr>
        <w:spacing w:after="40"/>
      </w:pPr>
    </w:p>
    <w:p>
      <w:pPr>
        <w:keepNext/>
        <w:spacing w:before="120" w:after="20"/>
      </w:pPr>
      <w:r>
        <w:rPr>
          <w:rFonts w:ascii="Calibri" w:hAnsi="Calibri"/>
          <w:b/>
          <w:color w:val="8A5A12"/>
          <w:sz w:val="21"/>
        </w:rPr>
        <w:t>Inventory / availability update</w:t>
      </w:r>
    </w:p>
    <w:tbl>
      <w:tblPr>
        <w:tblW w:type="auto" w:w="0"/>
        <w:tblLook w:firstColumn="1" w:firstRow="1" w:lastColumn="0" w:lastRow="0" w:noHBand="0" w:noVBand="1" w:val="04A0"/>
      </w:tblPr>
      <w:tblGrid>
        <w:gridCol w:w="9936"/>
      </w:tblGrid>
      <w:tr>
        <w:tc>
          <w:tcPr>
            <w:tcW w:type="dxa" w:w="9936"/>
            <w:shd w:val="clear" w:color="auto" w:fill="F1EFE8"/>
          </w:tcPr>
          <w:p>
            <w:pPr>
              <w:spacing w:after="20"/>
            </w:pPr>
            <w:r>
              <w:rPr>
                <w:rFonts w:ascii="Consolas" w:hAnsi="Consolas"/>
                <w:color w:val="33312D"/>
                <w:sz w:val="18"/>
              </w:rPr>
              <w:t>Subject: {product} is in / your part is ready</w:t>
            </w:r>
          </w:p>
          <w:p>
            <w:pPr>
              <w:spacing w:after="20"/>
            </w:pPr>
            <w:r>
              <w:rPr>
                <w:rFonts w:ascii="Consolas" w:hAnsi="Consolas"/>
                <w:color w:val="33312D"/>
                <w:sz w:val="18"/>
              </w:rPr>
              <w:t>Hi {FirstName}, quick update — {product/part} is available.</w:t>
            </w:r>
          </w:p>
          <w:p>
            <w:pPr>
              <w:spacing w:after="20"/>
            </w:pPr>
            <w:r>
              <w:rPr>
                <w:rFonts w:ascii="Consolas" w:hAnsi="Consolas"/>
                <w:color w:val="33312D"/>
                <w:sz w:val="18"/>
              </w:rPr>
              <w:t>Want us to set it aside for pickup, or get it on a delivery? Just reply or call.</w:t>
            </w:r>
          </w:p>
        </w:tc>
      </w:tr>
    </w:tbl>
    <w:p>
      <w:pPr>
        <w:spacing w:after="40"/>
      </w:pPr>
    </w:p>
    <w:p>
      <w:pPr>
        <w:keepNext/>
        <w:spacing w:before="160" w:after="40"/>
      </w:pPr>
      <w:r>
        <w:rPr>
          <w:rFonts w:ascii="Calibri" w:hAnsi="Calibri"/>
          <w:b/>
          <w:color w:val="33312D"/>
          <w:sz w:val="23"/>
        </w:rPr>
        <w:t>SMS templates</w:t>
      </w:r>
    </w:p>
    <w:tbl>
      <w:tblPr>
        <w:tblW w:type="auto" w:w="0"/>
        <w:tblLook w:firstColumn="1" w:firstRow="1" w:lastColumn="0" w:lastRow="0" w:noHBand="0" w:noVBand="1" w:val="04A0"/>
      </w:tblPr>
      <w:tblGrid>
        <w:gridCol w:w="9936"/>
      </w:tblGrid>
      <w:tr>
        <w:tc>
          <w:tcPr>
            <w:tcW w:type="dxa" w:w="9936"/>
            <w:shd w:val="clear" w:color="auto" w:fill="F1EFE8"/>
          </w:tcPr>
          <w:p>
            <w:pPr>
              <w:spacing w:after="20"/>
            </w:pPr>
            <w:r>
              <w:rPr>
                <w:rFonts w:ascii="Consolas" w:hAnsi="Consolas"/>
                <w:color w:val="33312D"/>
                <w:sz w:val="18"/>
              </w:rPr>
              <w:t>Lead confirmation: "Rodgers Fertilizer: got your {fertilizer/parts/equipment} request — we'll follow up shortly. Reply here or call 864-445-2104."</w:t>
            </w:r>
          </w:p>
          <w:p>
            <w:pPr>
              <w:spacing w:after="20"/>
            </w:pPr>
            <w:r>
              <w:rPr>
                <w:rFonts w:ascii="Consolas" w:hAnsi="Consolas"/>
                <w:color w:val="33312D"/>
                <w:sz w:val="18"/>
              </w:rPr>
              <w:t>Follow-up reminder: "Rodgers Fertilizer: still want that {product} quote? Reply YES and we'll get it to you."</w:t>
            </w:r>
          </w:p>
          <w:p>
            <w:pPr>
              <w:spacing w:after="20"/>
            </w:pPr>
            <w:r>
              <w:rPr>
                <w:rFonts w:ascii="Consolas" w:hAnsi="Consolas"/>
                <w:color w:val="33312D"/>
                <w:sz w:val="18"/>
              </w:rPr>
              <w:t>Ready for pickup: "Rodgers Fertilizer: your {product/part} is ready for pickup at 409 N Main St, Saluda. Mon-Fri 8-5."</w:t>
            </w:r>
          </w:p>
        </w:tc>
      </w:tr>
    </w:tbl>
    <w:p>
      <w:pPr>
        <w:spacing w:after="40"/>
      </w:pPr>
    </w:p>
    <w:p>
      <w:pPr>
        <w:spacing w:after="100" w:before="0"/>
      </w:pPr>
      <w:r>
        <w:rPr>
          <w:rFonts w:ascii="Calibri" w:hAnsi="Calibri"/>
          <w:b w:val="0"/>
          <w:i/>
          <w:color w:val="5C574E"/>
          <w:sz w:val="18"/>
        </w:rPr>
        <w:t>All scripts and templates are drafts for the team to adapt — confirm any response-time or delivery wording against what the owner approves.</w:t>
      </w:r>
    </w:p>
    <w:p>
      <w:pPr>
        <w:keepNext/>
        <w:spacing w:before="260" w:after="40"/>
        <w:outlineLvl w:val="0"/>
      </w:pPr>
      <w:r>
        <w:rPr>
          <w:rFonts w:ascii="Calibri" w:hAnsi="Calibri"/>
          <w:b/>
          <w:color w:val="B1761B"/>
          <w:sz w:val="30"/>
        </w:rPr>
        <w:t xml:space="preserve">7  </w:t>
      </w:r>
      <w:r>
        <w:rPr>
          <w:rFonts w:ascii="Calibri" w:hAnsi="Calibri"/>
          <w:b/>
          <w:color w:val="2F5D34"/>
          <w:sz w:val="30"/>
        </w:rPr>
        <w:t>CTA Improvement Plan</w:t>
      </w:r>
    </w:p>
    <w:p>
      <w:pPr>
        <w:spacing w:after="120" w:before="40"/>
        <w:pBdr>
          <w:bottom w:val="single" w:sz="11" w:space="1" w:color="B1761B"/>
        </w:pBdr>
      </w:pPr>
    </w:p>
    <w:p>
      <w:pPr>
        <w:pStyle w:val="ListBullet"/>
        <w:spacing w:after="46"/>
        <w:ind w:left="432"/>
      </w:pPr>
      <w:r>
        <w:rPr>
          <w:rFonts w:ascii="Calibri" w:hAnsi="Calibri"/>
          <w:color w:val="262421"/>
          <w:sz w:val="20"/>
        </w:rPr>
        <w:t>DONE: sticky mobile call/quote bar; form-specific quote CTAs; process strip; per-page primary + phone CTA.</w:t>
      </w:r>
    </w:p>
    <w:p>
      <w:pPr>
        <w:pStyle w:val="ListBullet"/>
        <w:spacing w:after="46"/>
        <w:ind w:left="432"/>
      </w:pPr>
      <w:r>
        <w:rPr>
          <w:rFonts w:ascii="Calibri" w:hAnsi="Calibri"/>
          <w:color w:val="262421"/>
          <w:sz w:val="20"/>
        </w:rPr>
        <w:t>NEXT: add a soil-test upload prompt directly on the Custom-Blends page (not just the form).</w:t>
      </w:r>
    </w:p>
    <w:p>
      <w:pPr>
        <w:pStyle w:val="ListBullet"/>
        <w:spacing w:after="46"/>
        <w:ind w:left="432"/>
      </w:pPr>
      <w:r>
        <w:rPr>
          <w:rFonts w:ascii="Calibri" w:hAnsi="Calibri"/>
          <w:color w:val="262421"/>
          <w:sz w:val="20"/>
        </w:rPr>
        <w:t>NEXT: add 'Text us a photo' as a parts CTA once a business texting line is confirmed.</w:t>
      </w:r>
    </w:p>
    <w:p>
      <w:pPr>
        <w:pStyle w:val="ListBullet"/>
        <w:spacing w:after="46"/>
        <w:ind w:left="432"/>
      </w:pPr>
      <w:r>
        <w:rPr>
          <w:rFonts w:ascii="Calibri" w:hAnsi="Calibri"/>
          <w:color w:val="262421"/>
          <w:sz w:val="20"/>
        </w:rPr>
        <w:t>NEXT: A/B test hero CTA wording (Request a Quote vs. Get a Blend Quote) once analytics has volume.</w:t>
      </w:r>
    </w:p>
    <w:p>
      <w:pPr>
        <w:keepNext/>
        <w:spacing w:before="260" w:after="40"/>
        <w:outlineLvl w:val="0"/>
      </w:pPr>
      <w:r>
        <w:rPr>
          <w:rFonts w:ascii="Calibri" w:hAnsi="Calibri"/>
          <w:b/>
          <w:color w:val="B1761B"/>
          <w:sz w:val="30"/>
        </w:rPr>
        <w:t xml:space="preserve">8  </w:t>
      </w:r>
      <w:r>
        <w:rPr>
          <w:rFonts w:ascii="Calibri" w:hAnsi="Calibri"/>
          <w:b/>
          <w:color w:val="2F5D34"/>
          <w:sz w:val="30"/>
        </w:rPr>
        <w:t>Trust Improvement Plan</w:t>
      </w:r>
    </w:p>
    <w:p>
      <w:pPr>
        <w:spacing w:after="120" w:before="40"/>
        <w:pBdr>
          <w:bottom w:val="single" w:sz="11" w:space="1" w:color="B1761B"/>
        </w:pBdr>
      </w:pPr>
    </w:p>
    <w:tbl>
      <w:tblPr>
        <w:tblW w:type="auto" w:w="0"/>
        <w:jc w:val="center"/>
        <w:tblLayout w:type="fixed"/>
        <w:tblLook w:firstColumn="1" w:firstRow="1" w:lastColumn="0" w:lastRow="0" w:noHBand="0" w:noVBand="1" w:val="04A0"/>
        <w:tblW w:type="dxa" w:w="9360"/>
        <w:tblBorders>
          <w:top w:val="single" w:sz="4" w:space="0" w:color="D8D0C0"/>
          <w:left w:val="single" w:sz="4" w:space="0" w:color="D8D0C0"/>
          <w:bottom w:val="single" w:sz="4" w:space="0" w:color="D8D0C0"/>
          <w:right w:val="single" w:sz="4" w:space="0" w:color="D8D0C0"/>
          <w:insideH w:val="single" w:sz="4" w:space="0" w:color="D8D0C0"/>
          <w:insideV w:val="single" w:sz="4" w:space="0" w:color="D8D0C0"/>
        </w:tblBorders>
      </w:tblPr>
      <w:tblGrid>
        <w:gridCol w:w="2500"/>
        <w:gridCol w:w="3300"/>
        <w:gridCol w:w="3560"/>
      </w:tblGrid>
      <w:tr>
        <w:tc>
          <w:tcPr>
            <w:tcW w:type="dxa" w:w="2500"/>
            <w:shd w:val="clear" w:color="auto" w:fill="2F5D34"/>
          </w:tcPr>
          <w:p>
            <w:pPr>
              <w:spacing w:after="20" w:before="20"/>
            </w:pPr>
            <w:r>
              <w:rPr>
                <w:rFonts w:ascii="Calibri" w:hAnsi="Calibri"/>
                <w:b/>
                <w:color w:val="FFFFFF"/>
                <w:sz w:val="18"/>
              </w:rPr>
              <w:t>Trust signal</w:t>
            </w:r>
          </w:p>
        </w:tc>
        <w:tc>
          <w:tcPr>
            <w:tcW w:type="dxa" w:w="3300"/>
            <w:shd w:val="clear" w:color="auto" w:fill="2F5D34"/>
          </w:tcPr>
          <w:p>
            <w:pPr>
              <w:spacing w:after="20" w:before="20"/>
            </w:pPr>
            <w:r>
              <w:rPr>
                <w:rFonts w:ascii="Calibri" w:hAnsi="Calibri"/>
                <w:b/>
                <w:color w:val="FFFFFF"/>
                <w:sz w:val="18"/>
              </w:rPr>
              <w:t>Now</w:t>
            </w:r>
          </w:p>
        </w:tc>
        <w:tc>
          <w:tcPr>
            <w:tcW w:type="dxa" w:w="3560"/>
            <w:shd w:val="clear" w:color="auto" w:fill="2F5D34"/>
          </w:tcPr>
          <w:p>
            <w:pPr>
              <w:spacing w:after="20" w:before="20"/>
            </w:pPr>
            <w:r>
              <w:rPr>
                <w:rFonts w:ascii="Calibri" w:hAnsi="Calibri"/>
                <w:b/>
                <w:color w:val="FFFFFF"/>
                <w:sz w:val="18"/>
              </w:rPr>
              <w:t>Improve</w:t>
            </w:r>
          </w:p>
        </w:tc>
      </w:tr>
      <w:tr>
        <w:tc>
          <w:tcPr>
            <w:tcW w:type="dxa" w:w="2500"/>
          </w:tcPr>
          <w:p>
            <w:pPr>
              <w:spacing w:after="20" w:before="20"/>
            </w:pPr>
            <w:r>
              <w:rPr>
                <w:rFonts w:ascii="Calibri" w:hAnsi="Calibri"/>
                <w:b w:val="0"/>
                <w:color w:val="262421"/>
                <w:sz w:val="17"/>
              </w:rPr>
              <w:t>Years in business</w:t>
            </w:r>
          </w:p>
        </w:tc>
        <w:tc>
          <w:tcPr>
            <w:tcW w:type="dxa" w:w="3300"/>
          </w:tcPr>
          <w:p>
            <w:pPr>
              <w:spacing w:after="20" w:before="20"/>
            </w:pPr>
            <w:r>
              <w:rPr>
                <w:rFonts w:ascii="Calibri" w:hAnsi="Calibri"/>
                <w:b w:val="0"/>
                <w:color w:val="262421"/>
                <w:sz w:val="17"/>
              </w:rPr>
              <w:t>Since 1976 shown site-wide</w:t>
            </w:r>
          </w:p>
        </w:tc>
        <w:tc>
          <w:tcPr>
            <w:tcW w:type="dxa" w:w="3560"/>
          </w:tcPr>
          <w:p>
            <w:pPr>
              <w:spacing w:after="20" w:before="20"/>
            </w:pPr>
            <w:r>
              <w:rPr>
                <w:rFonts w:ascii="Calibri" w:hAnsi="Calibri"/>
                <w:b w:val="0"/>
                <w:color w:val="262421"/>
                <w:sz w:val="17"/>
              </w:rPr>
              <w:t>Add a short founding story on About (owner)</w:t>
            </w:r>
          </w:p>
        </w:tc>
      </w:tr>
      <w:tr>
        <w:tc>
          <w:tcPr>
            <w:tcW w:type="dxa" w:w="2500"/>
            <w:shd w:val="clear" w:color="auto" w:fill="F3F1E9"/>
          </w:tcPr>
          <w:p>
            <w:pPr>
              <w:spacing w:after="20" w:before="20"/>
            </w:pPr>
            <w:r>
              <w:rPr>
                <w:rFonts w:ascii="Calibri" w:hAnsi="Calibri"/>
                <w:b w:val="0"/>
                <w:color w:val="262421"/>
                <w:sz w:val="17"/>
              </w:rPr>
              <w:t>Dealer relationships</w:t>
            </w:r>
          </w:p>
        </w:tc>
        <w:tc>
          <w:tcPr>
            <w:tcW w:type="dxa" w:w="3300"/>
            <w:shd w:val="clear" w:color="auto" w:fill="F3F1E9"/>
          </w:tcPr>
          <w:p>
            <w:pPr>
              <w:spacing w:after="20" w:before="20"/>
            </w:pPr>
            <w:r>
              <w:rPr>
                <w:rFonts w:ascii="Calibri" w:hAnsi="Calibri"/>
                <w:b w:val="0"/>
                <w:color w:val="262421"/>
                <w:sz w:val="17"/>
              </w:rPr>
              <w:t>Bush Hog + Great Plains named</w:t>
            </w:r>
          </w:p>
        </w:tc>
        <w:tc>
          <w:tcPr>
            <w:tcW w:type="dxa" w:w="3560"/>
            <w:shd w:val="clear" w:color="auto" w:fill="F3F1E9"/>
          </w:tcPr>
          <w:p>
            <w:pPr>
              <w:spacing w:after="20" w:before="20"/>
            </w:pPr>
            <w:r>
              <w:rPr>
                <w:rFonts w:ascii="Calibri" w:hAnsi="Calibri"/>
                <w:b w:val="0"/>
                <w:color w:val="262421"/>
                <w:sz w:val="17"/>
              </w:rPr>
              <w:t>Add dealer badges/logos (owner assets)</w:t>
            </w:r>
          </w:p>
        </w:tc>
      </w:tr>
      <w:tr>
        <w:tc>
          <w:tcPr>
            <w:tcW w:type="dxa" w:w="2500"/>
          </w:tcPr>
          <w:p>
            <w:pPr>
              <w:spacing w:after="20" w:before="20"/>
            </w:pPr>
            <w:r>
              <w:rPr>
                <w:rFonts w:ascii="Calibri" w:hAnsi="Calibri"/>
                <w:b w:val="0"/>
                <w:color w:val="262421"/>
                <w:sz w:val="17"/>
              </w:rPr>
              <w:t>Local proof</w:t>
            </w:r>
          </w:p>
        </w:tc>
        <w:tc>
          <w:tcPr>
            <w:tcW w:type="dxa" w:w="3300"/>
          </w:tcPr>
          <w:p>
            <w:pPr>
              <w:spacing w:after="20" w:before="20"/>
            </w:pPr>
            <w:r>
              <w:rPr>
                <w:rFonts w:ascii="Calibri" w:hAnsi="Calibri"/>
                <w:b w:val="0"/>
                <w:color w:val="262421"/>
                <w:sz w:val="17"/>
              </w:rPr>
              <w:t>Saluda NAP + service-area pages</w:t>
            </w:r>
          </w:p>
        </w:tc>
        <w:tc>
          <w:tcPr>
            <w:tcW w:type="dxa" w:w="3560"/>
          </w:tcPr>
          <w:p>
            <w:pPr>
              <w:spacing w:after="20" w:before="20"/>
            </w:pPr>
            <w:r>
              <w:rPr>
                <w:rFonts w:ascii="Calibri" w:hAnsi="Calibri"/>
                <w:b w:val="0"/>
                <w:color w:val="262421"/>
                <w:sz w:val="17"/>
              </w:rPr>
              <w:t>Add facility/truck photos (owner)</w:t>
            </w:r>
          </w:p>
        </w:tc>
      </w:tr>
      <w:tr>
        <w:tc>
          <w:tcPr>
            <w:tcW w:type="dxa" w:w="2500"/>
            <w:shd w:val="clear" w:color="auto" w:fill="F3F1E9"/>
          </w:tcPr>
          <w:p>
            <w:pPr>
              <w:spacing w:after="20" w:before="20"/>
            </w:pPr>
            <w:r>
              <w:rPr>
                <w:rFonts w:ascii="Calibri" w:hAnsi="Calibri"/>
                <w:b w:val="0"/>
                <w:color w:val="262421"/>
                <w:sz w:val="17"/>
              </w:rPr>
              <w:t>Process transparency</w:t>
            </w:r>
          </w:p>
        </w:tc>
        <w:tc>
          <w:tcPr>
            <w:tcW w:type="dxa" w:w="3300"/>
            <w:shd w:val="clear" w:color="auto" w:fill="F3F1E9"/>
          </w:tcPr>
          <w:p>
            <w:pPr>
              <w:spacing w:after="20" w:before="20"/>
            </w:pPr>
            <w:r>
              <w:rPr>
                <w:rFonts w:ascii="Calibri" w:hAnsi="Calibri"/>
                <w:b w:val="0"/>
                <w:color w:val="262421"/>
                <w:sz w:val="17"/>
              </w:rPr>
              <w:t>3-step 'How it works' strip</w:t>
            </w:r>
          </w:p>
        </w:tc>
        <w:tc>
          <w:tcPr>
            <w:tcW w:type="dxa" w:w="3560"/>
            <w:shd w:val="clear" w:color="auto" w:fill="F3F1E9"/>
          </w:tcPr>
          <w:p>
            <w:pPr>
              <w:spacing w:after="20" w:before="20"/>
            </w:pPr>
            <w:r>
              <w:rPr>
                <w:rFonts w:ascii="Calibri" w:hAnsi="Calibri"/>
                <w:b w:val="0"/>
                <w:color w:val="262421"/>
                <w:sz w:val="17"/>
              </w:rPr>
              <w:t>Add turnaround expectations once confirmed</w:t>
            </w:r>
          </w:p>
        </w:tc>
      </w:tr>
      <w:tr>
        <w:tc>
          <w:tcPr>
            <w:tcW w:type="dxa" w:w="2500"/>
          </w:tcPr>
          <w:p>
            <w:pPr>
              <w:spacing w:after="20" w:before="20"/>
            </w:pPr>
            <w:r>
              <w:rPr>
                <w:rFonts w:ascii="Calibri" w:hAnsi="Calibri"/>
                <w:b w:val="0"/>
                <w:color w:val="262421"/>
                <w:sz w:val="17"/>
              </w:rPr>
              <w:t>Social proof</w:t>
            </w:r>
          </w:p>
        </w:tc>
        <w:tc>
          <w:tcPr>
            <w:tcW w:type="dxa" w:w="3300"/>
          </w:tcPr>
          <w:p>
            <w:pPr>
              <w:spacing w:after="20" w:before="20"/>
            </w:pPr>
            <w:r>
              <w:rPr>
                <w:rFonts w:ascii="Calibri" w:hAnsi="Calibri"/>
                <w:b w:val="0"/>
                <w:color w:val="262421"/>
                <w:sz w:val="17"/>
              </w:rPr>
              <w:t>(reserved)</w:t>
            </w:r>
          </w:p>
        </w:tc>
        <w:tc>
          <w:tcPr>
            <w:tcW w:type="dxa" w:w="3560"/>
          </w:tcPr>
          <w:p>
            <w:pPr>
              <w:spacing w:after="20" w:before="20"/>
            </w:pPr>
            <w:r>
              <w:rPr>
                <w:rFonts w:ascii="Calibri" w:hAnsi="Calibri"/>
                <w:b w:val="0"/>
                <w:color w:val="262421"/>
                <w:sz w:val="17"/>
              </w:rPr>
              <w:t>Display review rating + testimonials once approved</w:t>
            </w:r>
          </w:p>
        </w:tc>
      </w:tr>
      <w:tr>
        <w:tc>
          <w:tcPr>
            <w:tcW w:type="dxa" w:w="2500"/>
            <w:shd w:val="clear" w:color="auto" w:fill="F3F1E9"/>
          </w:tcPr>
          <w:p>
            <w:pPr>
              <w:spacing w:after="20" w:before="20"/>
            </w:pPr>
            <w:r>
              <w:rPr>
                <w:rFonts w:ascii="Calibri" w:hAnsi="Calibri"/>
                <w:b w:val="0"/>
                <w:color w:val="262421"/>
                <w:sz w:val="17"/>
              </w:rPr>
              <w:t>Authority</w:t>
            </w:r>
          </w:p>
        </w:tc>
        <w:tc>
          <w:tcPr>
            <w:tcW w:type="dxa" w:w="3300"/>
            <w:shd w:val="clear" w:color="auto" w:fill="F3F1E9"/>
          </w:tcPr>
          <w:p>
            <w:pPr>
              <w:spacing w:after="20" w:before="20"/>
            </w:pPr>
            <w:r>
              <w:rPr>
                <w:rFonts w:ascii="Calibri" w:hAnsi="Calibri"/>
                <w:b w:val="0"/>
                <w:color w:val="262421"/>
                <w:sz w:val="17"/>
              </w:rPr>
              <w:t>25 guides + 101 FAQs</w:t>
            </w:r>
          </w:p>
        </w:tc>
        <w:tc>
          <w:tcPr>
            <w:tcW w:type="dxa" w:w="3560"/>
            <w:shd w:val="clear" w:color="auto" w:fill="F3F1E9"/>
          </w:tcPr>
          <w:p>
            <w:pPr>
              <w:spacing w:after="20" w:before="20"/>
            </w:pPr>
            <w:r>
              <w:rPr>
                <w:rFonts w:ascii="Calibri" w:hAnsi="Calibri"/>
                <w:b w:val="0"/>
                <w:color w:val="262421"/>
                <w:sz w:val="17"/>
              </w:rPr>
              <w:t>Keep publishing seasonal content</w:t>
            </w:r>
          </w:p>
        </w:tc>
      </w:tr>
    </w:tbl>
    <w:p>
      <w:pPr>
        <w:spacing w:after="20"/>
      </w:pPr>
    </w:p>
    <w:p>
      <w:pPr>
        <w:keepNext/>
        <w:spacing w:before="260" w:after="40"/>
        <w:outlineLvl w:val="0"/>
      </w:pPr>
      <w:r>
        <w:rPr>
          <w:rFonts w:ascii="Calibri" w:hAnsi="Calibri"/>
          <w:b/>
          <w:color w:val="B1761B"/>
          <w:sz w:val="30"/>
        </w:rPr>
        <w:t xml:space="preserve">9  </w:t>
      </w:r>
      <w:r>
        <w:rPr>
          <w:rFonts w:ascii="Calibri" w:hAnsi="Calibri"/>
          <w:b/>
          <w:color w:val="2F5D34"/>
          <w:sz w:val="30"/>
        </w:rPr>
        <w:t>Estimated Conversion Lift (illustrative)</w:t>
      </w:r>
    </w:p>
    <w:p>
      <w:pPr>
        <w:spacing w:after="120" w:before="40"/>
        <w:pBdr>
          <w:bottom w:val="single" w:sz="11" w:space="1" w:color="B1761B"/>
        </w:pBdr>
      </w:pPr>
    </w:p>
    <w:p>
      <w:pPr>
        <w:spacing w:after="100" w:before="0"/>
      </w:pPr>
      <w:r>
        <w:rPr>
          <w:rFonts w:ascii="Calibri" w:hAnsi="Calibri"/>
          <w:b w:val="0"/>
          <w:i/>
          <w:color w:val="5C574E"/>
          <w:sz w:val="19"/>
        </w:rPr>
        <w:t>Directional estimate with stated assumptions — not a guarantee; validate with GA4 once live.</w:t>
      </w:r>
    </w:p>
    <w:tbl>
      <w:tblPr>
        <w:tblW w:type="auto" w:w="0"/>
        <w:jc w:val="center"/>
        <w:tblLayout w:type="fixed"/>
        <w:tblLook w:firstColumn="1" w:firstRow="1" w:lastColumn="0" w:lastRow="0" w:noHBand="0" w:noVBand="1" w:val="04A0"/>
        <w:tblW w:type="dxa" w:w="9360"/>
        <w:tblBorders>
          <w:top w:val="single" w:sz="4" w:space="0" w:color="D8D0C0"/>
          <w:left w:val="single" w:sz="4" w:space="0" w:color="D8D0C0"/>
          <w:bottom w:val="single" w:sz="4" w:space="0" w:color="D8D0C0"/>
          <w:right w:val="single" w:sz="4" w:space="0" w:color="D8D0C0"/>
          <w:insideH w:val="single" w:sz="4" w:space="0" w:color="D8D0C0"/>
          <w:insideV w:val="single" w:sz="4" w:space="0" w:color="D8D0C0"/>
        </w:tblBorders>
      </w:tblPr>
      <w:tblGrid>
        <w:gridCol w:w="3200"/>
        <w:gridCol w:w="6160"/>
      </w:tblGrid>
      <w:tr>
        <w:tc>
          <w:tcPr>
            <w:tcW w:type="dxa" w:w="3200"/>
            <w:shd w:val="clear" w:color="auto" w:fill="2F5D34"/>
          </w:tcPr>
          <w:p>
            <w:pPr>
              <w:spacing w:after="20" w:before="20"/>
            </w:pPr>
            <w:r>
              <w:rPr>
                <w:rFonts w:ascii="Calibri" w:hAnsi="Calibri"/>
                <w:b/>
                <w:color w:val="FFFFFF"/>
                <w:sz w:val="18"/>
              </w:rPr>
              <w:t>Change</w:t>
            </w:r>
          </w:p>
        </w:tc>
        <w:tc>
          <w:tcPr>
            <w:tcW w:type="dxa" w:w="6160"/>
            <w:shd w:val="clear" w:color="auto" w:fill="2F5D34"/>
          </w:tcPr>
          <w:p>
            <w:pPr>
              <w:spacing w:after="20" w:before="20"/>
            </w:pPr>
            <w:r>
              <w:rPr>
                <w:rFonts w:ascii="Calibri" w:hAnsi="Calibri"/>
                <w:b/>
                <w:color w:val="FFFFFF"/>
                <w:sz w:val="18"/>
              </w:rPr>
              <w:t>Typical effect (illustrative)</w:t>
            </w:r>
          </w:p>
        </w:tc>
      </w:tr>
      <w:tr>
        <w:tc>
          <w:tcPr>
            <w:tcW w:type="dxa" w:w="3200"/>
          </w:tcPr>
          <w:p>
            <w:pPr>
              <w:spacing w:after="20" w:before="20"/>
            </w:pPr>
            <w:r>
              <w:rPr>
                <w:rFonts w:ascii="Calibri" w:hAnsi="Calibri"/>
                <w:b w:val="0"/>
                <w:color w:val="262421"/>
                <w:sz w:val="17"/>
              </w:rPr>
              <w:t>Sticky mobile CTA + click-to-call</w:t>
            </w:r>
          </w:p>
        </w:tc>
        <w:tc>
          <w:tcPr>
            <w:tcW w:type="dxa" w:w="6160"/>
          </w:tcPr>
          <w:p>
            <w:pPr>
              <w:spacing w:after="20" w:before="20"/>
            </w:pPr>
            <w:r>
              <w:rPr>
                <w:rFonts w:ascii="Calibri" w:hAnsi="Calibri"/>
                <w:b w:val="0"/>
                <w:color w:val="262421"/>
                <w:sz w:val="17"/>
              </w:rPr>
              <w:t>More calls from mobile — often a meaningful share of ag traffic</w:t>
            </w:r>
          </w:p>
        </w:tc>
      </w:tr>
      <w:tr>
        <w:tc>
          <w:tcPr>
            <w:tcW w:type="dxa" w:w="3200"/>
            <w:shd w:val="clear" w:color="auto" w:fill="F3F1E9"/>
          </w:tcPr>
          <w:p>
            <w:pPr>
              <w:spacing w:after="20" w:before="20"/>
            </w:pPr>
            <w:r>
              <w:rPr>
                <w:rFonts w:ascii="Calibri" w:hAnsi="Calibri"/>
                <w:b w:val="0"/>
                <w:color w:val="262421"/>
                <w:sz w:val="17"/>
              </w:rPr>
              <w:t>Purpose-built, sales-ready forms</w:t>
            </w:r>
          </w:p>
        </w:tc>
        <w:tc>
          <w:tcPr>
            <w:tcW w:type="dxa" w:w="6160"/>
            <w:shd w:val="clear" w:color="auto" w:fill="F3F1E9"/>
          </w:tcPr>
          <w:p>
            <w:pPr>
              <w:spacing w:after="20" w:before="20"/>
            </w:pPr>
            <w:r>
              <w:rPr>
                <w:rFonts w:ascii="Calibri" w:hAnsi="Calibri"/>
                <w:b w:val="0"/>
                <w:color w:val="262421"/>
                <w:sz w:val="17"/>
              </w:rPr>
              <w:t>Higher form completion + far higher lead quality (fewer callbacks to qualify)</w:t>
            </w:r>
          </w:p>
        </w:tc>
      </w:tr>
      <w:tr>
        <w:tc>
          <w:tcPr>
            <w:tcW w:type="dxa" w:w="3200"/>
          </w:tcPr>
          <w:p>
            <w:pPr>
              <w:spacing w:after="20" w:before="20"/>
            </w:pPr>
            <w:r>
              <w:rPr>
                <w:rFonts w:ascii="Calibri" w:hAnsi="Calibri"/>
                <w:b w:val="0"/>
                <w:color w:val="262421"/>
                <w:sz w:val="17"/>
              </w:rPr>
              <w:t>Lead scoring + prioritization</w:t>
            </w:r>
          </w:p>
        </w:tc>
        <w:tc>
          <w:tcPr>
            <w:tcW w:type="dxa" w:w="6160"/>
          </w:tcPr>
          <w:p>
            <w:pPr>
              <w:spacing w:after="20" w:before="20"/>
            </w:pPr>
            <w:r>
              <w:rPr>
                <w:rFonts w:ascii="Calibri" w:hAnsi="Calibri"/>
                <w:b w:val="0"/>
                <w:color w:val="262421"/>
                <w:sz w:val="17"/>
              </w:rPr>
              <w:t>Faster follow-up on high-value leads → better close rate</w:t>
            </w:r>
          </w:p>
        </w:tc>
      </w:tr>
      <w:tr>
        <w:tc>
          <w:tcPr>
            <w:tcW w:type="dxa" w:w="3200"/>
            <w:shd w:val="clear" w:color="auto" w:fill="F3F1E9"/>
          </w:tcPr>
          <w:p>
            <w:pPr>
              <w:spacing w:after="20" w:before="20"/>
            </w:pPr>
            <w:r>
              <w:rPr>
                <w:rFonts w:ascii="Calibri" w:hAnsi="Calibri"/>
                <w:b w:val="0"/>
                <w:color w:val="262421"/>
                <w:sz w:val="17"/>
              </w:rPr>
              <w:t>Process strip + trust</w:t>
            </w:r>
          </w:p>
        </w:tc>
        <w:tc>
          <w:tcPr>
            <w:tcW w:type="dxa" w:w="6160"/>
            <w:shd w:val="clear" w:color="auto" w:fill="F3F1E9"/>
          </w:tcPr>
          <w:p>
            <w:pPr>
              <w:spacing w:after="20" w:before="20"/>
            </w:pPr>
            <w:r>
              <w:rPr>
                <w:rFonts w:ascii="Calibri" w:hAnsi="Calibri"/>
                <w:b w:val="0"/>
                <w:color w:val="262421"/>
                <w:sz w:val="17"/>
              </w:rPr>
              <w:t>Lower hesitation → higher submit rate</w:t>
            </w:r>
          </w:p>
        </w:tc>
      </w:tr>
    </w:tbl>
    <w:p>
      <w:pPr>
        <w:spacing w:after="20"/>
      </w:pPr>
    </w:p>
    <w:p>
      <w:pPr>
        <w:spacing w:after="100" w:before="0"/>
      </w:pPr>
      <w:r>
        <w:rPr>
          <w:rFonts w:ascii="Calibri" w:hAnsi="Calibri"/>
          <w:b w:val="0"/>
          <w:i w:val="0"/>
          <w:color w:val="5C574E"/>
          <w:sz w:val="19"/>
        </w:rPr>
        <w:t>Illustratively, a site that was purely informational moving to this funnel-and-capture model commonly sees a relative lift in qualified leads in the range of +20-40% — but the real number depends on traffic, season, and the team's follow-up speed. Treat as a target to measure, not a promise.</w:t>
      </w:r>
    </w:p>
    <w:p>
      <w:pPr>
        <w:keepNext/>
        <w:spacing w:before="260" w:after="40"/>
        <w:outlineLvl w:val="0"/>
      </w:pPr>
      <w:r>
        <w:rPr>
          <w:rFonts w:ascii="Calibri" w:hAnsi="Calibri"/>
          <w:b/>
          <w:color w:val="B1761B"/>
          <w:sz w:val="30"/>
        </w:rPr>
        <w:t xml:space="preserve">10  </w:t>
      </w:r>
      <w:r>
        <w:rPr>
          <w:rFonts w:ascii="Calibri" w:hAnsi="Calibri"/>
          <w:b/>
          <w:color w:val="2F5D34"/>
          <w:sz w:val="30"/>
        </w:rPr>
        <w:t>Phase 5 Roadmap</w:t>
      </w:r>
    </w:p>
    <w:p>
      <w:pPr>
        <w:spacing w:after="120" w:before="40"/>
        <w:pBdr>
          <w:bottom w:val="single" w:sz="11" w:space="1" w:color="B1761B"/>
        </w:pBdr>
      </w:pPr>
    </w:p>
    <w:p>
      <w:pPr>
        <w:pStyle w:val="ListBullet"/>
        <w:spacing w:after="46"/>
        <w:ind w:left="432"/>
      </w:pPr>
      <w:r>
        <w:rPr>
          <w:rFonts w:ascii="Calibri" w:hAnsi="Calibri"/>
          <w:color w:val="262421"/>
          <w:sz w:val="20"/>
        </w:rPr>
        <w:t>Wire /api/lead to a real email/SMS provider + the owner-assigned recipients and SLAs.</w:t>
      </w:r>
    </w:p>
    <w:p>
      <w:pPr>
        <w:pStyle w:val="ListBullet"/>
        <w:spacing w:after="46"/>
        <w:ind w:left="432"/>
      </w:pPr>
      <w:r>
        <w:rPr>
          <w:rFonts w:ascii="Calibri" w:hAnsi="Calibri"/>
          <w:color w:val="262421"/>
          <w:sz w:val="20"/>
        </w:rPr>
        <w:t>Connect a lightweight CRM (or a shared inbox with labels) consuming leadType/priority/valueBand/urgency.</w:t>
      </w:r>
    </w:p>
    <w:p>
      <w:pPr>
        <w:pStyle w:val="ListBullet"/>
        <w:spacing w:after="46"/>
        <w:ind w:left="432"/>
      </w:pPr>
      <w:r>
        <w:rPr>
          <w:rFonts w:ascii="Calibri" w:hAnsi="Calibri"/>
          <w:color w:val="262421"/>
          <w:sz w:val="20"/>
        </w:rPr>
        <w:t>Add GA4 + call tracking in production; build a simple lead dashboard (source → type → value → outcome).</w:t>
      </w:r>
    </w:p>
    <w:p>
      <w:pPr>
        <w:pStyle w:val="ListBullet"/>
        <w:spacing w:after="46"/>
        <w:ind w:left="432"/>
      </w:pPr>
      <w:r>
        <w:rPr>
          <w:rFonts w:ascii="Calibri" w:hAnsi="Calibri"/>
          <w:color w:val="262421"/>
          <w:sz w:val="20"/>
        </w:rPr>
        <w:t>Owner assets: logo, photography, reviews/testimonials, delivery radius, full catalog → closes the last 10%.</w:t>
      </w:r>
    </w:p>
    <w:p>
      <w:pPr>
        <w:pStyle w:val="ListBullet"/>
        <w:spacing w:after="46"/>
        <w:ind w:left="432"/>
      </w:pPr>
      <w:r>
        <w:rPr>
          <w:rFonts w:ascii="Calibri" w:hAnsi="Calibri"/>
          <w:color w:val="262421"/>
          <w:sz w:val="20"/>
        </w:rPr>
        <w:t>Post-launch: seasonal campaigns, review-acquisition workflow, and A/B testing on hero + form CTAs.</w:t>
      </w:r>
    </w:p>
    <w:p>
      <w:pPr>
        <w:spacing w:after="120" w:before="40"/>
        <w:pBdr>
          <w:bottom w:val="single" w:sz="12" w:space="1" w:color="B1761B"/>
        </w:pBdr>
      </w:pPr>
    </w:p>
    <w:p>
      <w:pPr>
        <w:spacing w:after="100" w:before="0"/>
        <w:jc w:val="center"/>
      </w:pPr>
      <w:r>
        <w:rPr>
          <w:rFonts w:ascii="Calibri" w:hAnsi="Calibri"/>
          <w:b w:val="0"/>
          <w:i/>
          <w:color w:val="5C574E"/>
          <w:sz w:val="18"/>
        </w:rPr>
        <w:t>Phase 4 complete: conversion machinery (funnel CTAs, sales-ready capture, auto lead classification, sticky mobile CTA, process/trust strip) is built into the staging app, and the sales playbook is ready. The site is now a lead-generation pipeline, not just an SEO asset.</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Calibri" w:hAnsi="Calibri"/>
      <w:color w:val="2624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