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rFonts w:ascii="Times New Roman" w:cs="Times New Roman" w:eastAsia="Times New Roman" w:hAnsi="Times New Roman"/>
          <w:b w:val="1"/>
          <w:bCs w:val="1"/>
          <w:color w:val="000000"/>
          <w:sz w:val="44"/>
          <w:szCs w:val="44"/>
          <w:rtl w:val="0"/>
        </w:rPr>
        <w:t xml:space="preserve">Software Requirements Specification</w:t>
      </w: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rtl w:val="0"/>
        </w:rPr>
      </w:r>
    </w:p>
    <w:p w:rsidR="00000000" w:rsidDel="00000000" w:rsidP="00000000" w:rsidRDefault="00000000" w:rsidRPr="00000000" w14:paraId="00000004">
      <w:pPr>
        <w:jc w:val="center"/>
        <w:rPr>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26"/>
          <w:szCs w:val="26"/>
        </w:rPr>
      </w:pPr>
      <w:r w:rsidDel="00000000" w:rsidR="00000000" w:rsidRPr="00000000">
        <w:rPr>
          <w:sz w:val="26"/>
          <w:szCs w:val="26"/>
          <w:rtl w:val="0"/>
        </w:rPr>
        <w:t xml:space="preserve">F</w:t>
      </w:r>
      <w:r w:rsidDel="00000000" w:rsidR="00000000" w:rsidRPr="00000000">
        <w:rPr>
          <w:rFonts w:ascii="Times New Roman" w:cs="Times New Roman" w:eastAsia="Times New Roman" w:hAnsi="Times New Roman"/>
          <w:color w:val="000000"/>
          <w:sz w:val="26"/>
          <w:szCs w:val="26"/>
          <w:rtl w:val="0"/>
        </w:rPr>
        <w:t xml:space="preserve">or</w:t>
      </w:r>
    </w:p>
    <w:p w:rsidR="00000000" w:rsidDel="00000000" w:rsidP="00000000" w:rsidRDefault="00000000" w:rsidRPr="00000000" w14:paraId="00000006">
      <w:pPr>
        <w:jc w:val="center"/>
        <w:rPr>
          <w:sz w:val="26"/>
          <w:szCs w:val="26"/>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spacing w:after="480" w:lineRule="auto"/>
        <w:jc w:val="center"/>
        <w:rPr>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SupplyTwinAI: An Autonomous Multi-Agent Supply Chain Digital Twin for Intelligent Decision Support</w:t>
      </w:r>
      <w:r w:rsidDel="00000000" w:rsidR="00000000" w:rsidRPr="00000000">
        <w:rPr>
          <w:rtl w:val="0"/>
        </w:rPr>
      </w:r>
    </w:p>
    <w:p w:rsidR="00000000" w:rsidDel="00000000" w:rsidP="00000000" w:rsidRDefault="00000000" w:rsidRPr="00000000" w14:paraId="00000009">
      <w:pPr>
        <w:spacing w:after="80" w:lineRule="auto"/>
        <w:jc w:val="center"/>
        <w:rPr>
          <w:b w:val="1"/>
          <w:bCs w:val="1"/>
        </w:rPr>
      </w:pPr>
      <w:r w:rsidDel="00000000" w:rsidR="00000000" w:rsidRPr="00000000">
        <w:rPr>
          <w:rtl w:val="0"/>
        </w:rPr>
      </w:r>
    </w:p>
    <w:p w:rsidR="00000000" w:rsidDel="00000000" w:rsidP="00000000" w:rsidRDefault="00000000" w:rsidRPr="00000000" w14:paraId="0000000A">
      <w:pPr>
        <w:spacing w:after="80" w:lineRule="auto"/>
        <w:jc w:val="center"/>
        <w:rPr>
          <w:b w:val="1"/>
          <w:bCs w:val="1"/>
        </w:rPr>
      </w:pPr>
      <w:r w:rsidDel="00000000" w:rsidR="00000000" w:rsidRPr="00000000">
        <w:rPr>
          <w:rtl w:val="0"/>
        </w:rPr>
      </w:r>
    </w:p>
    <w:p w:rsidR="00000000" w:rsidDel="00000000" w:rsidP="00000000" w:rsidRDefault="00000000" w:rsidRPr="00000000" w14:paraId="0000000B">
      <w:pPr>
        <w:spacing w:after="80" w:lineRule="auto"/>
        <w:jc w:val="center"/>
        <w:rPr>
          <w:b w:val="1"/>
          <w:bCs w:val="1"/>
        </w:rPr>
      </w:pPr>
      <w:r w:rsidDel="00000000" w:rsidR="00000000" w:rsidRPr="00000000">
        <w:rPr>
          <w:rtl w:val="0"/>
        </w:rPr>
      </w:r>
    </w:p>
    <w:p w:rsidR="00000000" w:rsidDel="00000000" w:rsidP="00000000" w:rsidRDefault="00000000" w:rsidRPr="00000000" w14:paraId="0000000C">
      <w:pPr>
        <w:spacing w:after="80" w:lineRule="auto"/>
        <w:jc w:val="center"/>
        <w:rPr>
          <w:b w:val="1"/>
          <w:bCs w:val="1"/>
        </w:rPr>
      </w:pPr>
      <w:r w:rsidDel="00000000" w:rsidR="00000000" w:rsidRPr="00000000">
        <w:rPr>
          <w:rtl w:val="0"/>
        </w:rPr>
      </w:r>
    </w:p>
    <w:p w:rsidR="00000000" w:rsidDel="00000000" w:rsidP="00000000" w:rsidRDefault="00000000" w:rsidRPr="00000000" w14:paraId="0000000D">
      <w:pPr>
        <w:spacing w:after="80" w:lineRule="auto"/>
        <w:jc w:val="center"/>
        <w:rPr>
          <w:b w:val="1"/>
          <w:bCs w:val="1"/>
        </w:rPr>
      </w:pPr>
      <w:r w:rsidDel="00000000" w:rsidR="00000000" w:rsidRPr="00000000">
        <w:rPr>
          <w:rtl w:val="0"/>
        </w:rPr>
      </w:r>
    </w:p>
    <w:p w:rsidR="00000000" w:rsidDel="00000000" w:rsidP="00000000" w:rsidRDefault="00000000" w:rsidRPr="00000000" w14:paraId="0000000E">
      <w:pPr>
        <w:spacing w:after="80" w:lineRule="auto"/>
        <w:jc w:val="center"/>
        <w:rPr>
          <w:b w:val="1"/>
          <w:bCs w:val="1"/>
        </w:rPr>
      </w:pPr>
      <w:r w:rsidDel="00000000" w:rsidR="00000000" w:rsidRPr="00000000">
        <w:rPr>
          <w:rtl w:val="0"/>
        </w:rPr>
      </w:r>
    </w:p>
    <w:p w:rsidR="00000000" w:rsidDel="00000000" w:rsidP="00000000" w:rsidRDefault="00000000" w:rsidRPr="00000000" w14:paraId="0000000F">
      <w:pPr>
        <w:spacing w:after="80" w:lineRule="auto"/>
        <w:jc w:val="center"/>
        <w:rPr>
          <w:b w:val="1"/>
          <w:bCs w:val="1"/>
        </w:rPr>
      </w:pPr>
      <w:r w:rsidDel="00000000" w:rsidR="00000000" w:rsidRPr="00000000">
        <w:rPr>
          <w:rtl w:val="0"/>
        </w:rPr>
      </w:r>
    </w:p>
    <w:p w:rsidR="00000000" w:rsidDel="00000000" w:rsidP="00000000" w:rsidRDefault="00000000" w:rsidRPr="00000000" w14:paraId="00000010">
      <w:pPr>
        <w:spacing w:after="80" w:lineRule="auto"/>
        <w:jc w:val="left"/>
        <w:rPr>
          <w:b w:val="1"/>
          <w:bCs w:val="1"/>
        </w:rPr>
      </w:pPr>
      <w:r w:rsidDel="00000000" w:rsidR="00000000" w:rsidRPr="00000000">
        <w:rPr>
          <w:rtl w:val="0"/>
        </w:rPr>
      </w:r>
    </w:p>
    <w:p w:rsidR="00000000" w:rsidDel="00000000" w:rsidP="00000000" w:rsidRDefault="00000000" w:rsidRPr="00000000" w14:paraId="00000011">
      <w:pPr>
        <w:spacing w:after="80" w:lineRule="auto"/>
        <w:jc w:val="right"/>
        <w:rPr/>
      </w:pPr>
      <w:r w:rsidDel="00000000" w:rsidR="00000000" w:rsidRPr="00000000">
        <w:rPr>
          <w:rFonts w:ascii="Times New Roman" w:cs="Times New Roman" w:eastAsia="Times New Roman" w:hAnsi="Times New Roman"/>
          <w:b w:val="1"/>
          <w:bCs w:val="1"/>
          <w:color w:val="000000"/>
          <w:sz w:val="22"/>
          <w:szCs w:val="22"/>
          <w:rtl w:val="0"/>
        </w:rPr>
        <w:t xml:space="preserve">Prepared by:</w:t>
      </w:r>
      <w:r w:rsidDel="00000000" w:rsidR="00000000" w:rsidRPr="00000000">
        <w:rPr>
          <w:rtl w:val="0"/>
        </w:rPr>
      </w:r>
    </w:p>
    <w:p w:rsidR="00000000" w:rsidDel="00000000" w:rsidP="00000000" w:rsidRDefault="00000000" w:rsidRPr="00000000" w14:paraId="00000012">
      <w:pPr>
        <w:spacing w:after="80" w:lineRule="auto"/>
        <w:jc w:val="right"/>
        <w:rPr/>
      </w:pPr>
      <w:r w:rsidDel="00000000" w:rsidR="00000000" w:rsidRPr="00000000">
        <w:rPr>
          <w:rFonts w:ascii="Times New Roman" w:cs="Times New Roman" w:eastAsia="Times New Roman" w:hAnsi="Times New Roman"/>
          <w:color w:val="000000"/>
          <w:sz w:val="22"/>
          <w:szCs w:val="22"/>
          <w:rtl w:val="0"/>
        </w:rPr>
        <w:t xml:space="preserve">Pranitha Avula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23BD1A0</w:t>
      </w:r>
      <w:r w:rsidDel="00000000" w:rsidR="00000000" w:rsidRPr="00000000">
        <w:rPr>
          <w:rtl w:val="0"/>
        </w:rPr>
        <w:t xml:space="preserve">566</w:t>
      </w:r>
      <w:r w:rsidDel="00000000" w:rsidR="00000000" w:rsidRPr="00000000">
        <w:rPr>
          <w:rtl w:val="0"/>
        </w:rPr>
      </w:r>
    </w:p>
    <w:p w:rsidR="00000000" w:rsidDel="00000000" w:rsidP="00000000" w:rsidRDefault="00000000" w:rsidRPr="00000000" w14:paraId="00000013">
      <w:pPr>
        <w:spacing w:after="80" w:lineRule="auto"/>
        <w:jc w:val="right"/>
        <w:rPr/>
      </w:pP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Sindhu Sri Thirunagari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23BD1A0579</w:t>
      </w:r>
      <w:r w:rsidDel="00000000" w:rsidR="00000000" w:rsidRPr="00000000">
        <w:rPr>
          <w:rtl w:val="0"/>
        </w:rPr>
      </w:r>
    </w:p>
    <w:p w:rsidR="00000000" w:rsidDel="00000000" w:rsidP="00000000" w:rsidRDefault="00000000" w:rsidRPr="00000000" w14:paraId="00000014">
      <w:pPr>
        <w:spacing w:after="80" w:lineRule="auto"/>
        <w:jc w:val="right"/>
        <w:rPr/>
      </w:pPr>
      <w:r w:rsidDel="00000000" w:rsidR="00000000" w:rsidRPr="00000000">
        <w:rPr>
          <w:rFonts w:ascii="Times New Roman" w:cs="Times New Roman" w:eastAsia="Times New Roman" w:hAnsi="Times New Roman"/>
          <w:color w:val="000000"/>
          <w:sz w:val="22"/>
          <w:szCs w:val="22"/>
          <w:rtl w:val="0"/>
        </w:rPr>
        <w:t xml:space="preserve">Kavya Tummalapally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23BD1A057A</w:t>
      </w:r>
      <w:r w:rsidDel="00000000" w:rsidR="00000000" w:rsidRPr="00000000">
        <w:rPr>
          <w:rtl w:val="0"/>
        </w:rPr>
      </w:r>
    </w:p>
    <w:p w:rsidR="00000000" w:rsidDel="00000000" w:rsidP="00000000" w:rsidRDefault="00000000" w:rsidRPr="00000000" w14:paraId="00000015">
      <w:pPr>
        <w:spacing w:after="80" w:lineRule="auto"/>
        <w:jc w:val="right"/>
        <w:rPr/>
      </w:pPr>
      <w:r w:rsidDel="00000000" w:rsidR="00000000" w:rsidRPr="00000000">
        <w:rPr>
          <w:rFonts w:ascii="Times New Roman" w:cs="Times New Roman" w:eastAsia="Times New Roman" w:hAnsi="Times New Roman"/>
          <w:color w:val="000000"/>
          <w:sz w:val="22"/>
          <w:szCs w:val="22"/>
          <w:rtl w:val="0"/>
        </w:rPr>
        <w:t xml:space="preserve">Divya Sree Vavilala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23BD1A057H</w:t>
      </w: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Team:</w:t>
      </w:r>
      <w:r w:rsidDel="00000000" w:rsidR="00000000" w:rsidRPr="00000000">
        <w:rPr>
          <w:rFonts w:ascii="Times New Roman" w:cs="Times New Roman" w:eastAsia="Times New Roman" w:hAnsi="Times New Roman"/>
          <w:color w:val="000000"/>
          <w:sz w:val="22"/>
          <w:szCs w:val="22"/>
          <w:rtl w:val="0"/>
        </w:rPr>
        <w:t xml:space="preserve"> 12 — CSE-D</w:t>
      </w:r>
      <w:r w:rsidDel="00000000" w:rsidR="00000000" w:rsidRPr="00000000">
        <w:rPr>
          <w:rtl w:val="0"/>
        </w:rPr>
      </w:r>
    </w:p>
    <w:p w:rsidR="00000000" w:rsidDel="00000000" w:rsidP="00000000" w:rsidRDefault="00000000" w:rsidRPr="00000000" w14:paraId="00000017">
      <w:pPr>
        <w:spacing w:after="80" w:lineRule="auto"/>
        <w:jc w:val="right"/>
        <w:rPr/>
      </w:pPr>
      <w:r w:rsidDel="00000000" w:rsidR="00000000" w:rsidRPr="00000000">
        <w:rPr>
          <w:rFonts w:ascii="Times New Roman" w:cs="Times New Roman" w:eastAsia="Times New Roman" w:hAnsi="Times New Roman"/>
          <w:b w:val="1"/>
          <w:bCs w:val="1"/>
          <w:color w:val="000000"/>
          <w:sz w:val="22"/>
          <w:szCs w:val="22"/>
          <w:rtl w:val="0"/>
        </w:rPr>
        <w:t xml:space="preserve">Faculty Supervisor:</w:t>
      </w:r>
      <w:r w:rsidDel="00000000" w:rsidR="00000000" w:rsidRPr="00000000">
        <w:rPr>
          <w:rFonts w:ascii="Times New Roman" w:cs="Times New Roman" w:eastAsia="Times New Roman" w:hAnsi="Times New Roman"/>
          <w:color w:val="000000"/>
          <w:sz w:val="22"/>
          <w:szCs w:val="22"/>
          <w:rtl w:val="0"/>
        </w:rPr>
        <w:t xml:space="preserve"> Mr. C. Sundeep Babu</w:t>
      </w:r>
      <w:r w:rsidDel="00000000" w:rsidR="00000000" w:rsidRPr="00000000">
        <w:rPr>
          <w:rtl w:val="0"/>
        </w:rPr>
      </w:r>
    </w:p>
    <w:p w:rsidR="00000000" w:rsidDel="00000000" w:rsidP="00000000" w:rsidRDefault="00000000" w:rsidRPr="00000000" w14:paraId="00000018">
      <w:pPr>
        <w:spacing w:after="80" w:lineRule="auto"/>
        <w:jc w:val="right"/>
        <w:rPr/>
      </w:pPr>
      <w:r w:rsidDel="00000000" w:rsidR="00000000" w:rsidRPr="00000000">
        <w:rPr>
          <w:rFonts w:ascii="Times New Roman" w:cs="Times New Roman" w:eastAsia="Times New Roman" w:hAnsi="Times New Roman"/>
          <w:b w:val="1"/>
          <w:bCs w:val="1"/>
          <w:color w:val="000000"/>
          <w:sz w:val="22"/>
          <w:szCs w:val="22"/>
          <w:rtl w:val="0"/>
        </w:rPr>
        <w:t xml:space="preserve">Domain:</w:t>
      </w:r>
      <w:r w:rsidDel="00000000" w:rsidR="00000000" w:rsidRPr="00000000">
        <w:rPr>
          <w:rFonts w:ascii="Times New Roman" w:cs="Times New Roman" w:eastAsia="Times New Roman" w:hAnsi="Times New Roman"/>
          <w:color w:val="000000"/>
          <w:sz w:val="22"/>
          <w:szCs w:val="22"/>
          <w:rtl w:val="0"/>
        </w:rPr>
        <w:t xml:space="preserve"> Artificial Intelligence and Machine Learning</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1A">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1. Introduction</w:t>
      </w:r>
      <w:r w:rsidDel="00000000" w:rsidR="00000000" w:rsidRPr="00000000">
        <w:rPr>
          <w:rFonts w:ascii="Times New Roman" w:cs="Times New Roman" w:eastAsia="Times New Roman" w:hAnsi="Times New Roman"/>
          <w:sz w:val="23"/>
          <w:szCs w:val="23"/>
          <w:rtl w:val="0"/>
        </w:rPr>
        <w:tab/>
        <w:t xml:space="preserve">4</w:t>
      </w:r>
      <w:r w:rsidDel="00000000" w:rsidR="00000000" w:rsidRPr="00000000">
        <w:rPr>
          <w:rtl w:val="0"/>
        </w:rPr>
      </w:r>
    </w:p>
    <w:p w:rsidR="00000000" w:rsidDel="00000000" w:rsidP="00000000" w:rsidRDefault="00000000" w:rsidRPr="00000000" w14:paraId="0000001B">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1.1 Purpose</w:t>
      </w:r>
      <w:r w:rsidDel="00000000" w:rsidR="00000000" w:rsidRPr="00000000">
        <w:rPr>
          <w:rFonts w:ascii="Times New Roman" w:cs="Times New Roman" w:eastAsia="Times New Roman" w:hAnsi="Times New Roman"/>
          <w:sz w:val="22"/>
          <w:szCs w:val="22"/>
          <w:rtl w:val="0"/>
        </w:rPr>
        <w:tab/>
        <w:t xml:space="preserve">4</w:t>
      </w:r>
      <w:r w:rsidDel="00000000" w:rsidR="00000000" w:rsidRPr="00000000">
        <w:rPr>
          <w:rtl w:val="0"/>
        </w:rPr>
      </w:r>
    </w:p>
    <w:p w:rsidR="00000000" w:rsidDel="00000000" w:rsidP="00000000" w:rsidRDefault="00000000" w:rsidRPr="00000000" w14:paraId="0000001C">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1.2 Document Conventions</w:t>
      </w:r>
      <w:r w:rsidDel="00000000" w:rsidR="00000000" w:rsidRPr="00000000">
        <w:rPr>
          <w:rFonts w:ascii="Times New Roman" w:cs="Times New Roman" w:eastAsia="Times New Roman" w:hAnsi="Times New Roman"/>
          <w:sz w:val="22"/>
          <w:szCs w:val="22"/>
          <w:rtl w:val="0"/>
        </w:rPr>
        <w:tab/>
        <w:t xml:space="preserve">4</w:t>
      </w:r>
      <w:r w:rsidDel="00000000" w:rsidR="00000000" w:rsidRPr="00000000">
        <w:rPr>
          <w:rtl w:val="0"/>
        </w:rPr>
      </w:r>
    </w:p>
    <w:p w:rsidR="00000000" w:rsidDel="00000000" w:rsidP="00000000" w:rsidRDefault="00000000" w:rsidRPr="00000000" w14:paraId="0000001D">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1.3 Intended Audience and Reading Suggestions</w:t>
      </w:r>
      <w:r w:rsidDel="00000000" w:rsidR="00000000" w:rsidRPr="00000000">
        <w:rPr>
          <w:rFonts w:ascii="Times New Roman" w:cs="Times New Roman" w:eastAsia="Times New Roman" w:hAnsi="Times New Roman"/>
          <w:sz w:val="22"/>
          <w:szCs w:val="22"/>
          <w:rtl w:val="0"/>
        </w:rPr>
        <w:tab/>
        <w:t xml:space="preserve">4</w:t>
      </w:r>
      <w:r w:rsidDel="00000000" w:rsidR="00000000" w:rsidRPr="00000000">
        <w:rPr>
          <w:rtl w:val="0"/>
        </w:rPr>
      </w:r>
    </w:p>
    <w:p w:rsidR="00000000" w:rsidDel="00000000" w:rsidP="00000000" w:rsidRDefault="00000000" w:rsidRPr="00000000" w14:paraId="0000001E">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1.4 Product Scope</w:t>
      </w:r>
      <w:r w:rsidDel="00000000" w:rsidR="00000000" w:rsidRPr="00000000">
        <w:rPr>
          <w:rFonts w:ascii="Times New Roman" w:cs="Times New Roman" w:eastAsia="Times New Roman" w:hAnsi="Times New Roman"/>
          <w:sz w:val="22"/>
          <w:szCs w:val="22"/>
          <w:rtl w:val="0"/>
        </w:rPr>
        <w:tab/>
        <w:t xml:space="preserve">4</w:t>
      </w:r>
      <w:r w:rsidDel="00000000" w:rsidR="00000000" w:rsidRPr="00000000">
        <w:rPr>
          <w:rtl w:val="0"/>
        </w:rPr>
      </w:r>
    </w:p>
    <w:p w:rsidR="00000000" w:rsidDel="00000000" w:rsidP="00000000" w:rsidRDefault="00000000" w:rsidRPr="00000000" w14:paraId="0000001F">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1.5 References</w:t>
      </w:r>
      <w:r w:rsidDel="00000000" w:rsidR="00000000" w:rsidRPr="00000000">
        <w:rPr>
          <w:rFonts w:ascii="Times New Roman" w:cs="Times New Roman" w:eastAsia="Times New Roman" w:hAnsi="Times New Roman"/>
          <w:sz w:val="22"/>
          <w:szCs w:val="22"/>
          <w:rtl w:val="0"/>
        </w:rPr>
        <w:tab/>
        <w:t xml:space="preserve">5</w:t>
      </w:r>
      <w:r w:rsidDel="00000000" w:rsidR="00000000" w:rsidRPr="00000000">
        <w:rPr>
          <w:rtl w:val="0"/>
        </w:rPr>
      </w:r>
    </w:p>
    <w:p w:rsidR="00000000" w:rsidDel="00000000" w:rsidP="00000000" w:rsidRDefault="00000000" w:rsidRPr="00000000" w14:paraId="00000020">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2. Overall Description</w:t>
      </w:r>
      <w:r w:rsidDel="00000000" w:rsidR="00000000" w:rsidRPr="00000000">
        <w:rPr>
          <w:rFonts w:ascii="Times New Roman" w:cs="Times New Roman" w:eastAsia="Times New Roman" w:hAnsi="Times New Roman"/>
          <w:sz w:val="23"/>
          <w:szCs w:val="23"/>
          <w:rtl w:val="0"/>
        </w:rPr>
        <w:tab/>
        <w:t xml:space="preserve">6</w:t>
      </w:r>
      <w:r w:rsidDel="00000000" w:rsidR="00000000" w:rsidRPr="00000000">
        <w:rPr>
          <w:rtl w:val="0"/>
        </w:rPr>
      </w:r>
    </w:p>
    <w:p w:rsidR="00000000" w:rsidDel="00000000" w:rsidP="00000000" w:rsidRDefault="00000000" w:rsidRPr="00000000" w14:paraId="00000021">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2.1 Product Perspective</w:t>
      </w:r>
      <w:r w:rsidDel="00000000" w:rsidR="00000000" w:rsidRPr="00000000">
        <w:rPr>
          <w:rFonts w:ascii="Times New Roman" w:cs="Times New Roman" w:eastAsia="Times New Roman" w:hAnsi="Times New Roman"/>
          <w:sz w:val="22"/>
          <w:szCs w:val="22"/>
          <w:rtl w:val="0"/>
        </w:rPr>
        <w:tab/>
        <w:t xml:space="preserve">6</w:t>
      </w:r>
      <w:r w:rsidDel="00000000" w:rsidR="00000000" w:rsidRPr="00000000">
        <w:rPr>
          <w:rtl w:val="0"/>
        </w:rPr>
      </w:r>
    </w:p>
    <w:p w:rsidR="00000000" w:rsidDel="00000000" w:rsidP="00000000" w:rsidRDefault="00000000" w:rsidRPr="00000000" w14:paraId="00000022">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2.2 Product Functions</w:t>
      </w:r>
      <w:r w:rsidDel="00000000" w:rsidR="00000000" w:rsidRPr="00000000">
        <w:rPr>
          <w:rFonts w:ascii="Times New Roman" w:cs="Times New Roman" w:eastAsia="Times New Roman" w:hAnsi="Times New Roman"/>
          <w:sz w:val="22"/>
          <w:szCs w:val="22"/>
          <w:rtl w:val="0"/>
        </w:rPr>
        <w:tab/>
        <w:t xml:space="preserve">6</w:t>
      </w:r>
      <w:r w:rsidDel="00000000" w:rsidR="00000000" w:rsidRPr="00000000">
        <w:rPr>
          <w:rtl w:val="0"/>
        </w:rPr>
      </w:r>
    </w:p>
    <w:p w:rsidR="00000000" w:rsidDel="00000000" w:rsidP="00000000" w:rsidRDefault="00000000" w:rsidRPr="00000000" w14:paraId="00000023">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2.3 User Classes and Characteristics</w:t>
      </w:r>
      <w:r w:rsidDel="00000000" w:rsidR="00000000" w:rsidRPr="00000000">
        <w:rPr>
          <w:rFonts w:ascii="Times New Roman" w:cs="Times New Roman" w:eastAsia="Times New Roman" w:hAnsi="Times New Roman"/>
          <w:sz w:val="22"/>
          <w:szCs w:val="22"/>
          <w:rtl w:val="0"/>
        </w:rPr>
        <w:tab/>
        <w:t xml:space="preserve">6</w:t>
      </w:r>
      <w:r w:rsidDel="00000000" w:rsidR="00000000" w:rsidRPr="00000000">
        <w:rPr>
          <w:rtl w:val="0"/>
        </w:rPr>
      </w:r>
    </w:p>
    <w:p w:rsidR="00000000" w:rsidDel="00000000" w:rsidP="00000000" w:rsidRDefault="00000000" w:rsidRPr="00000000" w14:paraId="00000024">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2.4 Operating Environment</w:t>
      </w:r>
      <w:r w:rsidDel="00000000" w:rsidR="00000000" w:rsidRPr="00000000">
        <w:rPr>
          <w:rFonts w:ascii="Times New Roman" w:cs="Times New Roman" w:eastAsia="Times New Roman" w:hAnsi="Times New Roman"/>
          <w:sz w:val="22"/>
          <w:szCs w:val="22"/>
          <w:rtl w:val="0"/>
        </w:rPr>
        <w:tab/>
        <w:t xml:space="preserve">7</w:t>
      </w:r>
      <w:r w:rsidDel="00000000" w:rsidR="00000000" w:rsidRPr="00000000">
        <w:rPr>
          <w:rtl w:val="0"/>
        </w:rPr>
      </w:r>
    </w:p>
    <w:p w:rsidR="00000000" w:rsidDel="00000000" w:rsidP="00000000" w:rsidRDefault="00000000" w:rsidRPr="00000000" w14:paraId="00000025">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2.5 Design and Implementation Constraints</w:t>
      </w:r>
      <w:r w:rsidDel="00000000" w:rsidR="00000000" w:rsidRPr="00000000">
        <w:rPr>
          <w:rFonts w:ascii="Times New Roman" w:cs="Times New Roman" w:eastAsia="Times New Roman" w:hAnsi="Times New Roman"/>
          <w:sz w:val="22"/>
          <w:szCs w:val="22"/>
          <w:rtl w:val="0"/>
        </w:rPr>
        <w:tab/>
        <w:t xml:space="preserve">7</w:t>
      </w:r>
      <w:r w:rsidDel="00000000" w:rsidR="00000000" w:rsidRPr="00000000">
        <w:rPr>
          <w:rtl w:val="0"/>
        </w:rPr>
      </w:r>
    </w:p>
    <w:p w:rsidR="00000000" w:rsidDel="00000000" w:rsidP="00000000" w:rsidRDefault="00000000" w:rsidRPr="00000000" w14:paraId="00000026">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2.6 User Documentation</w:t>
      </w:r>
      <w:r w:rsidDel="00000000" w:rsidR="00000000" w:rsidRPr="00000000">
        <w:rPr>
          <w:rFonts w:ascii="Times New Roman" w:cs="Times New Roman" w:eastAsia="Times New Roman" w:hAnsi="Times New Roman"/>
          <w:sz w:val="22"/>
          <w:szCs w:val="22"/>
          <w:rtl w:val="0"/>
        </w:rPr>
        <w:tab/>
        <w:t xml:space="preserve">7</w:t>
      </w:r>
      <w:r w:rsidDel="00000000" w:rsidR="00000000" w:rsidRPr="00000000">
        <w:rPr>
          <w:rtl w:val="0"/>
        </w:rPr>
      </w:r>
    </w:p>
    <w:p w:rsidR="00000000" w:rsidDel="00000000" w:rsidP="00000000" w:rsidRDefault="00000000" w:rsidRPr="00000000" w14:paraId="00000027">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2.7 Assumptions and Dependencies</w:t>
      </w:r>
      <w:r w:rsidDel="00000000" w:rsidR="00000000" w:rsidRPr="00000000">
        <w:rPr>
          <w:rFonts w:ascii="Times New Roman" w:cs="Times New Roman" w:eastAsia="Times New Roman" w:hAnsi="Times New Roman"/>
          <w:sz w:val="22"/>
          <w:szCs w:val="22"/>
          <w:rtl w:val="0"/>
        </w:rPr>
        <w:tab/>
        <w:t xml:space="preserve">7</w:t>
      </w:r>
      <w:r w:rsidDel="00000000" w:rsidR="00000000" w:rsidRPr="00000000">
        <w:rPr>
          <w:rtl w:val="0"/>
        </w:rPr>
      </w:r>
    </w:p>
    <w:p w:rsidR="00000000" w:rsidDel="00000000" w:rsidP="00000000" w:rsidRDefault="00000000" w:rsidRPr="00000000" w14:paraId="00000028">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3. External Interface Requirements</w:t>
      </w:r>
      <w:r w:rsidDel="00000000" w:rsidR="00000000" w:rsidRPr="00000000">
        <w:rPr>
          <w:rFonts w:ascii="Times New Roman" w:cs="Times New Roman" w:eastAsia="Times New Roman" w:hAnsi="Times New Roman"/>
          <w:sz w:val="23"/>
          <w:szCs w:val="23"/>
          <w:rtl w:val="0"/>
        </w:rPr>
        <w:tab/>
        <w:t xml:space="preserve">8</w:t>
      </w:r>
      <w:r w:rsidDel="00000000" w:rsidR="00000000" w:rsidRPr="00000000">
        <w:rPr>
          <w:rtl w:val="0"/>
        </w:rPr>
      </w:r>
    </w:p>
    <w:p w:rsidR="00000000" w:rsidDel="00000000" w:rsidP="00000000" w:rsidRDefault="00000000" w:rsidRPr="00000000" w14:paraId="00000029">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3.1 User Interfaces</w:t>
      </w:r>
      <w:r w:rsidDel="00000000" w:rsidR="00000000" w:rsidRPr="00000000">
        <w:rPr>
          <w:rFonts w:ascii="Times New Roman" w:cs="Times New Roman" w:eastAsia="Times New Roman" w:hAnsi="Times New Roman"/>
          <w:sz w:val="22"/>
          <w:szCs w:val="22"/>
          <w:rtl w:val="0"/>
        </w:rPr>
        <w:tab/>
        <w:t xml:space="preserve">8</w:t>
      </w:r>
      <w:r w:rsidDel="00000000" w:rsidR="00000000" w:rsidRPr="00000000">
        <w:rPr>
          <w:rtl w:val="0"/>
        </w:rPr>
      </w:r>
    </w:p>
    <w:p w:rsidR="00000000" w:rsidDel="00000000" w:rsidP="00000000" w:rsidRDefault="00000000" w:rsidRPr="00000000" w14:paraId="0000002A">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3.2 Hardware Interfaces</w:t>
      </w:r>
      <w:r w:rsidDel="00000000" w:rsidR="00000000" w:rsidRPr="00000000">
        <w:rPr>
          <w:rFonts w:ascii="Times New Roman" w:cs="Times New Roman" w:eastAsia="Times New Roman" w:hAnsi="Times New Roman"/>
          <w:sz w:val="22"/>
          <w:szCs w:val="22"/>
          <w:rtl w:val="0"/>
        </w:rPr>
        <w:tab/>
        <w:t xml:space="preserve">8</w:t>
      </w:r>
      <w:r w:rsidDel="00000000" w:rsidR="00000000" w:rsidRPr="00000000">
        <w:rPr>
          <w:rtl w:val="0"/>
        </w:rPr>
      </w:r>
    </w:p>
    <w:p w:rsidR="00000000" w:rsidDel="00000000" w:rsidP="00000000" w:rsidRDefault="00000000" w:rsidRPr="00000000" w14:paraId="0000002B">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3.3 Software Interfaces</w:t>
      </w:r>
      <w:r w:rsidDel="00000000" w:rsidR="00000000" w:rsidRPr="00000000">
        <w:rPr>
          <w:rFonts w:ascii="Times New Roman" w:cs="Times New Roman" w:eastAsia="Times New Roman" w:hAnsi="Times New Roman"/>
          <w:sz w:val="22"/>
          <w:szCs w:val="22"/>
          <w:rtl w:val="0"/>
        </w:rPr>
        <w:tab/>
        <w:t xml:space="preserve">8</w:t>
      </w:r>
      <w:r w:rsidDel="00000000" w:rsidR="00000000" w:rsidRPr="00000000">
        <w:rPr>
          <w:rtl w:val="0"/>
        </w:rPr>
      </w:r>
    </w:p>
    <w:p w:rsidR="00000000" w:rsidDel="00000000" w:rsidP="00000000" w:rsidRDefault="00000000" w:rsidRPr="00000000" w14:paraId="0000002C">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3.4 Communications Interfaces</w:t>
      </w:r>
      <w:r w:rsidDel="00000000" w:rsidR="00000000" w:rsidRPr="00000000">
        <w:rPr>
          <w:rFonts w:ascii="Times New Roman" w:cs="Times New Roman" w:eastAsia="Times New Roman" w:hAnsi="Times New Roman"/>
          <w:sz w:val="22"/>
          <w:szCs w:val="22"/>
          <w:rtl w:val="0"/>
        </w:rPr>
        <w:tab/>
        <w:t xml:space="preserve">9</w:t>
      </w:r>
      <w:r w:rsidDel="00000000" w:rsidR="00000000" w:rsidRPr="00000000">
        <w:rPr>
          <w:rtl w:val="0"/>
        </w:rPr>
      </w:r>
    </w:p>
    <w:p w:rsidR="00000000" w:rsidDel="00000000" w:rsidP="00000000" w:rsidRDefault="00000000" w:rsidRPr="00000000" w14:paraId="0000002D">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4. System Features</w:t>
      </w:r>
      <w:r w:rsidDel="00000000" w:rsidR="00000000" w:rsidRPr="00000000">
        <w:rPr>
          <w:rFonts w:ascii="Times New Roman" w:cs="Times New Roman" w:eastAsia="Times New Roman" w:hAnsi="Times New Roman"/>
          <w:sz w:val="23"/>
          <w:szCs w:val="23"/>
          <w:rtl w:val="0"/>
        </w:rPr>
        <w:tab/>
        <w:t xml:space="preserve">10</w:t>
      </w:r>
      <w:r w:rsidDel="00000000" w:rsidR="00000000" w:rsidRPr="00000000">
        <w:rPr>
          <w:rtl w:val="0"/>
        </w:rPr>
      </w:r>
    </w:p>
    <w:p w:rsidR="00000000" w:rsidDel="00000000" w:rsidP="00000000" w:rsidRDefault="00000000" w:rsidRPr="00000000" w14:paraId="0000002E">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4.1 Data Ingestion and ETL</w:t>
      </w:r>
      <w:r w:rsidDel="00000000" w:rsidR="00000000" w:rsidRPr="00000000">
        <w:rPr>
          <w:rFonts w:ascii="Times New Roman" w:cs="Times New Roman" w:eastAsia="Times New Roman" w:hAnsi="Times New Roman"/>
          <w:sz w:val="22"/>
          <w:szCs w:val="22"/>
          <w:rtl w:val="0"/>
        </w:rPr>
        <w:tab/>
        <w:t xml:space="preserve">10</w:t>
      </w:r>
      <w:r w:rsidDel="00000000" w:rsidR="00000000" w:rsidRPr="00000000">
        <w:rPr>
          <w:rtl w:val="0"/>
        </w:rPr>
      </w:r>
    </w:p>
    <w:p w:rsidR="00000000" w:rsidDel="00000000" w:rsidP="00000000" w:rsidRDefault="00000000" w:rsidRPr="00000000" w14:paraId="0000002F">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4.2 Knowledge Graph Construction and Querying</w:t>
      </w:r>
      <w:r w:rsidDel="00000000" w:rsidR="00000000" w:rsidRPr="00000000">
        <w:rPr>
          <w:rFonts w:ascii="Times New Roman" w:cs="Times New Roman" w:eastAsia="Times New Roman" w:hAnsi="Times New Roman"/>
          <w:sz w:val="22"/>
          <w:szCs w:val="22"/>
          <w:rtl w:val="0"/>
        </w:rPr>
        <w:tab/>
        <w:t xml:space="preserve">10</w:t>
      </w:r>
      <w:r w:rsidDel="00000000" w:rsidR="00000000" w:rsidRPr="00000000">
        <w:rPr>
          <w:rtl w:val="0"/>
        </w:rPr>
      </w:r>
    </w:p>
    <w:p w:rsidR="00000000" w:rsidDel="00000000" w:rsidP="00000000" w:rsidRDefault="00000000" w:rsidRPr="00000000" w14:paraId="00000030">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4.3 GraphRAG-Grounded Retrieval</w:t>
      </w:r>
      <w:r w:rsidDel="00000000" w:rsidR="00000000" w:rsidRPr="00000000">
        <w:rPr>
          <w:rFonts w:ascii="Times New Roman" w:cs="Times New Roman" w:eastAsia="Times New Roman" w:hAnsi="Times New Roman"/>
          <w:sz w:val="22"/>
          <w:szCs w:val="22"/>
          <w:rtl w:val="0"/>
        </w:rPr>
        <w:tab/>
        <w:t xml:space="preserve">11</w:t>
      </w:r>
      <w:r w:rsidDel="00000000" w:rsidR="00000000" w:rsidRPr="00000000">
        <w:rPr>
          <w:rtl w:val="0"/>
        </w:rPr>
      </w:r>
    </w:p>
    <w:p w:rsidR="00000000" w:rsidDel="00000000" w:rsidP="00000000" w:rsidRDefault="00000000" w:rsidRPr="00000000" w14:paraId="00000031">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4.4 Multi-Agent Disruption Monitoring and Risk Scoring</w:t>
      </w:r>
      <w:r w:rsidDel="00000000" w:rsidR="00000000" w:rsidRPr="00000000">
        <w:rPr>
          <w:rFonts w:ascii="Times New Roman" w:cs="Times New Roman" w:eastAsia="Times New Roman" w:hAnsi="Times New Roman"/>
          <w:sz w:val="22"/>
          <w:szCs w:val="22"/>
          <w:rtl w:val="0"/>
        </w:rPr>
        <w:tab/>
        <w:t xml:space="preserve">12</w:t>
      </w:r>
      <w:r w:rsidDel="00000000" w:rsidR="00000000" w:rsidRPr="00000000">
        <w:rPr>
          <w:rtl w:val="0"/>
        </w:rPr>
      </w:r>
    </w:p>
    <w:p w:rsidR="00000000" w:rsidDel="00000000" w:rsidP="00000000" w:rsidRDefault="00000000" w:rsidRPr="00000000" w14:paraId="00000032">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4.5 Persistent Disruption Memory</w:t>
      </w:r>
      <w:r w:rsidDel="00000000" w:rsidR="00000000" w:rsidRPr="00000000">
        <w:rPr>
          <w:rFonts w:ascii="Times New Roman" w:cs="Times New Roman" w:eastAsia="Times New Roman" w:hAnsi="Times New Roman"/>
          <w:sz w:val="22"/>
          <w:szCs w:val="22"/>
          <w:rtl w:val="0"/>
        </w:rPr>
        <w:tab/>
        <w:t xml:space="preserve">13</w:t>
      </w:r>
      <w:r w:rsidDel="00000000" w:rsidR="00000000" w:rsidRPr="00000000">
        <w:rPr>
          <w:rtl w:val="0"/>
        </w:rPr>
      </w:r>
    </w:p>
    <w:p w:rsidR="00000000" w:rsidDel="00000000" w:rsidP="00000000" w:rsidRDefault="00000000" w:rsidRPr="00000000" w14:paraId="00000033">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4.6 AI Assistant (Natural-Language Query)</w:t>
      </w:r>
      <w:r w:rsidDel="00000000" w:rsidR="00000000" w:rsidRPr="00000000">
        <w:rPr>
          <w:rFonts w:ascii="Times New Roman" w:cs="Times New Roman" w:eastAsia="Times New Roman" w:hAnsi="Times New Roman"/>
          <w:sz w:val="22"/>
          <w:szCs w:val="22"/>
          <w:rtl w:val="0"/>
        </w:rPr>
        <w:tab/>
        <w:t xml:space="preserve">14</w:t>
      </w:r>
      <w:r w:rsidDel="00000000" w:rsidR="00000000" w:rsidRPr="00000000">
        <w:rPr>
          <w:rtl w:val="0"/>
        </w:rPr>
      </w:r>
    </w:p>
    <w:p w:rsidR="00000000" w:rsidDel="00000000" w:rsidP="00000000" w:rsidRDefault="00000000" w:rsidRPr="00000000" w14:paraId="00000034">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4.7 Manager Dashboard and Digital Twin Visualization</w:t>
      </w:r>
      <w:r w:rsidDel="00000000" w:rsidR="00000000" w:rsidRPr="00000000">
        <w:rPr>
          <w:rFonts w:ascii="Times New Roman" w:cs="Times New Roman" w:eastAsia="Times New Roman" w:hAnsi="Times New Roman"/>
          <w:sz w:val="22"/>
          <w:szCs w:val="22"/>
          <w:rtl w:val="0"/>
        </w:rPr>
        <w:tab/>
        <w:t xml:space="preserve">15</w:t>
      </w:r>
      <w:r w:rsidDel="00000000" w:rsidR="00000000" w:rsidRPr="00000000">
        <w:rPr>
          <w:rtl w:val="0"/>
        </w:rPr>
      </w:r>
    </w:p>
    <w:p w:rsidR="00000000" w:rsidDel="00000000" w:rsidP="00000000" w:rsidRDefault="00000000" w:rsidRPr="00000000" w14:paraId="00000035">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4.8 Recommendation Center and Approval Workflow</w:t>
      </w:r>
      <w:r w:rsidDel="00000000" w:rsidR="00000000" w:rsidRPr="00000000">
        <w:rPr>
          <w:rFonts w:ascii="Times New Roman" w:cs="Times New Roman" w:eastAsia="Times New Roman" w:hAnsi="Times New Roman"/>
          <w:sz w:val="22"/>
          <w:szCs w:val="22"/>
          <w:rtl w:val="0"/>
        </w:rPr>
        <w:tab/>
        <w:t xml:space="preserve">15</w:t>
      </w:r>
      <w:r w:rsidDel="00000000" w:rsidR="00000000" w:rsidRPr="00000000">
        <w:rPr>
          <w:rtl w:val="0"/>
        </w:rPr>
      </w:r>
    </w:p>
    <w:p w:rsidR="00000000" w:rsidDel="00000000" w:rsidP="00000000" w:rsidRDefault="00000000" w:rsidRPr="00000000" w14:paraId="00000036">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4.9 Administration</w:t>
      </w:r>
      <w:r w:rsidDel="00000000" w:rsidR="00000000" w:rsidRPr="00000000">
        <w:rPr>
          <w:rFonts w:ascii="Times New Roman" w:cs="Times New Roman" w:eastAsia="Times New Roman" w:hAnsi="Times New Roman"/>
          <w:sz w:val="22"/>
          <w:szCs w:val="22"/>
          <w:rtl w:val="0"/>
        </w:rPr>
        <w:tab/>
        <w:t xml:space="preserve">16</w:t>
      </w:r>
      <w:r w:rsidDel="00000000" w:rsidR="00000000" w:rsidRPr="00000000">
        <w:rPr>
          <w:rtl w:val="0"/>
        </w:rPr>
      </w:r>
    </w:p>
    <w:p w:rsidR="00000000" w:rsidDel="00000000" w:rsidP="00000000" w:rsidRDefault="00000000" w:rsidRPr="00000000" w14:paraId="00000037">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5. Other Nonfunctional Requirements</w:t>
      </w:r>
      <w:r w:rsidDel="00000000" w:rsidR="00000000" w:rsidRPr="00000000">
        <w:rPr>
          <w:rFonts w:ascii="Times New Roman" w:cs="Times New Roman" w:eastAsia="Times New Roman" w:hAnsi="Times New Roman"/>
          <w:sz w:val="23"/>
          <w:szCs w:val="23"/>
          <w:rtl w:val="0"/>
        </w:rPr>
        <w:tab/>
        <w:t xml:space="preserve">17</w:t>
      </w:r>
      <w:r w:rsidDel="00000000" w:rsidR="00000000" w:rsidRPr="00000000">
        <w:rPr>
          <w:rtl w:val="0"/>
        </w:rPr>
      </w:r>
    </w:p>
    <w:p w:rsidR="00000000" w:rsidDel="00000000" w:rsidP="00000000" w:rsidRDefault="00000000" w:rsidRPr="00000000" w14:paraId="00000038">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5.1 Performance Requirements</w:t>
      </w:r>
      <w:r w:rsidDel="00000000" w:rsidR="00000000" w:rsidRPr="00000000">
        <w:rPr>
          <w:rFonts w:ascii="Times New Roman" w:cs="Times New Roman" w:eastAsia="Times New Roman" w:hAnsi="Times New Roman"/>
          <w:sz w:val="22"/>
          <w:szCs w:val="22"/>
          <w:rtl w:val="0"/>
        </w:rPr>
        <w:tab/>
        <w:t xml:space="preserve">17</w:t>
      </w:r>
      <w:r w:rsidDel="00000000" w:rsidR="00000000" w:rsidRPr="00000000">
        <w:rPr>
          <w:rtl w:val="0"/>
        </w:rPr>
      </w:r>
    </w:p>
    <w:p w:rsidR="00000000" w:rsidDel="00000000" w:rsidP="00000000" w:rsidRDefault="00000000" w:rsidRPr="00000000" w14:paraId="00000039">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5.2 Safety Requirements</w:t>
      </w:r>
      <w:r w:rsidDel="00000000" w:rsidR="00000000" w:rsidRPr="00000000">
        <w:rPr>
          <w:rFonts w:ascii="Times New Roman" w:cs="Times New Roman" w:eastAsia="Times New Roman" w:hAnsi="Times New Roman"/>
          <w:sz w:val="22"/>
          <w:szCs w:val="22"/>
          <w:rtl w:val="0"/>
        </w:rPr>
        <w:tab/>
        <w:t xml:space="preserve">17</w:t>
      </w:r>
      <w:r w:rsidDel="00000000" w:rsidR="00000000" w:rsidRPr="00000000">
        <w:rPr>
          <w:rtl w:val="0"/>
        </w:rPr>
      </w:r>
    </w:p>
    <w:p w:rsidR="00000000" w:rsidDel="00000000" w:rsidP="00000000" w:rsidRDefault="00000000" w:rsidRPr="00000000" w14:paraId="0000003A">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5.3 Security Requirements</w:t>
      </w:r>
      <w:r w:rsidDel="00000000" w:rsidR="00000000" w:rsidRPr="00000000">
        <w:rPr>
          <w:rFonts w:ascii="Times New Roman" w:cs="Times New Roman" w:eastAsia="Times New Roman" w:hAnsi="Times New Roman"/>
          <w:sz w:val="22"/>
          <w:szCs w:val="22"/>
          <w:rtl w:val="0"/>
        </w:rPr>
        <w:tab/>
        <w:t xml:space="preserve">17</w:t>
      </w:r>
      <w:r w:rsidDel="00000000" w:rsidR="00000000" w:rsidRPr="00000000">
        <w:rPr>
          <w:rtl w:val="0"/>
        </w:rPr>
      </w:r>
    </w:p>
    <w:p w:rsidR="00000000" w:rsidDel="00000000" w:rsidP="00000000" w:rsidRDefault="00000000" w:rsidRPr="00000000" w14:paraId="0000003B">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5.4 Software Quality Attributes</w:t>
      </w:r>
      <w:r w:rsidDel="00000000" w:rsidR="00000000" w:rsidRPr="00000000">
        <w:rPr>
          <w:rFonts w:ascii="Times New Roman" w:cs="Times New Roman" w:eastAsia="Times New Roman" w:hAnsi="Times New Roman"/>
          <w:sz w:val="22"/>
          <w:szCs w:val="22"/>
          <w:rtl w:val="0"/>
        </w:rPr>
        <w:tab/>
        <w:t xml:space="preserve">18</w:t>
      </w:r>
      <w:r w:rsidDel="00000000" w:rsidR="00000000" w:rsidRPr="00000000">
        <w:rPr>
          <w:rtl w:val="0"/>
        </w:rPr>
      </w:r>
    </w:p>
    <w:p w:rsidR="00000000" w:rsidDel="00000000" w:rsidP="00000000" w:rsidRDefault="00000000" w:rsidRPr="00000000" w14:paraId="0000003C">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5.5 Business Rules</w:t>
      </w:r>
      <w:r w:rsidDel="00000000" w:rsidR="00000000" w:rsidRPr="00000000">
        <w:rPr>
          <w:rFonts w:ascii="Times New Roman" w:cs="Times New Roman" w:eastAsia="Times New Roman" w:hAnsi="Times New Roman"/>
          <w:sz w:val="22"/>
          <w:szCs w:val="22"/>
          <w:rtl w:val="0"/>
        </w:rPr>
        <w:tab/>
        <w:t xml:space="preserve">18</w:t>
      </w:r>
      <w:r w:rsidDel="00000000" w:rsidR="00000000" w:rsidRPr="00000000">
        <w:rPr>
          <w:rtl w:val="0"/>
        </w:rPr>
      </w:r>
    </w:p>
    <w:p w:rsidR="00000000" w:rsidDel="00000000" w:rsidP="00000000" w:rsidRDefault="00000000" w:rsidRPr="00000000" w14:paraId="0000003D">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6. Other Requirements</w:t>
      </w:r>
      <w:r w:rsidDel="00000000" w:rsidR="00000000" w:rsidRPr="00000000">
        <w:rPr>
          <w:rFonts w:ascii="Times New Roman" w:cs="Times New Roman" w:eastAsia="Times New Roman" w:hAnsi="Times New Roman"/>
          <w:sz w:val="23"/>
          <w:szCs w:val="23"/>
          <w:rtl w:val="0"/>
        </w:rPr>
        <w:tab/>
        <w:t xml:space="preserve">19</w:t>
      </w:r>
      <w:r w:rsidDel="00000000" w:rsidR="00000000" w:rsidRPr="00000000">
        <w:rPr>
          <w:rtl w:val="0"/>
        </w:rPr>
      </w:r>
    </w:p>
    <w:p w:rsidR="00000000" w:rsidDel="00000000" w:rsidP="00000000" w:rsidRDefault="00000000" w:rsidRPr="00000000" w14:paraId="0000003E">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Appendix A: Glossary</w:t>
      </w:r>
      <w:r w:rsidDel="00000000" w:rsidR="00000000" w:rsidRPr="00000000">
        <w:rPr>
          <w:rFonts w:ascii="Times New Roman" w:cs="Times New Roman" w:eastAsia="Times New Roman" w:hAnsi="Times New Roman"/>
          <w:sz w:val="23"/>
          <w:szCs w:val="23"/>
          <w:rtl w:val="0"/>
        </w:rPr>
        <w:tab/>
        <w:t xml:space="preserve">20</w:t>
      </w:r>
      <w:r w:rsidDel="00000000" w:rsidR="00000000" w:rsidRPr="00000000">
        <w:rPr>
          <w:rtl w:val="0"/>
        </w:rPr>
      </w:r>
    </w:p>
    <w:p w:rsidR="00000000" w:rsidDel="00000000" w:rsidP="00000000" w:rsidRDefault="00000000" w:rsidRPr="00000000" w14:paraId="0000003F">
      <w:pPr>
        <w:tabs>
          <w:tab w:val="right" w:leader="dot" w:pos="9216"/>
        </w:tabs>
        <w:spacing w:after="80" w:before="160" w:lineRule="auto"/>
        <w:rPr/>
      </w:pPr>
      <w:r w:rsidDel="00000000" w:rsidR="00000000" w:rsidRPr="00000000">
        <w:rPr>
          <w:rFonts w:ascii="Times New Roman" w:cs="Times New Roman" w:eastAsia="Times New Roman" w:hAnsi="Times New Roman"/>
          <w:b w:val="1"/>
          <w:bCs w:val="1"/>
          <w:color w:val="000000"/>
          <w:sz w:val="23"/>
          <w:szCs w:val="23"/>
          <w:rtl w:val="0"/>
        </w:rPr>
        <w:t xml:space="preserve">Appendix B: Analysis Models</w:t>
      </w:r>
      <w:r w:rsidDel="00000000" w:rsidR="00000000" w:rsidRPr="00000000">
        <w:rPr>
          <w:rFonts w:ascii="Times New Roman" w:cs="Times New Roman" w:eastAsia="Times New Roman" w:hAnsi="Times New Roman"/>
          <w:sz w:val="23"/>
          <w:szCs w:val="23"/>
          <w:rtl w:val="0"/>
        </w:rPr>
        <w:tab/>
        <w:t xml:space="preserve">22</w:t>
      </w:r>
      <w:r w:rsidDel="00000000" w:rsidR="00000000" w:rsidRPr="00000000">
        <w:rPr>
          <w:rtl w:val="0"/>
        </w:rPr>
      </w:r>
    </w:p>
    <w:p w:rsidR="00000000" w:rsidDel="00000000" w:rsidP="00000000" w:rsidRDefault="00000000" w:rsidRPr="00000000" w14:paraId="00000040">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B.1 Architecture Overview</w:t>
      </w:r>
      <w:r w:rsidDel="00000000" w:rsidR="00000000" w:rsidRPr="00000000">
        <w:rPr>
          <w:rFonts w:ascii="Times New Roman" w:cs="Times New Roman" w:eastAsia="Times New Roman" w:hAnsi="Times New Roman"/>
          <w:sz w:val="22"/>
          <w:szCs w:val="22"/>
          <w:rtl w:val="0"/>
        </w:rPr>
        <w:tab/>
        <w:t xml:space="preserve">22</w:t>
      </w:r>
      <w:r w:rsidDel="00000000" w:rsidR="00000000" w:rsidRPr="00000000">
        <w:rPr>
          <w:rtl w:val="0"/>
        </w:rPr>
      </w:r>
    </w:p>
    <w:p w:rsidR="00000000" w:rsidDel="00000000" w:rsidP="00000000" w:rsidRDefault="00000000" w:rsidRPr="00000000" w14:paraId="00000041">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B.2 Use Case Diagram</w:t>
      </w:r>
      <w:r w:rsidDel="00000000" w:rsidR="00000000" w:rsidRPr="00000000">
        <w:rPr>
          <w:rFonts w:ascii="Times New Roman" w:cs="Times New Roman" w:eastAsia="Times New Roman" w:hAnsi="Times New Roman"/>
          <w:sz w:val="22"/>
          <w:szCs w:val="22"/>
          <w:rtl w:val="0"/>
        </w:rPr>
        <w:tab/>
        <w:t xml:space="preserve">22</w:t>
      </w:r>
      <w:r w:rsidDel="00000000" w:rsidR="00000000" w:rsidRPr="00000000">
        <w:rPr>
          <w:rtl w:val="0"/>
        </w:rPr>
      </w:r>
    </w:p>
    <w:p w:rsidR="00000000" w:rsidDel="00000000" w:rsidP="00000000" w:rsidRDefault="00000000" w:rsidRPr="00000000" w14:paraId="00000042">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B.3 Sequence Diagram — Disruption Detection &amp; Recommendation Flow</w:t>
      </w:r>
      <w:r w:rsidDel="00000000" w:rsidR="00000000" w:rsidRPr="00000000">
        <w:rPr>
          <w:rFonts w:ascii="Times New Roman" w:cs="Times New Roman" w:eastAsia="Times New Roman" w:hAnsi="Times New Roman"/>
          <w:sz w:val="22"/>
          <w:szCs w:val="22"/>
          <w:rtl w:val="0"/>
        </w:rPr>
        <w:tab/>
        <w:t xml:space="preserve">25</w:t>
      </w:r>
      <w:r w:rsidDel="00000000" w:rsidR="00000000" w:rsidRPr="00000000">
        <w:rPr>
          <w:rtl w:val="0"/>
        </w:rPr>
      </w:r>
    </w:p>
    <w:p w:rsidR="00000000" w:rsidDel="00000000" w:rsidP="00000000" w:rsidRDefault="00000000" w:rsidRPr="00000000" w14:paraId="00000043">
      <w:pPr>
        <w:tabs>
          <w:tab w:val="right" w:leader="dot" w:pos="9216"/>
        </w:tabs>
        <w:spacing w:after="80" w:lineRule="auto"/>
        <w:ind w:left="432" w:firstLine="0"/>
        <w:rPr/>
      </w:pPr>
      <w:r w:rsidDel="00000000" w:rsidR="00000000" w:rsidRPr="00000000">
        <w:rPr>
          <w:rFonts w:ascii="Times New Roman" w:cs="Times New Roman" w:eastAsia="Times New Roman" w:hAnsi="Times New Roman"/>
          <w:b w:val="0"/>
          <w:bCs w:val="0"/>
          <w:color w:val="000000"/>
          <w:sz w:val="22"/>
          <w:szCs w:val="22"/>
          <w:rtl w:val="0"/>
        </w:rPr>
        <w:t xml:space="preserve">B.4 Class Diagram</w:t>
      </w:r>
      <w:r w:rsidDel="00000000" w:rsidR="00000000" w:rsidRPr="00000000">
        <w:rPr>
          <w:rFonts w:ascii="Times New Roman" w:cs="Times New Roman" w:eastAsia="Times New Roman" w:hAnsi="Times New Roman"/>
          <w:sz w:val="22"/>
          <w:szCs w:val="22"/>
          <w:rtl w:val="0"/>
        </w:rPr>
        <w:tab/>
        <w:t xml:space="preserve">26</w:t>
      </w:r>
      <w:r w:rsidDel="00000000" w:rsidR="00000000" w:rsidRPr="00000000">
        <w:rPr>
          <w:rtl w:val="0"/>
        </w:rPr>
      </w:r>
    </w:p>
    <w:p w:rsidR="00000000" w:rsidDel="00000000" w:rsidP="00000000" w:rsidRDefault="00000000" w:rsidRPr="00000000" w14:paraId="00000044">
      <w:pPr>
        <w:tabs>
          <w:tab w:val="right" w:leader="none" w:pos="9216"/>
        </w:tabs>
        <w:spacing w:after="80" w:before="160" w:lineRule="auto"/>
        <w:ind w:left="0" w:firstLine="0"/>
        <w:rPr/>
      </w:pPr>
      <w:r w:rsidDel="00000000" w:rsidR="00000000" w:rsidRPr="00000000">
        <w:rPr>
          <w:rFonts w:ascii="Times New Roman" w:cs="Times New Roman" w:eastAsia="Times New Roman" w:hAnsi="Times New Roman"/>
          <w:b w:val="1"/>
          <w:bCs w:val="1"/>
          <w:color w:val="000000"/>
          <w:sz w:val="23"/>
          <w:szCs w:val="23"/>
          <w:rtl w:val="0"/>
        </w:rPr>
        <w:t xml:space="preserve">Appendix C: To Be Determined (TBD) List</w:t>
      </w:r>
      <w:r w:rsidDel="00000000" w:rsidR="00000000" w:rsidRPr="00000000">
        <w:rPr>
          <w:rFonts w:ascii="Times New Roman" w:cs="Times New Roman" w:eastAsia="Times New Roman" w:hAnsi="Times New Roman"/>
          <w:sz w:val="23"/>
          <w:szCs w:val="23"/>
          <w:rtl w:val="0"/>
        </w:rPr>
        <w:tab/>
        <w:t xml:space="preserve">27</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1. Introduction</w:t>
      </w:r>
    </w:p>
    <w:p w:rsidR="00000000" w:rsidDel="00000000" w:rsidP="00000000" w:rsidRDefault="00000000" w:rsidRPr="00000000" w14:paraId="00000047">
      <w:pPr>
        <w:pStyle w:val="Heading2"/>
        <w:rPr/>
      </w:pPr>
      <w:r w:rsidDel="00000000" w:rsidR="00000000" w:rsidRPr="00000000">
        <w:rPr>
          <w:rtl w:val="0"/>
        </w:rPr>
        <w:t xml:space="preserve">1.1 Purpose</w:t>
      </w:r>
    </w:p>
    <w:p w:rsidR="00000000" w:rsidDel="00000000" w:rsidP="00000000" w:rsidRDefault="00000000" w:rsidRPr="00000000" w14:paraId="00000048">
      <w:pPr>
        <w:spacing w:after="160" w:line="276" w:lineRule="auto"/>
        <w:jc w:val="both"/>
        <w:rPr/>
      </w:pPr>
      <w:r w:rsidDel="00000000" w:rsidR="00000000" w:rsidRPr="00000000">
        <w:rPr>
          <w:rFonts w:ascii="Times New Roman" w:cs="Times New Roman" w:eastAsia="Times New Roman" w:hAnsi="Times New Roman"/>
          <w:color w:val="000000"/>
          <w:rtl w:val="0"/>
        </w:rPr>
        <w:t xml:space="preserve">This Software Requirements Specification (SRS) defines the functional and non-functional requirements for </w:t>
      </w:r>
      <w:r w:rsidDel="00000000" w:rsidR="00000000" w:rsidRPr="00000000">
        <w:rPr>
          <w:rFonts w:ascii="Times New Roman" w:cs="Times New Roman" w:eastAsia="Times New Roman" w:hAnsi="Times New Roman"/>
          <w:b w:val="1"/>
          <w:bCs w:val="1"/>
          <w:color w:val="000000"/>
          <w:rtl w:val="0"/>
        </w:rPr>
        <w:t xml:space="preserve">SupplyTwinAI</w:t>
      </w:r>
      <w:r w:rsidDel="00000000" w:rsidR="00000000" w:rsidRPr="00000000">
        <w:rPr>
          <w:rFonts w:ascii="Times New Roman" w:cs="Times New Roman" w:eastAsia="Times New Roman" w:hAnsi="Times New Roman"/>
          <w:color w:val="000000"/>
          <w:rtl w:val="0"/>
        </w:rPr>
        <w:t xml:space="preserve">, an AI-driven, autonomous multi-agent supply chain digital twin system developed by Team 12 as a final-year capstone project. It specifies what the system shall do, not how it is internally implemented, and covers the complete system at Version 1.0 — the scope delivered across Review 1 and Review 2.</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1.2 Document Conventions</w:t>
      </w:r>
      <w:r w:rsidDel="00000000" w:rsidR="00000000" w:rsidRPr="00000000">
        <w:rPr>
          <w:rtl w:val="0"/>
        </w:rPr>
      </w:r>
    </w:p>
    <w:p w:rsidR="00000000" w:rsidDel="00000000" w:rsidP="00000000" w:rsidRDefault="00000000" w:rsidRPr="00000000" w14:paraId="0000004A">
      <w:pPr>
        <w:spacing w:after="160" w:line="276" w:lineRule="auto"/>
        <w:jc w:val="both"/>
        <w:rPr/>
      </w:pPr>
      <w:r w:rsidDel="00000000" w:rsidR="00000000" w:rsidRPr="00000000">
        <w:rPr>
          <w:rFonts w:ascii="Times New Roman" w:cs="Times New Roman" w:eastAsia="Times New Roman" w:hAnsi="Times New Roman"/>
          <w:color w:val="000000"/>
          <w:rtl w:val="0"/>
        </w:rPr>
        <w:t xml:space="preserve">This document follows IEEE 830-1998 structural conventions, adapted to the feature-based requirements format popularized by Wiegers' SRS template. The word "shall" indicates a mandatory requirement; "should" indicates a recommended but non-mandatory behavior. Bold text marks defined terms (first use) and named UI elements/screens (e.g., </w:t>
      </w:r>
      <w:r w:rsidDel="00000000" w:rsidR="00000000" w:rsidRPr="00000000">
        <w:rPr>
          <w:rFonts w:ascii="Times New Roman" w:cs="Times New Roman" w:eastAsia="Times New Roman" w:hAnsi="Times New Roman"/>
          <w:b w:val="1"/>
          <w:bCs w:val="1"/>
          <w:color w:val="000000"/>
          <w:rtl w:val="0"/>
        </w:rPr>
        <w:t xml:space="preserve">Recommendation Center</w:t>
      </w:r>
      <w:r w:rsidDel="00000000" w:rsidR="00000000" w:rsidRPr="00000000">
        <w:rPr>
          <w:rFonts w:ascii="Times New Roman" w:cs="Times New Roman" w:eastAsia="Times New Roman" w:hAnsi="Times New Roman"/>
          <w:color w:val="000000"/>
          <w:rtl w:val="0"/>
        </w:rPr>
        <w:t xml:space="preserve">). Functional requirements are numbered </w:t>
      </w:r>
      <w:r w:rsidDel="00000000" w:rsidR="00000000" w:rsidRPr="00000000">
        <w:rPr>
          <w:rFonts w:ascii="Times New Roman" w:cs="Times New Roman" w:eastAsia="Times New Roman" w:hAnsi="Times New Roman"/>
          <w:b w:val="1"/>
          <w:bCs w:val="1"/>
          <w:color w:val="000000"/>
          <w:rtl w:val="0"/>
        </w:rPr>
        <w:t xml:space="preserve">REQ-1, REQ-2, ...</w:t>
      </w:r>
      <w:r w:rsidDel="00000000" w:rsidR="00000000" w:rsidRPr="00000000">
        <w:rPr>
          <w:rFonts w:ascii="Times New Roman" w:cs="Times New Roman" w:eastAsia="Times New Roman" w:hAnsi="Times New Roman"/>
          <w:color w:val="000000"/>
          <w:rtl w:val="0"/>
        </w:rPr>
        <w:t xml:space="preserve"> and reset within each system feature in Section 4; each requirement can therefore be uniquely identified by its feature and number (e.g., REQ-3 under Section 4.4). Non-functional requirements in Section 5 are numbered per subsection (e.g., NFR-P1 for the first performance requirement). No requirement priority marking scheme beyond the High/Medium/Low priority stated per feature in Section 4 is used, since this is a single-release capstone deliverable rather than a multi-release backlog.</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1.3 Intended Audience and Reading Suggestions</w:t>
      </w:r>
      <w:r w:rsidDel="00000000" w:rsidR="00000000" w:rsidRPr="00000000">
        <w:rPr>
          <w:rtl w:val="0"/>
        </w:rPr>
      </w:r>
    </w:p>
    <w:p w:rsidR="00000000" w:rsidDel="00000000" w:rsidP="00000000" w:rsidRDefault="00000000" w:rsidRPr="00000000" w14:paraId="0000004C">
      <w:pPr>
        <w:spacing w:after="160" w:line="276" w:lineRule="auto"/>
        <w:jc w:val="both"/>
        <w:rPr/>
      </w:pPr>
      <w:r w:rsidDel="00000000" w:rsidR="00000000" w:rsidRPr="00000000">
        <w:rPr>
          <w:rFonts w:ascii="Times New Roman" w:cs="Times New Roman" w:eastAsia="Times New Roman" w:hAnsi="Times New Roman"/>
          <w:color w:val="000000"/>
          <w:rtl w:val="0"/>
        </w:rPr>
        <w:t xml:space="preserve">This document is intended for four audiences: (1) the four-member development team, who should read Sections 2–5 in full before implementation and use Section 4 as the authoritative feature/requirement checklist during development; (2) the faculty supervisor and evaluation panel, who will use this document to verify delivered functionality against committed requirements during Review 1 and Review 2; (3) any future student extending this work, who should start with Section 2 (Overall Description) and Appendix B (Analysis Models) to understand system boundaries before reading individual requirements; and (4) testers, who should read Section 4's Stimulus/Response Sequences directly as the basis for test case design. Readers unfamiliar with the base literature this project extends should read Section 2.1 (Product Perspective) before Section 4.</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1.4 Product Scope</w:t>
      </w:r>
      <w:r w:rsidDel="00000000" w:rsidR="00000000" w:rsidRPr="00000000">
        <w:rPr>
          <w:rtl w:val="0"/>
        </w:rPr>
      </w:r>
    </w:p>
    <w:p w:rsidR="00000000" w:rsidDel="00000000" w:rsidP="00000000" w:rsidRDefault="00000000" w:rsidRPr="00000000" w14:paraId="0000004E">
      <w:pPr>
        <w:spacing w:after="160" w:line="276" w:lineRule="auto"/>
        <w:jc w:val="both"/>
        <w:rPr/>
      </w:pPr>
      <w:r w:rsidDel="00000000" w:rsidR="00000000" w:rsidRPr="00000000">
        <w:rPr>
          <w:rFonts w:ascii="Times New Roman" w:cs="Times New Roman" w:eastAsia="Times New Roman" w:hAnsi="Times New Roman"/>
          <w:color w:val="000000"/>
          <w:rtl w:val="0"/>
        </w:rPr>
        <w:t xml:space="preserve">SupplyTwinAI is a decision-support software system that extends the four-layer Digital Twin of Supply Chains (DTofSC) architecture proposed in Jesus et al., </w:t>
      </w:r>
      <w:r w:rsidDel="00000000" w:rsidR="00000000" w:rsidRPr="00000000">
        <w:rPr>
          <w:rFonts w:ascii="Times New Roman" w:cs="Times New Roman" w:eastAsia="Times New Roman" w:hAnsi="Times New Roman"/>
          <w:i w:val="1"/>
          <w:iCs w:val="1"/>
          <w:color w:val="000000"/>
          <w:rtl w:val="0"/>
        </w:rPr>
        <w:t xml:space="preserve">"Digital Twins of Supply Chains: A Systems Approach"</w:t>
      </w:r>
      <w:r w:rsidDel="00000000" w:rsidR="00000000" w:rsidRPr="00000000">
        <w:rPr>
          <w:rFonts w:ascii="Times New Roman" w:cs="Times New Roman" w:eastAsia="Times New Roman" w:hAnsi="Times New Roman"/>
          <w:color w:val="000000"/>
          <w:rtl w:val="0"/>
        </w:rPr>
        <w:t xml:space="preserve"> [1] with an autonomous reasoning layer. Where [1]'s architecture addresses digital representation, addressability, and data convergence of supply chain entities but stops short of autonomous reasoning, SupplyTwinAI adds a Knowledge Graph, GraphRAG-grounded retrieval, LLM-based reasoning, persistent disruption memory, and a six-agent LangGraph orchestration layer that together monitor, analyze, and recommend responses to supply chain disruptions in near real time.</w:t>
      </w:r>
      <w:r w:rsidDel="00000000" w:rsidR="00000000" w:rsidRPr="00000000">
        <w:rPr>
          <w:rtl w:val="0"/>
        </w:rPr>
      </w:r>
    </w:p>
    <w:p w:rsidR="00000000" w:rsidDel="00000000" w:rsidP="00000000" w:rsidRDefault="00000000" w:rsidRPr="00000000" w14:paraId="0000004F">
      <w:pPr>
        <w:spacing w:after="160" w:line="276" w:lineRule="auto"/>
        <w:jc w:val="both"/>
        <w:rPr/>
      </w:pPr>
      <w:r w:rsidDel="00000000" w:rsidR="00000000" w:rsidRPr="00000000">
        <w:rPr>
          <w:rFonts w:ascii="Times New Roman" w:cs="Times New Roman" w:eastAsia="Times New Roman" w:hAnsi="Times New Roman"/>
          <w:b w:val="1"/>
          <w:bCs w:val="1"/>
          <w:color w:val="000000"/>
          <w:rtl w:val="0"/>
        </w:rPr>
        <w:t xml:space="preserve">In scope for this release:</w:t>
      </w:r>
      <w:r w:rsidDel="00000000" w:rsidR="00000000" w:rsidRPr="00000000">
        <w:rPr>
          <w:rFonts w:ascii="Times New Roman" w:cs="Times New Roman" w:eastAsia="Times New Roman" w:hAnsi="Times New Roman"/>
          <w:color w:val="000000"/>
          <w:rtl w:val="0"/>
        </w:rPr>
        <w:t xml:space="preserve"> ingestion and normalization of the DataCo dataset plus a live simulation module (Section 4.1); a Neo4j knowledge graph satisfying the addressability requirement of [1] (Section 4.2); GraphRAG retrieval grounding all LLM calls (Section 4.3); six LangGraph-orchestrated agents producing a composite risk score and mitigation recommendations (Section 4.4); persistent disruption memory (Section 4.5); a natural-language AI Assistant (Section 4.6); a Manager Dashboard and Digital Twin graph view (Section 4.7); a human-approval-gated Recommendation Center (Section 4.8); and an Admin area for data, agent, and reporting management (Section 4.9) — delivered as a single React/FastAPI web application on cloud infrastructure.</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rFonts w:ascii="Times New Roman" w:cs="Times New Roman" w:eastAsia="Times New Roman" w:hAnsi="Times New Roman"/>
          <w:b w:val="1"/>
          <w:bCs w:val="1"/>
          <w:color w:val="000000"/>
          <w:rtl w:val="0"/>
        </w:rPr>
        <w:t xml:space="preserve">Explicitly out of scope:</w:t>
      </w:r>
      <w:r w:rsidDel="00000000" w:rsidR="00000000" w:rsidRPr="00000000">
        <w:rPr>
          <w:rFonts w:ascii="Times New Roman" w:cs="Times New Roman" w:eastAsia="Times New Roman" w:hAnsi="Times New Roman"/>
          <w:color w:val="000000"/>
          <w:rtl w:val="0"/>
        </w:rPr>
        <w:t xml:space="preserve"> any write-back or actuation into real-world ERP, WMS, TMS, or carrier systems (the system is read-only with respect to external enterprise systems and always requires human approval before a recommendation is considered acted-on, per REQ-2 in Section 4.8); integration with live, paid, or partner-specific data feeds (the system uses the DataCo historical dataset plus a simulated live-event generator, not a production pipeline); multi-tenant support and organizational hierarchies spanning multiple companies; native mobile applications; and formal security certification (e.g., SOC 2, ISO 27001).</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1.5 References</w:t>
      </w:r>
      <w:r w:rsidDel="00000000" w:rsidR="00000000" w:rsidRPr="00000000">
        <w:rPr>
          <w:rtl w:val="0"/>
        </w:rPr>
      </w:r>
    </w:p>
    <w:p w:rsidR="00000000" w:rsidDel="00000000" w:rsidP="00000000" w:rsidRDefault="00000000" w:rsidRPr="00000000" w14:paraId="00000052">
      <w:pPr>
        <w:spacing w:after="160" w:line="276" w:lineRule="auto"/>
        <w:jc w:val="both"/>
        <w:rPr/>
      </w:pPr>
      <w:r w:rsidDel="00000000" w:rsidR="00000000" w:rsidRPr="00000000">
        <w:rPr>
          <w:rFonts w:ascii="Times New Roman" w:cs="Times New Roman" w:eastAsia="Times New Roman" w:hAnsi="Times New Roman"/>
          <w:color w:val="000000"/>
          <w:rtl w:val="0"/>
        </w:rPr>
        <w:t xml:space="preserve">[1] V. Jesus, D. Kalaitzi, L. Batista, and N. Leal Lopez, "Digital Twins of Supply Chains: A Systems Approach," </w:t>
      </w:r>
      <w:r w:rsidDel="00000000" w:rsidR="00000000" w:rsidRPr="00000000">
        <w:rPr>
          <w:rFonts w:ascii="Times New Roman" w:cs="Times New Roman" w:eastAsia="Times New Roman" w:hAnsi="Times New Roman"/>
          <w:i w:val="1"/>
          <w:iCs w:val="1"/>
          <w:color w:val="000000"/>
          <w:rtl w:val="0"/>
        </w:rPr>
        <w:t xml:space="preserve">IEEE Trans. Eng. Manage.</w:t>
      </w:r>
      <w:r w:rsidDel="00000000" w:rsidR="00000000" w:rsidRPr="00000000">
        <w:rPr>
          <w:rFonts w:ascii="Times New Roman" w:cs="Times New Roman" w:eastAsia="Times New Roman" w:hAnsi="Times New Roman"/>
          <w:color w:val="000000"/>
          <w:rtl w:val="0"/>
        </w:rPr>
        <w:t xml:space="preserve">, vol. 71, pp. 14915–14932, 2024. https://ieeexplore.ieee.org/document/10707169</w:t>
      </w:r>
      <w:r w:rsidDel="00000000" w:rsidR="00000000" w:rsidRPr="00000000">
        <w:rPr>
          <w:rtl w:val="0"/>
        </w:rPr>
      </w:r>
    </w:p>
    <w:p w:rsidR="00000000" w:rsidDel="00000000" w:rsidP="00000000" w:rsidRDefault="00000000" w:rsidRPr="00000000" w14:paraId="00000053">
      <w:pPr>
        <w:spacing w:after="160" w:line="276" w:lineRule="auto"/>
        <w:jc w:val="both"/>
        <w:rPr/>
      </w:pPr>
      <w:r w:rsidDel="00000000" w:rsidR="00000000" w:rsidRPr="00000000">
        <w:rPr>
          <w:rFonts w:ascii="Times New Roman" w:cs="Times New Roman" w:eastAsia="Times New Roman" w:hAnsi="Times New Roman"/>
          <w:color w:val="000000"/>
          <w:rtl w:val="0"/>
        </w:rPr>
        <w:t xml:space="preserve">[2] "Agentic Digital Twins: Bridging Model-Based and AI-Driven Decision-Making Support for a New Era of Supply Chain and Operations Management," </w:t>
      </w:r>
      <w:r w:rsidDel="00000000" w:rsidR="00000000" w:rsidRPr="00000000">
        <w:rPr>
          <w:rFonts w:ascii="Times New Roman" w:cs="Times New Roman" w:eastAsia="Times New Roman" w:hAnsi="Times New Roman"/>
          <w:i w:val="1"/>
          <w:iCs w:val="1"/>
          <w:color w:val="000000"/>
          <w:rtl w:val="0"/>
        </w:rPr>
        <w:t xml:space="preserve">Int. J. Production Research</w:t>
      </w:r>
      <w:r w:rsidDel="00000000" w:rsidR="00000000" w:rsidRPr="00000000">
        <w:rPr>
          <w:rFonts w:ascii="Times New Roman" w:cs="Times New Roman" w:eastAsia="Times New Roman" w:hAnsi="Times New Roman"/>
          <w:color w:val="000000"/>
          <w:rtl w:val="0"/>
        </w:rPr>
        <w:t xml:space="preserve">, 2026. https://www.tandfonline.com/doi/full/10.1080/00207543.2026.2630277</w:t>
      </w:r>
      <w:r w:rsidDel="00000000" w:rsidR="00000000" w:rsidRPr="00000000">
        <w:rPr>
          <w:rtl w:val="0"/>
        </w:rPr>
      </w:r>
    </w:p>
    <w:p w:rsidR="00000000" w:rsidDel="00000000" w:rsidP="00000000" w:rsidRDefault="00000000" w:rsidRPr="00000000" w14:paraId="00000054">
      <w:pPr>
        <w:spacing w:after="160" w:line="276" w:lineRule="auto"/>
        <w:jc w:val="both"/>
        <w:rPr/>
      </w:pPr>
      <w:r w:rsidDel="00000000" w:rsidR="00000000" w:rsidRPr="00000000">
        <w:rPr>
          <w:rFonts w:ascii="Times New Roman" w:cs="Times New Roman" w:eastAsia="Times New Roman" w:hAnsi="Times New Roman"/>
          <w:color w:val="000000"/>
          <w:rtl w:val="0"/>
        </w:rPr>
        <w:t xml:space="preserve">[3] "Agentic LLMs in the Supply Chain: Towards Autonomous Multi-Agent Consensus-Seeking," </w:t>
      </w:r>
      <w:r w:rsidDel="00000000" w:rsidR="00000000" w:rsidRPr="00000000">
        <w:rPr>
          <w:rFonts w:ascii="Times New Roman" w:cs="Times New Roman" w:eastAsia="Times New Roman" w:hAnsi="Times New Roman"/>
          <w:i w:val="1"/>
          <w:iCs w:val="1"/>
          <w:color w:val="000000"/>
          <w:rtl w:val="0"/>
        </w:rPr>
        <w:t xml:space="preserve">Int. J. Production Research</w:t>
      </w:r>
      <w:r w:rsidDel="00000000" w:rsidR="00000000" w:rsidRPr="00000000">
        <w:rPr>
          <w:rFonts w:ascii="Times New Roman" w:cs="Times New Roman" w:eastAsia="Times New Roman" w:hAnsi="Times New Roman"/>
          <w:color w:val="000000"/>
          <w:rtl w:val="0"/>
        </w:rPr>
        <w:t xml:space="preserve">, 2025. https://www.tandfonline.com/doi/full/10.1080/00207543.2025.2604311</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Fonts w:ascii="Times New Roman" w:cs="Times New Roman" w:eastAsia="Times New Roman" w:hAnsi="Times New Roman"/>
          <w:color w:val="000000"/>
          <w:rtl w:val="0"/>
        </w:rPr>
        <w:t xml:space="preserve">[4] "Automating Supply Chain Disruption Monitoring via an Agentic AI Approach," </w:t>
      </w:r>
      <w:r w:rsidDel="00000000" w:rsidR="00000000" w:rsidRPr="00000000">
        <w:rPr>
          <w:rFonts w:ascii="Times New Roman" w:cs="Times New Roman" w:eastAsia="Times New Roman" w:hAnsi="Times New Roman"/>
          <w:i w:val="1"/>
          <w:iCs w:val="1"/>
          <w:color w:val="000000"/>
          <w:rtl w:val="0"/>
        </w:rPr>
        <w:t xml:space="preserve">arXiv:2601.09680</w:t>
      </w:r>
      <w:r w:rsidDel="00000000" w:rsidR="00000000" w:rsidRPr="00000000">
        <w:rPr>
          <w:rFonts w:ascii="Times New Roman" w:cs="Times New Roman" w:eastAsia="Times New Roman" w:hAnsi="Times New Roman"/>
          <w:color w:val="000000"/>
          <w:rtl w:val="0"/>
        </w:rPr>
        <w:t xml:space="preserve">, 2026. https://arxiv.org/html/2601.09680v1</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rFonts w:ascii="Times New Roman" w:cs="Times New Roman" w:eastAsia="Times New Roman" w:hAnsi="Times New Roman"/>
          <w:color w:val="000000"/>
          <w:rtl w:val="0"/>
        </w:rPr>
        <w:t xml:space="preserve">[5] "LLM-Based Multi-Agent Orchestration: A Survey of Frameworks, Communication Protocols, and Emerging Patterns," </w:t>
      </w:r>
      <w:r w:rsidDel="00000000" w:rsidR="00000000" w:rsidRPr="00000000">
        <w:rPr>
          <w:rFonts w:ascii="Times New Roman" w:cs="Times New Roman" w:eastAsia="Times New Roman" w:hAnsi="Times New Roman"/>
          <w:i w:val="1"/>
          <w:iCs w:val="1"/>
          <w:color w:val="000000"/>
          <w:rtl w:val="0"/>
        </w:rPr>
        <w:t xml:space="preserve">Future Internet</w:t>
      </w:r>
      <w:r w:rsidDel="00000000" w:rsidR="00000000" w:rsidRPr="00000000">
        <w:rPr>
          <w:rFonts w:ascii="Times New Roman" w:cs="Times New Roman" w:eastAsia="Times New Roman" w:hAnsi="Times New Roman"/>
          <w:color w:val="000000"/>
          <w:rtl w:val="0"/>
        </w:rPr>
        <w:t xml:space="preserve">, 2026. https://doi.org/10.3390/fi18060326</w:t>
      </w:r>
      <w:r w:rsidDel="00000000" w:rsidR="00000000" w:rsidRPr="00000000">
        <w:rPr>
          <w:rtl w:val="0"/>
        </w:rPr>
      </w:r>
    </w:p>
    <w:p w:rsidR="00000000" w:rsidDel="00000000" w:rsidP="00000000" w:rsidRDefault="00000000" w:rsidRPr="00000000" w14:paraId="00000057">
      <w:pPr>
        <w:spacing w:after="160" w:line="276" w:lineRule="auto"/>
        <w:jc w:val="both"/>
        <w:rPr/>
      </w:pPr>
      <w:r w:rsidDel="00000000" w:rsidR="00000000" w:rsidRPr="00000000">
        <w:rPr>
          <w:rFonts w:ascii="Times New Roman" w:cs="Times New Roman" w:eastAsia="Times New Roman" w:hAnsi="Times New Roman"/>
          <w:color w:val="000000"/>
          <w:rtl w:val="0"/>
        </w:rPr>
        <w:t xml:space="preserve">[6] T. Zang et al., "Event-State Knowledge Graph-Enhanced GraphRAG for Order-Driven 3D Printing Supply Chain Configuration," </w:t>
      </w:r>
      <w:r w:rsidDel="00000000" w:rsidR="00000000" w:rsidRPr="00000000">
        <w:rPr>
          <w:rFonts w:ascii="Times New Roman" w:cs="Times New Roman" w:eastAsia="Times New Roman" w:hAnsi="Times New Roman"/>
          <w:i w:val="1"/>
          <w:iCs w:val="1"/>
          <w:color w:val="000000"/>
          <w:rtl w:val="0"/>
        </w:rPr>
        <w:t xml:space="preserve">Expert Systems with Applications</w:t>
      </w:r>
      <w:r w:rsidDel="00000000" w:rsidR="00000000" w:rsidRPr="00000000">
        <w:rPr>
          <w:rFonts w:ascii="Times New Roman" w:cs="Times New Roman" w:eastAsia="Times New Roman" w:hAnsi="Times New Roman"/>
          <w:color w:val="000000"/>
          <w:rtl w:val="0"/>
        </w:rPr>
        <w:t xml:space="preserve">, 2026. https://www.sciencedirect.com/science/article/abs/pii/S0957417426008511</w:t>
      </w:r>
      <w:r w:rsidDel="00000000" w:rsidR="00000000" w:rsidRPr="00000000">
        <w:rPr>
          <w:rtl w:val="0"/>
        </w:rPr>
      </w:r>
    </w:p>
    <w:p w:rsidR="00000000" w:rsidDel="00000000" w:rsidP="00000000" w:rsidRDefault="00000000" w:rsidRPr="00000000" w14:paraId="00000058">
      <w:pPr>
        <w:spacing w:after="160" w:line="276" w:lineRule="auto"/>
        <w:jc w:val="both"/>
        <w:rPr/>
      </w:pPr>
      <w:r w:rsidDel="00000000" w:rsidR="00000000" w:rsidRPr="00000000">
        <w:rPr>
          <w:rFonts w:ascii="Times New Roman" w:cs="Times New Roman" w:eastAsia="Times New Roman" w:hAnsi="Times New Roman"/>
          <w:color w:val="000000"/>
          <w:rtl w:val="0"/>
        </w:rPr>
        <w:t xml:space="preserve">[7] "Enhancing Supply Chain Visibility with Knowledge Graphs and Large Language Models," </w:t>
      </w:r>
      <w:r w:rsidDel="00000000" w:rsidR="00000000" w:rsidRPr="00000000">
        <w:rPr>
          <w:rFonts w:ascii="Times New Roman" w:cs="Times New Roman" w:eastAsia="Times New Roman" w:hAnsi="Times New Roman"/>
          <w:i w:val="1"/>
          <w:iCs w:val="1"/>
          <w:color w:val="000000"/>
          <w:rtl w:val="0"/>
        </w:rPr>
        <w:t xml:space="preserve">Int. J. Production Research</w:t>
      </w:r>
      <w:r w:rsidDel="00000000" w:rsidR="00000000" w:rsidRPr="00000000">
        <w:rPr>
          <w:rFonts w:ascii="Times New Roman" w:cs="Times New Roman" w:eastAsia="Times New Roman" w:hAnsi="Times New Roman"/>
          <w:color w:val="000000"/>
          <w:rtl w:val="0"/>
        </w:rPr>
        <w:t xml:space="preserve">, 2025. https://www.tandfonline.com/doi/full/10.1080/00207543.2025.2575841</w:t>
      </w:r>
      <w:r w:rsidDel="00000000" w:rsidR="00000000" w:rsidRPr="00000000">
        <w:rPr>
          <w:rtl w:val="0"/>
        </w:rPr>
      </w:r>
    </w:p>
    <w:p w:rsidR="00000000" w:rsidDel="00000000" w:rsidP="00000000" w:rsidRDefault="00000000" w:rsidRPr="00000000" w14:paraId="00000059">
      <w:pPr>
        <w:spacing w:after="160" w:line="276" w:lineRule="auto"/>
        <w:jc w:val="both"/>
        <w:rPr/>
      </w:pPr>
      <w:r w:rsidDel="00000000" w:rsidR="00000000" w:rsidRPr="00000000">
        <w:rPr>
          <w:rFonts w:ascii="Times New Roman" w:cs="Times New Roman" w:eastAsia="Times New Roman" w:hAnsi="Times New Roman"/>
          <w:color w:val="000000"/>
          <w:rtl w:val="0"/>
        </w:rPr>
        <w:t xml:space="preserve">[8] H. Wang, J. Jiang, L. J. Hong, and G. Jiang, "LLMs for Supply Chain Management," </w:t>
      </w:r>
      <w:r w:rsidDel="00000000" w:rsidR="00000000" w:rsidRPr="00000000">
        <w:rPr>
          <w:rFonts w:ascii="Times New Roman" w:cs="Times New Roman" w:eastAsia="Times New Roman" w:hAnsi="Times New Roman"/>
          <w:i w:val="1"/>
          <w:iCs w:val="1"/>
          <w:color w:val="000000"/>
          <w:rtl w:val="0"/>
        </w:rPr>
        <w:t xml:space="preserve">arXiv:2505.18597</w:t>
      </w:r>
      <w:r w:rsidDel="00000000" w:rsidR="00000000" w:rsidRPr="00000000">
        <w:rPr>
          <w:rFonts w:ascii="Times New Roman" w:cs="Times New Roman" w:eastAsia="Times New Roman" w:hAnsi="Times New Roman"/>
          <w:color w:val="000000"/>
          <w:rtl w:val="0"/>
        </w:rPr>
        <w:t xml:space="preserve">, 2025. https://arxiv.org/pdf/2505.18597</w:t>
      </w:r>
      <w:r w:rsidDel="00000000" w:rsidR="00000000" w:rsidRPr="00000000">
        <w:rPr>
          <w:rtl w:val="0"/>
        </w:rPr>
      </w:r>
    </w:p>
    <w:p w:rsidR="00000000" w:rsidDel="00000000" w:rsidP="00000000" w:rsidRDefault="00000000" w:rsidRPr="00000000" w14:paraId="0000005A">
      <w:pPr>
        <w:spacing w:after="160" w:line="276" w:lineRule="auto"/>
        <w:jc w:val="both"/>
        <w:rPr/>
      </w:pPr>
      <w:r w:rsidDel="00000000" w:rsidR="00000000" w:rsidRPr="00000000">
        <w:rPr>
          <w:rFonts w:ascii="Times New Roman" w:cs="Times New Roman" w:eastAsia="Times New Roman" w:hAnsi="Times New Roman"/>
          <w:color w:val="000000"/>
          <w:rtl w:val="0"/>
        </w:rPr>
        <w:t xml:space="preserve">[9] "Forecasting Supply Chain Disruptions with Foresight Learning," </w:t>
      </w:r>
      <w:r w:rsidDel="00000000" w:rsidR="00000000" w:rsidRPr="00000000">
        <w:rPr>
          <w:rFonts w:ascii="Times New Roman" w:cs="Times New Roman" w:eastAsia="Times New Roman" w:hAnsi="Times New Roman"/>
          <w:i w:val="1"/>
          <w:iCs w:val="1"/>
          <w:color w:val="000000"/>
          <w:rtl w:val="0"/>
        </w:rPr>
        <w:t xml:space="preserve">arXiv:2604.01298</w:t>
      </w:r>
      <w:r w:rsidDel="00000000" w:rsidR="00000000" w:rsidRPr="00000000">
        <w:rPr>
          <w:rFonts w:ascii="Times New Roman" w:cs="Times New Roman" w:eastAsia="Times New Roman" w:hAnsi="Times New Roman"/>
          <w:color w:val="000000"/>
          <w:rtl w:val="0"/>
        </w:rPr>
        <w:t xml:space="preserve">, 2026. https://arxiv.org/pdf/2604.01298</w:t>
      </w:r>
      <w:r w:rsidDel="00000000" w:rsidR="00000000" w:rsidRPr="00000000">
        <w:rPr>
          <w:rtl w:val="0"/>
        </w:rPr>
      </w:r>
    </w:p>
    <w:p w:rsidR="00000000" w:rsidDel="00000000" w:rsidP="00000000" w:rsidRDefault="00000000" w:rsidRPr="00000000" w14:paraId="0000005B">
      <w:pPr>
        <w:spacing w:after="160" w:line="276" w:lineRule="auto"/>
        <w:jc w:val="both"/>
        <w:rPr/>
      </w:pPr>
      <w:r w:rsidDel="00000000" w:rsidR="00000000" w:rsidRPr="00000000">
        <w:rPr>
          <w:rFonts w:ascii="Times New Roman" w:cs="Times New Roman" w:eastAsia="Times New Roman" w:hAnsi="Times New Roman"/>
          <w:color w:val="000000"/>
          <w:rtl w:val="0"/>
        </w:rPr>
        <w:t xml:space="preserve">[10] "Always-On Agents: A Survey of Persistent Memory, State, and Governance in LLM Agents," </w:t>
      </w:r>
      <w:r w:rsidDel="00000000" w:rsidR="00000000" w:rsidRPr="00000000">
        <w:rPr>
          <w:rFonts w:ascii="Times New Roman" w:cs="Times New Roman" w:eastAsia="Times New Roman" w:hAnsi="Times New Roman"/>
          <w:i w:val="1"/>
          <w:iCs w:val="1"/>
          <w:color w:val="000000"/>
          <w:rtl w:val="0"/>
        </w:rPr>
        <w:t xml:space="preserve">arXiv:2606.30306</w:t>
      </w:r>
      <w:r w:rsidDel="00000000" w:rsidR="00000000" w:rsidRPr="00000000">
        <w:rPr>
          <w:rFonts w:ascii="Times New Roman" w:cs="Times New Roman" w:eastAsia="Times New Roman" w:hAnsi="Times New Roman"/>
          <w:color w:val="000000"/>
          <w:rtl w:val="0"/>
        </w:rPr>
        <w:t xml:space="preserve">, 2026. https://arxiv.org/pdf/2606.30306</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bookmarkStart w:colFirst="0" w:colLast="0" w:name="_4txntqt7a6rl" w:id="0"/>
      <w:bookmarkEnd w:id="0"/>
      <w:r w:rsidDel="00000000" w:rsidR="00000000" w:rsidRPr="00000000">
        <w:rPr>
          <w:rtl w:val="0"/>
        </w:rPr>
        <w:t xml:space="preserve">2. Overall Description</w:t>
      </w:r>
    </w:p>
    <w:p w:rsidR="00000000" w:rsidDel="00000000" w:rsidP="00000000" w:rsidRDefault="00000000" w:rsidRPr="00000000" w14:paraId="0000005E">
      <w:pPr>
        <w:pStyle w:val="Heading2"/>
        <w:rPr/>
      </w:pPr>
      <w:r w:rsidDel="00000000" w:rsidR="00000000" w:rsidRPr="00000000">
        <w:rPr>
          <w:rtl w:val="0"/>
        </w:rPr>
        <w:t xml:space="preserve">2.1 Product Perspective</w:t>
      </w:r>
      <w:r w:rsidDel="00000000" w:rsidR="00000000" w:rsidRPr="00000000">
        <w:rPr>
          <w:rtl w:val="0"/>
        </w:rPr>
      </w:r>
    </w:p>
    <w:p w:rsidR="00000000" w:rsidDel="00000000" w:rsidP="00000000" w:rsidRDefault="00000000" w:rsidRPr="00000000" w14:paraId="0000005F">
      <w:pPr>
        <w:spacing w:after="160" w:line="276" w:lineRule="auto"/>
        <w:jc w:val="both"/>
        <w:rPr/>
      </w:pPr>
      <w:r w:rsidDel="00000000" w:rsidR="00000000" w:rsidRPr="00000000">
        <w:rPr>
          <w:rFonts w:ascii="Times New Roman" w:cs="Times New Roman" w:eastAsia="Times New Roman" w:hAnsi="Times New Roman"/>
          <w:color w:val="000000"/>
          <w:rtl w:val="0"/>
        </w:rPr>
        <w:t xml:space="preserve">SupplyTwinAI is a new, self-contained system rather than a replacement for or plug-in to any existing enterprise product. It is architecturally positioned as an extension of the four-layer DTofSC systems architecture defined in [1]:</w:t>
      </w:r>
      <w:r w:rsidDel="00000000" w:rsidR="00000000" w:rsidRPr="00000000">
        <w:rPr>
          <w:rtl w:val="0"/>
        </w:rPr>
      </w:r>
    </w:p>
    <w:p w:rsidR="00000000" w:rsidDel="00000000" w:rsidP="00000000" w:rsidRDefault="00000000" w:rsidRPr="00000000" w14:paraId="00000060">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1.</w:t>
        <w:tab/>
      </w:r>
      <w:r w:rsidDel="00000000" w:rsidR="00000000" w:rsidRPr="00000000">
        <w:rPr>
          <w:rFonts w:ascii="Times New Roman" w:cs="Times New Roman" w:eastAsia="Times New Roman" w:hAnsi="Times New Roman"/>
          <w:b w:val="1"/>
          <w:bCs w:val="1"/>
          <w:color w:val="000000"/>
          <w:rtl w:val="0"/>
        </w:rPr>
        <w:t xml:space="preserve">Physical Twin layer</w:t>
      </w:r>
      <w:r w:rsidDel="00000000" w:rsidR="00000000" w:rsidRPr="00000000">
        <w:rPr>
          <w:rFonts w:ascii="Times New Roman" w:cs="Times New Roman" w:eastAsia="Times New Roman" w:hAnsi="Times New Roman"/>
          <w:color w:val="000000"/>
          <w:rtl w:val="0"/>
        </w:rPr>
        <w:t xml:space="preserve"> — the supply-chain and product view, satisfying addressability. SupplyTwinAI realizes this as the ingested DataCo dataset plus simulated live events, each entity assigned a unique, queryable identifier.</w:t>
      </w:r>
      <w:r w:rsidDel="00000000" w:rsidR="00000000" w:rsidRPr="00000000">
        <w:rPr>
          <w:rtl w:val="0"/>
        </w:rPr>
      </w:r>
    </w:p>
    <w:p w:rsidR="00000000" w:rsidDel="00000000" w:rsidP="00000000" w:rsidRDefault="00000000" w:rsidRPr="00000000" w14:paraId="00000061">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2.</w:t>
        <w:tab/>
      </w:r>
      <w:r w:rsidDel="00000000" w:rsidR="00000000" w:rsidRPr="00000000">
        <w:rPr>
          <w:rFonts w:ascii="Times New Roman" w:cs="Times New Roman" w:eastAsia="Times New Roman" w:hAnsi="Times New Roman"/>
          <w:b w:val="1"/>
          <w:bCs w:val="1"/>
          <w:color w:val="000000"/>
          <w:rtl w:val="0"/>
        </w:rPr>
        <w:t xml:space="preserve">Convergence layer</w:t>
      </w:r>
      <w:r w:rsidDel="00000000" w:rsidR="00000000" w:rsidRPr="00000000">
        <w:rPr>
          <w:rFonts w:ascii="Times New Roman" w:cs="Times New Roman" w:eastAsia="Times New Roman" w:hAnsi="Times New Roman"/>
          <w:color w:val="000000"/>
          <w:rtl w:val="0"/>
        </w:rPr>
        <w:t xml:space="preserve"> — [1]'s blockchain-based discovery/trust point. SupplyTwinAI substitutes this with its ETL pipeline and PostgreSQL relational schema, which unifies heterogeneous source records into one addressable schema (blockchain-based trust convergence is not implemented — see Section 2.5).</w:t>
      </w:r>
      <w:r w:rsidDel="00000000" w:rsidR="00000000" w:rsidRPr="00000000">
        <w:rPr>
          <w:rtl w:val="0"/>
        </w:rPr>
      </w:r>
    </w:p>
    <w:p w:rsidR="00000000" w:rsidDel="00000000" w:rsidP="00000000" w:rsidRDefault="00000000" w:rsidRPr="00000000" w14:paraId="00000062">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3.</w:t>
        <w:tab/>
      </w:r>
      <w:r w:rsidDel="00000000" w:rsidR="00000000" w:rsidRPr="00000000">
        <w:rPr>
          <w:rFonts w:ascii="Times New Roman" w:cs="Times New Roman" w:eastAsia="Times New Roman" w:hAnsi="Times New Roman"/>
          <w:b w:val="1"/>
          <w:bCs w:val="1"/>
          <w:color w:val="000000"/>
          <w:rtl w:val="0"/>
        </w:rPr>
        <w:t xml:space="preserve">Digital Twin layer</w:t>
      </w:r>
      <w:r w:rsidDel="00000000" w:rsidR="00000000" w:rsidRPr="00000000">
        <w:rPr>
          <w:rFonts w:ascii="Times New Roman" w:cs="Times New Roman" w:eastAsia="Times New Roman" w:hAnsi="Times New Roman"/>
          <w:color w:val="000000"/>
          <w:rtl w:val="0"/>
        </w:rPr>
        <w:t xml:space="preserve"> — discovery, querying, simulation of the supply chain. SupplyTwinAI realizes this as the Neo4j knowledge graph and the live simulation module.</w:t>
      </w:r>
      <w:r w:rsidDel="00000000" w:rsidR="00000000" w:rsidRPr="00000000">
        <w:rPr>
          <w:rtl w:val="0"/>
        </w:rPr>
      </w:r>
    </w:p>
    <w:p w:rsidR="00000000" w:rsidDel="00000000" w:rsidP="00000000" w:rsidRDefault="00000000" w:rsidRPr="00000000" w14:paraId="00000063">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4.</w:t>
        <w:tab/>
      </w:r>
      <w:r w:rsidDel="00000000" w:rsidR="00000000" w:rsidRPr="00000000">
        <w:rPr>
          <w:rFonts w:ascii="Times New Roman" w:cs="Times New Roman" w:eastAsia="Times New Roman" w:hAnsi="Times New Roman"/>
          <w:b w:val="1"/>
          <w:bCs w:val="1"/>
          <w:color w:val="000000"/>
          <w:rtl w:val="0"/>
        </w:rPr>
        <w:t xml:space="preserve">Higher-level applications layer</w:t>
      </w:r>
      <w:r w:rsidDel="00000000" w:rsidR="00000000" w:rsidRPr="00000000">
        <w:rPr>
          <w:rFonts w:ascii="Times New Roman" w:cs="Times New Roman" w:eastAsia="Times New Roman" w:hAnsi="Times New Roman"/>
          <w:color w:val="000000"/>
          <w:rtl w:val="0"/>
        </w:rPr>
        <w:t xml:space="preserve"> — forecasting, decision support, visualization, track-and-trace. [1] leaves this layer largely conceptual; SupplyTwinAI's core contribution is populating it with a concrete reasoning stack: GraphRAG retrieval, Gemini-based LLM reasoning, persistent disruption memory, and six LangGraph-orchestrated autonomous agents, exposed through a Manager Dashboard, a Digital Twin graph view, an AI Assistant, and a Recommendation Center.</w:t>
      </w:r>
      <w:r w:rsidDel="00000000" w:rsidR="00000000" w:rsidRPr="00000000">
        <w:rPr>
          <w:rtl w:val="0"/>
        </w:rPr>
      </w:r>
    </w:p>
    <w:p w:rsidR="00000000" w:rsidDel="00000000" w:rsidP="00000000" w:rsidRDefault="00000000" w:rsidRPr="00000000" w14:paraId="00000064">
      <w:pPr>
        <w:spacing w:after="160" w:line="276" w:lineRule="auto"/>
        <w:jc w:val="both"/>
        <w:rPr/>
      </w:pPr>
      <w:r w:rsidDel="00000000" w:rsidR="00000000" w:rsidRPr="00000000">
        <w:rPr>
          <w:rFonts w:ascii="Times New Roman" w:cs="Times New Roman" w:eastAsia="Times New Roman" w:hAnsi="Times New Roman"/>
          <w:color w:val="000000"/>
          <w:rtl w:val="0"/>
        </w:rPr>
        <w:t xml:space="preserve">The system is standalone. It depends on three external, independently hosted services it does not control — the Gemini API (LLM inference), Open-Meteo (weather data), and NewsAPI (news data) — each accessed as a read-only data/inference source over HTTPS.</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2.2 Product Functions</w:t>
      </w:r>
      <w:r w:rsidDel="00000000" w:rsidR="00000000" w:rsidRPr="00000000">
        <w:rPr>
          <w:rtl w:val="0"/>
        </w:rPr>
      </w:r>
    </w:p>
    <w:p w:rsidR="00000000" w:rsidDel="00000000" w:rsidP="00000000" w:rsidRDefault="00000000" w:rsidRPr="00000000" w14:paraId="00000066">
      <w:pPr>
        <w:spacing w:after="160" w:line="276" w:lineRule="auto"/>
        <w:jc w:val="both"/>
        <w:rPr/>
      </w:pPr>
      <w:r w:rsidDel="00000000" w:rsidR="00000000" w:rsidRPr="00000000">
        <w:rPr>
          <w:rFonts w:ascii="Times New Roman" w:cs="Times New Roman" w:eastAsia="Times New Roman" w:hAnsi="Times New Roman"/>
          <w:color w:val="000000"/>
          <w:rtl w:val="0"/>
        </w:rPr>
        <w:t xml:space="preserve">At a high level, SupplyTwinAI provides: data ingestion and unification (DataCo dataset plus simulated live events into a shared relational schema); knowledge graph construction and multi-hop querying; grounded retrieval (GraphRAG) that conditions LLM responses on graph context to reduce hallucination; autonomous multi-agent reasoning (six LangGraph agents producing a composite risk assessment and mitigation recommendation); persistent disruption memory so recommendations improve over time; natural-language querying against the knowledge graph and memory; and visualization/reporting through a KPI-oriented dashboard, an interactive graph view, and a Recommendation Center with confidence-scored mitigation options. Full detail for each function appears as a system feature in Section 4.</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2.3 User Classes and Characteristics</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rFonts w:ascii="Times New Roman" w:cs="Times New Roman" w:eastAsia="Times New Roman" w:hAnsi="Times New Roman"/>
          <w:color w:val="000000"/>
          <w:rtl w:val="0"/>
        </w:rPr>
        <w:t xml:space="preserve">SupplyTwinAI defines two user classes. The </w:t>
      </w:r>
      <w:r w:rsidDel="00000000" w:rsidR="00000000" w:rsidRPr="00000000">
        <w:rPr>
          <w:rFonts w:ascii="Times New Roman" w:cs="Times New Roman" w:eastAsia="Times New Roman" w:hAnsi="Times New Roman"/>
          <w:b w:val="1"/>
          <w:bCs w:val="1"/>
          <w:color w:val="000000"/>
          <w:rtl w:val="0"/>
        </w:rPr>
        <w:t xml:space="preserve">Supply Chain Manager</w:t>
      </w:r>
      <w:r w:rsidDel="00000000" w:rsidR="00000000" w:rsidRPr="00000000">
        <w:rPr>
          <w:rFonts w:ascii="Times New Roman" w:cs="Times New Roman" w:eastAsia="Times New Roman" w:hAnsi="Times New Roman"/>
          <w:color w:val="000000"/>
          <w:rtl w:val="0"/>
        </w:rPr>
        <w:t xml:space="preserve"> is the primary end user who views the Manager Dashboard, inspects the Digital Twin graph, poses natural-language questions to the AI Assistant, and reviews and accepts/rejects recommendations in the Recommendation Center. This user is assumed to have domain knowledge of supply chain operations but no expectation of technical knowledge of knowledge graphs, LLMs, or the underlying agent architecture — the UI must present all AI-derived output in plain business language. The </w:t>
      </w:r>
      <w:r w:rsidDel="00000000" w:rsidR="00000000" w:rsidRPr="00000000">
        <w:rPr>
          <w:rFonts w:ascii="Times New Roman" w:cs="Times New Roman" w:eastAsia="Times New Roman" w:hAnsi="Times New Roman"/>
          <w:b w:val="1"/>
          <w:bCs w:val="1"/>
          <w:color w:val="000000"/>
          <w:rtl w:val="0"/>
        </w:rPr>
        <w:t xml:space="preserve">System Administrator</w:t>
      </w:r>
      <w:r w:rsidDel="00000000" w:rsidR="00000000" w:rsidRPr="00000000">
        <w:rPr>
          <w:rFonts w:ascii="Times New Roman" w:cs="Times New Roman" w:eastAsia="Times New Roman" w:hAnsi="Times New Roman"/>
          <w:color w:val="000000"/>
          <w:rtl w:val="0"/>
        </w:rPr>
        <w:t xml:space="preserve"> is a secondary user class responsible for managing supply chain data (triggering/reviewing ETL imports), configuring agent parameters (thresholds and score weights), and generating summary reports, through a distinct, access-controlled Admin area. This user is assumed to have technical familiarity with the system's data model and agent configuration.</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2.4 Operating Environment</w:t>
      </w:r>
      <w:r w:rsidDel="00000000" w:rsidR="00000000" w:rsidRPr="00000000">
        <w:rPr>
          <w:rtl w:val="0"/>
        </w:rPr>
      </w:r>
    </w:p>
    <w:p w:rsidR="00000000" w:rsidDel="00000000" w:rsidP="00000000" w:rsidRDefault="00000000" w:rsidRPr="00000000" w14:paraId="0000006A">
      <w:pPr>
        <w:spacing w:after="160" w:line="276" w:lineRule="auto"/>
        <w:jc w:val="both"/>
        <w:rPr/>
      </w:pPr>
      <w:r w:rsidDel="00000000" w:rsidR="00000000" w:rsidRPr="00000000">
        <w:rPr>
          <w:rFonts w:ascii="Times New Roman" w:cs="Times New Roman" w:eastAsia="Times New Roman" w:hAnsi="Times New Roman"/>
          <w:color w:val="000000"/>
          <w:rtl w:val="0"/>
        </w:rPr>
        <w:t xml:space="preserve">SupplyTwinAI is a web-based application, accessed through a modern browser (Chrome, Firefox, Edge, or Safari) on desktop or tablet, requiring no client-side installation and no specific client operating system. The frontend (React/Vite) runs entirely in the browser; the backend (Python/FastAPI) runs on cloud-hosted infrastructure (Render), with PostgreSQL hosted via Supabase and the knowledge graph hosted via Neo4j Aura, and the static frontend bundle deployed via Vercel. Runtime operation additionally depends on outbound internet connectivity from the backend to the Gemini API, Open-Meteo, and NewsAPI.</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2.5 Design and Implementation Constraints</w:t>
      </w:r>
      <w:r w:rsidDel="00000000" w:rsidR="00000000" w:rsidRPr="00000000">
        <w:rPr>
          <w:rtl w:val="0"/>
        </w:rPr>
      </w:r>
    </w:p>
    <w:p w:rsidR="00000000" w:rsidDel="00000000" w:rsidP="00000000" w:rsidRDefault="00000000" w:rsidRPr="00000000" w14:paraId="0000006C">
      <w:pPr>
        <w:spacing w:after="160" w:line="276" w:lineRule="auto"/>
        <w:jc w:val="both"/>
        <w:rPr/>
      </w:pPr>
      <w:r w:rsidDel="00000000" w:rsidR="00000000" w:rsidRPr="00000000">
        <w:rPr>
          <w:rFonts w:ascii="Times New Roman" w:cs="Times New Roman" w:eastAsia="Times New Roman" w:hAnsi="Times New Roman"/>
          <w:color w:val="000000"/>
          <w:rtl w:val="0"/>
        </w:rPr>
        <w:t xml:space="preserve">The system must preserve the four-layer separation and the addressability principle from [1]; entities must retain globally unique, queryable identifiers end-to-end from ingestion through the knowledge graph. Unlike [1]'s proposed blockchain-based convergence mechanism, SupplyTwinAI uses a centralized ETL and relational schema for data unification — an accepted deviation given the capstone timeline, not an oversight. All reasoning involving natural-language generation or interpretation depends on the Gemini API being reachable; the system has no offline/local-inference fallback. The system is built and validated against the static, historical DataCo dataset augmented by a synthetic live-event generator, not a live enterprise data feed. It is developed by a four-member student team within a single academic capstone cycle, which bounds the scope defined in Section 1.4. Finally, the technology stack is a fixed design constraint for this release: frontend on React/Vite/Tailwind CSS/Shadcn UI/React Flow/Chart.js/Leaflet; backend on Python/FastAPI/SQLAlchemy/WebSockets; databases fixed to PostgreSQL (Supabase-hosted) and Neo4j (Aura-hosted).</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2.6 User Documentation</w:t>
      </w:r>
      <w:r w:rsidDel="00000000" w:rsidR="00000000" w:rsidRPr="00000000">
        <w:rPr>
          <w:rtl w:val="0"/>
        </w:rPr>
      </w:r>
    </w:p>
    <w:p w:rsidR="00000000" w:rsidDel="00000000" w:rsidP="00000000" w:rsidRDefault="00000000" w:rsidRPr="00000000" w14:paraId="0000006E">
      <w:pPr>
        <w:spacing w:after="160" w:line="276" w:lineRule="auto"/>
        <w:jc w:val="both"/>
        <w:rPr/>
      </w:pPr>
      <w:r w:rsidDel="00000000" w:rsidR="00000000" w:rsidRPr="00000000">
        <w:rPr>
          <w:rFonts w:ascii="Times New Roman" w:cs="Times New Roman" w:eastAsia="Times New Roman" w:hAnsi="Times New Roman"/>
          <w:color w:val="000000"/>
          <w:rtl w:val="0"/>
        </w:rPr>
        <w:t xml:space="preserve">The system will ship with: a project README covering local setup, environment variables, and how to run the ETL pipeline and simulation module; auto-generated interactive API documentation for all backend endpoints via FastAPI's built-in OpenAPI/Swagger UI; and light in-app guidance (tooltips on the Manager Dashboard and Recommendation Center) sufficient to meet the first-use usability target in Section 5.4. No separate printed user manual is planned, consistent with the capstone scope in Section 1.4.</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2.7 Assumptions and Dependencies</w:t>
      </w:r>
      <w:r w:rsidDel="00000000" w:rsidR="00000000" w:rsidRPr="00000000">
        <w:rPr>
          <w:rtl w:val="0"/>
        </w:rPr>
      </w:r>
    </w:p>
    <w:p w:rsidR="00000000" w:rsidDel="00000000" w:rsidP="00000000" w:rsidRDefault="00000000" w:rsidRPr="00000000" w14:paraId="00000070">
      <w:pPr>
        <w:spacing w:after="160" w:line="276" w:lineRule="auto"/>
        <w:jc w:val="both"/>
        <w:rPr/>
      </w:pPr>
      <w:r w:rsidDel="00000000" w:rsidR="00000000" w:rsidRPr="00000000">
        <w:rPr>
          <w:rFonts w:ascii="Times New Roman" w:cs="Times New Roman" w:eastAsia="Times New Roman" w:hAnsi="Times New Roman"/>
          <w:color w:val="000000"/>
          <w:rtl w:val="0"/>
        </w:rPr>
        <w:t xml:space="preserve">It is assumed that the DataCo dataset is representative enough of real supplier/shipment/inventory relationships to produce meaningful knowledge graph structure and agent reasoning, even though it is historical rather than live. It is assumed that Open-Meteo and NewsAPI remain free-tier accessible and do not change their response schemas in ways that break ingestion during the project timeline. It is assumed that Gemini API quota/rate limits are sufficient for demo-scale concurrent usage (a handful of simultaneous users during evaluation), not production-scale traffic. The system depends on continuous internet connectivity for all three external services; no functional requirement assumes offline operation. It is assumed that cloud hosting tiers used (Vercel, Render, Supabase, Neo4j Aura) are free/student tiers adequate for demonstration purposes, not guaranteed production SLAs.</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abm4d1f5syvl" w:id="1"/>
      <w:bookmarkEnd w:id="1"/>
      <w:r w:rsidDel="00000000" w:rsidR="00000000" w:rsidRPr="00000000">
        <w:rPr>
          <w:rtl w:val="0"/>
        </w:rPr>
        <w:t xml:space="preserve">3. External Interface Requirements</w:t>
      </w:r>
    </w:p>
    <w:p w:rsidR="00000000" w:rsidDel="00000000" w:rsidP="00000000" w:rsidRDefault="00000000" w:rsidRPr="00000000" w14:paraId="00000073">
      <w:pPr>
        <w:pStyle w:val="Heading2"/>
        <w:rPr/>
      </w:pPr>
      <w:r w:rsidDel="00000000" w:rsidR="00000000" w:rsidRPr="00000000">
        <w:rPr>
          <w:rtl w:val="0"/>
        </w:rPr>
        <w:t xml:space="preserve">3.1 User Interfaces</w:t>
      </w:r>
      <w:r w:rsidDel="00000000" w:rsidR="00000000" w:rsidRPr="00000000">
        <w:rPr>
          <w:rtl w:val="0"/>
        </w:rPr>
      </w:r>
    </w:p>
    <w:p w:rsidR="00000000" w:rsidDel="00000000" w:rsidP="00000000" w:rsidRDefault="00000000" w:rsidRPr="00000000" w14:paraId="00000074">
      <w:pPr>
        <w:spacing w:after="160" w:line="276" w:lineRule="auto"/>
        <w:jc w:val="both"/>
        <w:rPr/>
      </w:pPr>
      <w:r w:rsidDel="00000000" w:rsidR="00000000" w:rsidRPr="00000000">
        <w:rPr>
          <w:rFonts w:ascii="Times New Roman" w:cs="Times New Roman" w:eastAsia="Times New Roman" w:hAnsi="Times New Roman"/>
          <w:color w:val="000000"/>
          <w:rtl w:val="0"/>
        </w:rPr>
        <w:t xml:space="preserve">A </w:t>
      </w:r>
      <w:r w:rsidDel="00000000" w:rsidR="00000000" w:rsidRPr="00000000">
        <w:rPr>
          <w:rFonts w:ascii="Times New Roman" w:cs="Times New Roman" w:eastAsia="Times New Roman" w:hAnsi="Times New Roman"/>
          <w:b w:val="1"/>
          <w:bCs w:val="1"/>
          <w:color w:val="000000"/>
          <w:rtl w:val="0"/>
        </w:rPr>
        <w:t xml:space="preserve">Login screen</w:t>
      </w:r>
      <w:r w:rsidDel="00000000" w:rsidR="00000000" w:rsidRPr="00000000">
        <w:rPr>
          <w:rFonts w:ascii="Times New Roman" w:cs="Times New Roman" w:eastAsia="Times New Roman" w:hAnsi="Times New Roman"/>
          <w:color w:val="000000"/>
          <w:rtl w:val="0"/>
        </w:rPr>
        <w:t xml:space="preserve"> shall accept an email and password and shall display a validation error for incorrect credentials without revealing whether the email or password was the incorrect field. The </w:t>
      </w:r>
      <w:r w:rsidDel="00000000" w:rsidR="00000000" w:rsidRPr="00000000">
        <w:rPr>
          <w:rFonts w:ascii="Times New Roman" w:cs="Times New Roman" w:eastAsia="Times New Roman" w:hAnsi="Times New Roman"/>
          <w:b w:val="1"/>
          <w:bCs w:val="1"/>
          <w:color w:val="000000"/>
          <w:rtl w:val="0"/>
        </w:rPr>
        <w:t xml:space="preserve">Manager Dashboard</w:t>
      </w:r>
      <w:r w:rsidDel="00000000" w:rsidR="00000000" w:rsidRPr="00000000">
        <w:rPr>
          <w:rFonts w:ascii="Times New Roman" w:cs="Times New Roman" w:eastAsia="Times New Roman" w:hAnsi="Times New Roman"/>
          <w:color w:val="000000"/>
          <w:rtl w:val="0"/>
        </w:rPr>
        <w:t xml:space="preserve"> shall present KPI cards (total active shipments, at-risk count, risk distribution, pending recommendations) at the top of the viewport and a summary risk chart (Chart.js) below, both visible without scrolling on a 1366×768 viewport. The </w:t>
      </w:r>
      <w:r w:rsidDel="00000000" w:rsidR="00000000" w:rsidRPr="00000000">
        <w:rPr>
          <w:rFonts w:ascii="Times New Roman" w:cs="Times New Roman" w:eastAsia="Times New Roman" w:hAnsi="Times New Roman"/>
          <w:b w:val="1"/>
          <w:bCs w:val="1"/>
          <w:color w:val="000000"/>
          <w:rtl w:val="0"/>
        </w:rPr>
        <w:t xml:space="preserve">Digital Twin graph view</w:t>
      </w:r>
      <w:r w:rsidDel="00000000" w:rsidR="00000000" w:rsidRPr="00000000">
        <w:rPr>
          <w:rFonts w:ascii="Times New Roman" w:cs="Times New Roman" w:eastAsia="Times New Roman" w:hAnsi="Times New Roman"/>
          <w:color w:val="000000"/>
          <w:rtl w:val="0"/>
        </w:rPr>
        <w:t xml:space="preserve"> shall render using React Flow with distinct node icons/colors per entity type (Supplier, Shipment, Warehouse) and distinct edge styles per relationship type; a location-aware variant shall use Leaflet to plot shipment routes on a map where geographic coordinates are available. The </w:t>
      </w:r>
      <w:r w:rsidDel="00000000" w:rsidR="00000000" w:rsidRPr="00000000">
        <w:rPr>
          <w:rFonts w:ascii="Times New Roman" w:cs="Times New Roman" w:eastAsia="Times New Roman" w:hAnsi="Times New Roman"/>
          <w:b w:val="1"/>
          <w:bCs w:val="1"/>
          <w:color w:val="000000"/>
          <w:rtl w:val="0"/>
        </w:rPr>
        <w:t xml:space="preserve">AI Assistant</w:t>
      </w:r>
      <w:r w:rsidDel="00000000" w:rsidR="00000000" w:rsidRPr="00000000">
        <w:rPr>
          <w:rFonts w:ascii="Times New Roman" w:cs="Times New Roman" w:eastAsia="Times New Roman" w:hAnsi="Times New Roman"/>
          <w:color w:val="000000"/>
          <w:rtl w:val="0"/>
        </w:rPr>
        <w:t xml:space="preserve"> shall be presented as a persistent chat panel accessible from any screen, showing the running conversation history for the current session. The </w:t>
      </w:r>
      <w:r w:rsidDel="00000000" w:rsidR="00000000" w:rsidRPr="00000000">
        <w:rPr>
          <w:rFonts w:ascii="Times New Roman" w:cs="Times New Roman" w:eastAsia="Times New Roman" w:hAnsi="Times New Roman"/>
          <w:b w:val="1"/>
          <w:bCs w:val="1"/>
          <w:color w:val="000000"/>
          <w:rtl w:val="0"/>
        </w:rPr>
        <w:t xml:space="preserve">Recommendation Center</w:t>
      </w:r>
      <w:r w:rsidDel="00000000" w:rsidR="00000000" w:rsidRPr="00000000">
        <w:rPr>
          <w:rFonts w:ascii="Times New Roman" w:cs="Times New Roman" w:eastAsia="Times New Roman" w:hAnsi="Times New Roman"/>
          <w:color w:val="000000"/>
          <w:rtl w:val="0"/>
        </w:rPr>
        <w:t xml:space="preserve"> shall present each recommendation as a card with visibly distinct Accept and Reject controls, visually distinguishing Pending, Accepted, and Rejected states. An </w:t>
      </w:r>
      <w:r w:rsidDel="00000000" w:rsidR="00000000" w:rsidRPr="00000000">
        <w:rPr>
          <w:rFonts w:ascii="Times New Roman" w:cs="Times New Roman" w:eastAsia="Times New Roman" w:hAnsi="Times New Roman"/>
          <w:b w:val="1"/>
          <w:bCs w:val="1"/>
          <w:color w:val="000000"/>
          <w:rtl w:val="0"/>
        </w:rPr>
        <w:t xml:space="preserve">Admin area</w:t>
      </w:r>
      <w:r w:rsidDel="00000000" w:rsidR="00000000" w:rsidRPr="00000000">
        <w:rPr>
          <w:rFonts w:ascii="Times New Roman" w:cs="Times New Roman" w:eastAsia="Times New Roman" w:hAnsi="Times New Roman"/>
          <w:color w:val="000000"/>
          <w:rtl w:val="0"/>
        </w:rPr>
        <w:t xml:space="preserve">, visible only to System Administrator accounts, shall provide screens for ETL run monitoring, agent configuration, and report generation, visually separated from Manager-facing screens; its agent configuration screen shall validate threshold and weight inputs (e.g., weights sum to 1.0, thresholds within 0–100) before allowing save. All screens shall use the Shadcn UI component library and Tailwind CSS for consistent styling and shall be usable at viewport widths from 768px (tablet) upward.</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3.2 Hardware Interfaces</w:t>
      </w:r>
      <w:r w:rsidDel="00000000" w:rsidR="00000000" w:rsidRPr="00000000">
        <w:rPr>
          <w:rtl w:val="0"/>
        </w:rPr>
      </w:r>
    </w:p>
    <w:p w:rsidR="00000000" w:rsidDel="00000000" w:rsidP="00000000" w:rsidRDefault="00000000" w:rsidRPr="00000000" w14:paraId="00000076">
      <w:pPr>
        <w:spacing w:after="160" w:line="276" w:lineRule="auto"/>
        <w:jc w:val="both"/>
        <w:rPr/>
      </w:pPr>
      <w:r w:rsidDel="00000000" w:rsidR="00000000" w:rsidRPr="00000000">
        <w:rPr>
          <w:rFonts w:ascii="Times New Roman" w:cs="Times New Roman" w:eastAsia="Times New Roman" w:hAnsi="Times New Roman"/>
          <w:color w:val="000000"/>
          <w:rtl w:val="0"/>
        </w:rPr>
        <w:t xml:space="preserve">SupplyTwinAI does not interface directly with any physical device, sensor, or actuator. The development and demonstration environment requires a machine with a quad-core CPU (Intel i5/AMD Ryzen 5 or higher), minimum 16 GB RAM, and SSD storage. No GPU is required, since all LLM inference is performed remotely via the Gemini API rather than local/on-device inference. A stable internet connection is required at both development time and runtime for access to Gemini, Open-Meteo, NewsAPI, and the cloud-hosted databases; the system defines no offline hardware mode.</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3.3 Software Interfaces</w:t>
      </w:r>
      <w:r w:rsidDel="00000000" w:rsidR="00000000" w:rsidRPr="00000000">
        <w:rPr>
          <w:rtl w:val="0"/>
        </w:rPr>
      </w:r>
    </w:p>
    <w:tbl>
      <w:tblPr>
        <w:tblStyle w:val="Table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color w:val="000000"/>
                <w:sz w:val="20"/>
                <w:szCs w:val="20"/>
                <w:rtl w:val="0"/>
              </w:rPr>
              <w:t xml:space="preserve">Interface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color w:val="000000"/>
                <w:sz w:val="20"/>
                <w:szCs w:val="20"/>
                <w:rtl w:val="0"/>
              </w:rPr>
              <w:t xml:space="preserve">Provider</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color w:val="000000"/>
                <w:sz w:val="20"/>
                <w:szCs w:val="20"/>
                <w:rtl w:val="0"/>
              </w:rPr>
              <w:t xml:space="preserve">Purpose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color w:val="000000"/>
                <w:sz w:val="20"/>
                <w:szCs w:val="20"/>
                <w:rtl w:val="0"/>
              </w:rPr>
              <w:t xml:space="preserve">Protocol/Format</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color w:val="000000"/>
                <w:sz w:val="20"/>
                <w:szCs w:val="20"/>
                <w:rtl w:val="0"/>
              </w:rPr>
              <w:t xml:space="preserve">Gemini API</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color w:val="000000"/>
                <w:sz w:val="20"/>
                <w:szCs w:val="20"/>
                <w:rtl w:val="0"/>
              </w:rPr>
              <w:t xml:space="preserve">Google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color w:val="000000"/>
                <w:sz w:val="20"/>
                <w:szCs w:val="20"/>
                <w:rtl w:val="0"/>
              </w:rPr>
              <w:t xml:space="preserve">LLM reasoning, NL generation, recommendation justification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color w:val="000000"/>
                <w:sz w:val="20"/>
                <w:szCs w:val="20"/>
                <w:rtl w:val="0"/>
              </w:rPr>
              <w:t xml:space="preserve">HTTPS / JSON (REST)</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color w:val="000000"/>
                <w:sz w:val="20"/>
                <w:szCs w:val="20"/>
                <w:rtl w:val="0"/>
              </w:rPr>
              <w:t xml:space="preserve">Open-Meteo API</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color w:val="000000"/>
                <w:sz w:val="20"/>
                <w:szCs w:val="20"/>
                <w:rtl w:val="0"/>
              </w:rPr>
              <w:t xml:space="preserve">Open-Meteo</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color w:val="000000"/>
                <w:sz w:val="20"/>
                <w:szCs w:val="20"/>
                <w:rtl w:val="0"/>
              </w:rPr>
              <w:t xml:space="preserve">Weather forecast data for the External Intelligence Agent</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color w:val="000000"/>
                <w:sz w:val="20"/>
                <w:szCs w:val="20"/>
                <w:rtl w:val="0"/>
              </w:rPr>
              <w:t xml:space="preserve">HTTPS / JSON (REST), no API key</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color w:val="000000"/>
                <w:sz w:val="20"/>
                <w:szCs w:val="20"/>
                <w:rtl w:val="0"/>
              </w:rPr>
              <w:t xml:space="preserve">NewsAPI</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color w:val="000000"/>
                <w:sz w:val="20"/>
                <w:szCs w:val="20"/>
                <w:rtl w:val="0"/>
              </w:rPr>
              <w:t xml:space="preserve">NewsAPI.org</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color w:val="000000"/>
                <w:sz w:val="20"/>
                <w:szCs w:val="20"/>
                <w:rtl w:val="0"/>
              </w:rPr>
              <w:t xml:space="preserve">News feed data for the External Intelligence Agent</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color w:val="000000"/>
                <w:sz w:val="20"/>
                <w:szCs w:val="20"/>
                <w:rtl w:val="0"/>
              </w:rPr>
              <w:t xml:space="preserve">HTTPS / JSON (REST), API-key authenticated</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color w:val="000000"/>
                <w:sz w:val="20"/>
                <w:szCs w:val="20"/>
                <w:rtl w:val="0"/>
              </w:rPr>
              <w:t xml:space="preserve">PostgreSQL (via Supabase)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color w:val="000000"/>
                <w:sz w:val="20"/>
                <w:szCs w:val="20"/>
                <w:rtl w:val="0"/>
              </w:rPr>
              <w:t xml:space="preserve">Supabase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color w:val="000000"/>
                <w:sz w:val="20"/>
                <w:szCs w:val="20"/>
                <w:rtl w:val="0"/>
              </w:rPr>
              <w:t xml:space="preserve">Relational storage for ingested/simulated records and user accounts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color w:val="000000"/>
                <w:sz w:val="20"/>
                <w:szCs w:val="20"/>
                <w:rtl w:val="0"/>
              </w:rPr>
              <w:t xml:space="preserve">SQL over TCP (SQLAlchemy ORM)</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color w:val="000000"/>
                <w:sz w:val="20"/>
                <w:szCs w:val="20"/>
                <w:rtl w:val="0"/>
              </w:rPr>
              <w:t xml:space="preserve">Neo4j (Aura)</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color w:val="000000"/>
                <w:sz w:val="20"/>
                <w:szCs w:val="20"/>
                <w:rtl w:val="0"/>
              </w:rPr>
              <w:t xml:space="preserve">Neo4j</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color w:val="000000"/>
                <w:sz w:val="20"/>
                <w:szCs w:val="20"/>
                <w:rtl w:val="0"/>
              </w:rPr>
              <w:t xml:space="preserve">Knowledge graph storage and Cypher query execution</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color w:val="000000"/>
                <w:sz w:val="20"/>
                <w:szCs w:val="20"/>
                <w:rtl w:val="0"/>
              </w:rPr>
              <w:t xml:space="preserve">Bolt protocol / Cypher</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color w:val="000000"/>
                <w:sz w:val="20"/>
                <w:szCs w:val="20"/>
                <w:rtl w:val="0"/>
              </w:rPr>
              <w:t xml:space="preserve">Auth (JWT)</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color w:val="000000"/>
                <w:sz w:val="20"/>
                <w:szCs w:val="20"/>
                <w:rtl w:val="0"/>
              </w:rPr>
              <w:t xml:space="preserve">FastAPI backend</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color w:val="000000"/>
                <w:sz w:val="20"/>
                <w:szCs w:val="20"/>
                <w:rtl w:val="0"/>
              </w:rPr>
              <w:t xml:space="preserve">Issues and validates bearer tokens for login</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color w:val="000000"/>
                <w:sz w:val="20"/>
                <w:szCs w:val="20"/>
                <w:rtl w:val="0"/>
              </w:rPr>
              <w:t xml:space="preserve">HTTPS, JWT in Authorization header</w:t>
            </w: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160" w:line="276" w:lineRule="auto"/>
        <w:jc w:val="both"/>
        <w:rPr/>
      </w:pPr>
      <w:r w:rsidDel="00000000" w:rsidR="00000000" w:rsidRPr="00000000">
        <w:rPr>
          <w:rFonts w:ascii="Times New Roman" w:cs="Times New Roman" w:eastAsia="Times New Roman" w:hAnsi="Times New Roman"/>
          <w:color w:val="000000"/>
          <w:rtl w:val="0"/>
        </w:rPr>
        <w:t xml:space="preserve">The FastAPI backend shall expose a versioned REST API (e.g., `/api/v1/...`) consumed exclusively by the React frontend. The backend shall use SQLAlchemy as the ORM layer for all PostgreSQL access; no raw SQL string concatenation shall be used for user-influenced queries. GraphRAG retrieval shall query Neo4j via parameterized Cypher queries executed through an official Neo4j Python driver. LangChain/LangGraph shall mediate all calls to the Gemini API; no component shall call the Gemini API directly outside this orchestration layer, so prompts, context, and outputs remain traceable.</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3.4 Communications Interfaces</w:t>
      </w: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Fonts w:ascii="Times New Roman" w:cs="Times New Roman" w:eastAsia="Times New Roman" w:hAnsi="Times New Roman"/>
          <w:color w:val="000000"/>
          <w:rtl w:val="0"/>
        </w:rPr>
        <w:t xml:space="preserve">The frontend shall maintain a WebSocket connection to the backend for real-time push of dashboard KPI updates and new/updated agent output. If the WebSocket connection drops, the frontend shall attempt automatic reconnection with exponential backoff and shall fall back to polling the REST API at a fixed interval until reconnected. All external API calls (Gemini, Open-Meteo, NewsAPI) shall set a request timeout (recommended 10 seconds) and shall trigger the graceful-degradation behavior of Section 5.2 on timeout or error response. All API requests and responses between frontend and backend shall use JSON as the payload format, with error responses following a consistent `{error: {code, message}}` structure.</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porjvf9lj7jw" w:id="2"/>
      <w:bookmarkEnd w:id="2"/>
      <w:r w:rsidDel="00000000" w:rsidR="00000000" w:rsidRPr="00000000">
        <w:rPr>
          <w:rtl w:val="0"/>
        </w:rPr>
        <w:t xml:space="preserve">4. System Features</w:t>
      </w:r>
    </w:p>
    <w:p w:rsidR="00000000" w:rsidDel="00000000" w:rsidP="00000000" w:rsidRDefault="00000000" w:rsidRPr="00000000" w14:paraId="0000009A">
      <w:pPr>
        <w:pStyle w:val="Heading2"/>
        <w:rPr/>
      </w:pPr>
      <w:r w:rsidDel="00000000" w:rsidR="00000000" w:rsidRPr="00000000">
        <w:rPr>
          <w:rtl w:val="0"/>
        </w:rPr>
        <w:t xml:space="preserve">4.1 Data Ingestion and ETL</w:t>
      </w:r>
      <w:r w:rsidDel="00000000" w:rsidR="00000000" w:rsidRPr="00000000">
        <w:rPr>
          <w:rtl w:val="0"/>
        </w:rPr>
      </w:r>
    </w:p>
    <w:p w:rsidR="00000000" w:rsidDel="00000000" w:rsidP="00000000" w:rsidRDefault="00000000" w:rsidRPr="00000000" w14:paraId="0000009B">
      <w:pPr>
        <w:pStyle w:val="Heading3"/>
        <w:rPr/>
      </w:pPr>
      <w:r w:rsidDel="00000000" w:rsidR="00000000" w:rsidRPr="00000000">
        <w:rPr>
          <w:rtl w:val="0"/>
        </w:rPr>
        <w:t xml:space="preserve">4.1.1 Description and Priority</w:t>
      </w:r>
    </w:p>
    <w:p w:rsidR="00000000" w:rsidDel="00000000" w:rsidP="00000000" w:rsidRDefault="00000000" w:rsidRPr="00000000" w14:paraId="0000009C">
      <w:pPr>
        <w:spacing w:after="160" w:line="276" w:lineRule="auto"/>
        <w:jc w:val="both"/>
        <w:rPr/>
      </w:pPr>
      <w:r w:rsidDel="00000000" w:rsidR="00000000" w:rsidRPr="00000000">
        <w:rPr>
          <w:rFonts w:ascii="Times New Roman" w:cs="Times New Roman" w:eastAsia="Times New Roman" w:hAnsi="Times New Roman"/>
          <w:color w:val="000000"/>
          <w:rtl w:val="0"/>
        </w:rPr>
        <w:t xml:space="preserve">Ingests the DataCo dataset and a synthetic live-event stream into a normalized, addressable PostgreSQL schema that every other feature depends on. Priority: </w:t>
      </w:r>
      <w:r w:rsidDel="00000000" w:rsidR="00000000" w:rsidRPr="00000000">
        <w:rPr>
          <w:rFonts w:ascii="Times New Roman" w:cs="Times New Roman" w:eastAsia="Times New Roman" w:hAnsi="Times New Roman"/>
          <w:b w:val="1"/>
          <w:bCs w:val="1"/>
          <w:color w:val="000000"/>
          <w:rtl w:val="0"/>
        </w:rPr>
        <w:t xml:space="preserve">High</w:t>
      </w:r>
      <w:r w:rsidDel="00000000" w:rsidR="00000000" w:rsidRPr="00000000">
        <w:rPr>
          <w:rFonts w:ascii="Times New Roman" w:cs="Times New Roman" w:eastAsia="Times New Roman" w:hAnsi="Times New Roman"/>
          <w:color w:val="000000"/>
          <w:rtl w:val="0"/>
        </w:rPr>
        <w:t xml:space="preserve"> — foundational; no other feature can function without it.</w:t>
      </w: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4.1.2 Stimulus/Response Sequences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Action: Triggers an ETL import run from the Admin screen.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Cleans and validates source records, rejecting or flagging rows with null primary identifiers, malformed dates, or negative quantities/prices, then loads valid records into PostgreSQL and returns a summary of loaded/rejected/flagged rows.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Action: The live simulation module reaches its next scheduled interval.</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Generates a synthetic event (new order, shipment status change, or inventory depletion) and writes it to the same PostgreSQL schema used for historical data.</w:t>
      </w:r>
    </w:p>
    <w:p w:rsidR="00000000" w:rsidDel="00000000" w:rsidP="00000000" w:rsidRDefault="00000000" w:rsidRPr="00000000" w14:paraId="000000A2">
      <w:pPr>
        <w:pStyle w:val="Heading3"/>
        <w:rPr/>
      </w:pPr>
      <w:r w:rsidDel="00000000" w:rsidR="00000000" w:rsidRPr="00000000">
        <w:rPr>
          <w:rtl w:val="0"/>
        </w:rPr>
        <w:t xml:space="preserve">4.1.3 Functional Requirements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ingest the DataCo dataset (orders, shipments, suppliers, inventory records) and load it into a normalized PostgreSQL schema of at least nine tables.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ETL pipeline shall clean ingested records by rejecting or flagging rows with null primary identifiers, malformed dates, or negative quantities/prices.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ETL pipeline shall assign a unique, globally queryable identifier to every ingested entity (supplier, shipment, order line, inventory item), satisfying the addressability requirement defined in [1].</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provide a live simulation module that generates synthetic ongoing events at a configurable interval to emulate a live operating supply chain.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write simulated events to the same PostgreSQL schema used for historical data, so downstream components treat both sources uniformly.</w:t>
      </w:r>
    </w:p>
    <w:p w:rsidR="00000000" w:rsidDel="00000000" w:rsidP="00000000" w:rsidRDefault="00000000" w:rsidRPr="00000000" w14:paraId="000000A8">
      <w:pPr>
        <w:pStyle w:val="Heading2"/>
        <w:rPr/>
      </w:pPr>
      <w:r w:rsidDel="00000000" w:rsidR="00000000" w:rsidRPr="00000000">
        <w:rPr>
          <w:rtl w:val="0"/>
        </w:rPr>
        <w:t xml:space="preserve">4.2 Knowledge Graph Construction and Querying</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4.2.1 Description and Priority</w:t>
      </w:r>
    </w:p>
    <w:p w:rsidR="00000000" w:rsidDel="00000000" w:rsidP="00000000" w:rsidRDefault="00000000" w:rsidRPr="00000000" w14:paraId="000000AA">
      <w:pPr>
        <w:spacing w:after="160" w:line="276" w:lineRule="auto"/>
        <w:jc w:val="both"/>
        <w:rPr/>
      </w:pPr>
      <w:r w:rsidDel="00000000" w:rsidR="00000000" w:rsidRPr="00000000">
        <w:rPr>
          <w:rFonts w:ascii="Times New Roman" w:cs="Times New Roman" w:eastAsia="Times New Roman" w:hAnsi="Times New Roman"/>
          <w:color w:val="000000"/>
          <w:rtl w:val="0"/>
        </w:rPr>
        <w:t xml:space="preserve">Builds and maintains a Neo4j knowledge graph mirroring the PostgreSQL schema, satisfying the addressability requirement and enabling multi-hop reasoning queries. Priority: </w:t>
      </w:r>
      <w:r w:rsidDel="00000000" w:rsidR="00000000" w:rsidRPr="00000000">
        <w:rPr>
          <w:rFonts w:ascii="Times New Roman" w:cs="Times New Roman" w:eastAsia="Times New Roman" w:hAnsi="Times New Roman"/>
          <w:b w:val="1"/>
          <w:bCs w:val="1"/>
          <w:color w:val="000000"/>
          <w:rtl w:val="0"/>
        </w:rPr>
        <w:t xml:space="preserve">High</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rtl w:val="0"/>
        </w:rPr>
        <w:t xml:space="preserve">4.2.2 Stimulus/Response Sequences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Action: A new or updated PostgreSQL record is committed (from ETL or simulation).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The knowledge graph is synchronized to reflect the change within the refresh interval defined in Section 5.1.</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 Action: A component (agent, GraphRAG, or AI Assistant) issues a multi-hop graph query (e.g., "which shipments are affected if Supplier X fails?").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Returns the connected nodes and edges spanning up to three relationship hops.</w:t>
      </w:r>
    </w:p>
    <w:p w:rsidR="00000000" w:rsidDel="00000000" w:rsidP="00000000" w:rsidRDefault="00000000" w:rsidRPr="00000000" w14:paraId="000000B0">
      <w:pPr>
        <w:pStyle w:val="Heading3"/>
        <w:rPr/>
      </w:pPr>
      <w:r w:rsidDel="00000000" w:rsidR="00000000" w:rsidRPr="00000000">
        <w:rPr>
          <w:rtl w:val="0"/>
        </w:rPr>
        <w:t xml:space="preserve">4.2.3 Functional Requirements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construct a Neo4j knowledge graph from the PostgreSQL schema, representing at minimum Supplier, Shipment, Product, Warehouse/Inventory, and DisruptionEvent as node types.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knowledge graph shall implement at least five relationship types (e.g., SUPPLIES, SHIPS_VIA, STOCKED_AT, DELAYED_BY, AFFECTS) connecting the node types in REQ-1.</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keep the knowledge graph synchronized with PostgreSQL such that new or updated records are reflected in the graph within the interval defined in Section 5.1.</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support multi-hop graph queries traversing at least three relationship hops.</w:t>
      </w:r>
    </w:p>
    <w:p w:rsidR="00000000" w:rsidDel="00000000" w:rsidP="00000000" w:rsidRDefault="00000000" w:rsidRPr="00000000" w14:paraId="000000B5">
      <w:pPr>
        <w:pStyle w:val="Heading2"/>
        <w:rPr/>
      </w:pPr>
      <w:r w:rsidDel="00000000" w:rsidR="00000000" w:rsidRPr="00000000">
        <w:rPr>
          <w:rtl w:val="0"/>
        </w:rPr>
        <w:t xml:space="preserve">4.3 GraphRAG-Grounded Retrieval</w:t>
      </w:r>
      <w:r w:rsidDel="00000000" w:rsidR="00000000" w:rsidRPr="00000000">
        <w:rPr>
          <w:rtl w:val="0"/>
        </w:rPr>
      </w:r>
    </w:p>
    <w:p w:rsidR="00000000" w:rsidDel="00000000" w:rsidP="00000000" w:rsidRDefault="00000000" w:rsidRPr="00000000" w14:paraId="000000B6">
      <w:pPr>
        <w:pStyle w:val="Heading3"/>
        <w:rPr/>
      </w:pPr>
      <w:r w:rsidDel="00000000" w:rsidR="00000000" w:rsidRPr="00000000">
        <w:rPr>
          <w:rtl w:val="0"/>
        </w:rPr>
        <w:t xml:space="preserve">4.3.1 Description and Priority</w:t>
      </w:r>
    </w:p>
    <w:p w:rsidR="00000000" w:rsidDel="00000000" w:rsidP="00000000" w:rsidRDefault="00000000" w:rsidRPr="00000000" w14:paraId="000000B7">
      <w:pPr>
        <w:spacing w:after="160" w:line="276" w:lineRule="auto"/>
        <w:jc w:val="both"/>
        <w:rPr/>
      </w:pPr>
      <w:r w:rsidDel="00000000" w:rsidR="00000000" w:rsidRPr="00000000">
        <w:rPr>
          <w:rFonts w:ascii="Times New Roman" w:cs="Times New Roman" w:eastAsia="Times New Roman" w:hAnsi="Times New Roman"/>
          <w:color w:val="000000"/>
          <w:rtl w:val="0"/>
        </w:rPr>
        <w:t xml:space="preserve">Grounds every LLM call in retrieved knowledge-graph context rather than an ungrounded prompt, reducing hallucination and making agent/assistant output traceable. Priority: </w:t>
      </w:r>
      <w:r w:rsidDel="00000000" w:rsidR="00000000" w:rsidRPr="00000000">
        <w:rPr>
          <w:rFonts w:ascii="Times New Roman" w:cs="Times New Roman" w:eastAsia="Times New Roman" w:hAnsi="Times New Roman"/>
          <w:b w:val="1"/>
          <w:bCs w:val="1"/>
          <w:color w:val="000000"/>
          <w:rtl w:val="0"/>
        </w:rPr>
        <w:t xml:space="preserve">High</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4.3.2 Stimulus/Response Sequences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Component Action: Any component is about to issue an LLM call for reasoning or natural-language generation.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GraphRAG retrieves and ranks the top-N most relevant graph nodes/edges and attaches them as context before the LLM call executes.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The retrieved context used to produce a given answer or recommendation is stored alongside that answer/recommendation for traceability.</w:t>
      </w:r>
    </w:p>
    <w:p w:rsidR="00000000" w:rsidDel="00000000" w:rsidP="00000000" w:rsidRDefault="00000000" w:rsidRPr="00000000" w14:paraId="000000BC">
      <w:pPr>
        <w:pStyle w:val="Heading3"/>
        <w:rPr/>
      </w:pPr>
      <w:r w:rsidDel="00000000" w:rsidR="00000000" w:rsidRPr="00000000">
        <w:rPr>
          <w:rtl w:val="0"/>
        </w:rPr>
        <w:t xml:space="preserve">4.3.3 Functional Requirements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Before any LLM call that answers a user question or informs an agent decision, the system shall retrieve relevant subgraph context from the knowledge graph via GraphRAG rather than passing an ungrounded prompt.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rank and limit retrieved graph context to the top-N most relevant nodes/edges (N configurable) to keep LLM prompt size within the model's context window.</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attach the retrieved graph context used for a given answer to that answer's stored record, so a recommendation or NL answer can be traced back to the graph facts that produced it.</w:t>
      </w:r>
    </w:p>
    <w:p w:rsidR="00000000" w:rsidDel="00000000" w:rsidP="00000000" w:rsidRDefault="00000000" w:rsidRPr="00000000" w14:paraId="000000C0">
      <w:pPr>
        <w:pStyle w:val="Heading2"/>
        <w:rPr/>
      </w:pPr>
      <w:r w:rsidDel="00000000" w:rsidR="00000000" w:rsidRPr="00000000">
        <w:rPr>
          <w:rtl w:val="0"/>
        </w:rPr>
        <w:t xml:space="preserve">4.4 Multi-Agent Disruption Monitoring and Risk Scoring</w:t>
      </w: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tl w:val="0"/>
        </w:rPr>
        <w:t xml:space="preserve">4.4.1 Description and Priority</w:t>
      </w:r>
    </w:p>
    <w:p w:rsidR="00000000" w:rsidDel="00000000" w:rsidP="00000000" w:rsidRDefault="00000000" w:rsidRPr="00000000" w14:paraId="000000C2">
      <w:pPr>
        <w:spacing w:after="160" w:line="276" w:lineRule="auto"/>
        <w:jc w:val="both"/>
        <w:rPr/>
      </w:pPr>
      <w:r w:rsidDel="00000000" w:rsidR="00000000" w:rsidRPr="00000000">
        <w:rPr>
          <w:rFonts w:ascii="Times New Roman" w:cs="Times New Roman" w:eastAsia="Times New Roman" w:hAnsi="Times New Roman"/>
          <w:color w:val="000000"/>
          <w:rtl w:val="0"/>
        </w:rPr>
        <w:t xml:space="preserve">Six LangGraph-orchestrated agents (Supplier, Shipment, Inventory, External Intelligence, Risk, Recommendation) independently monitor their domain and combine into a composite risk score and mitigation recommendation. Priority: </w:t>
      </w:r>
      <w:r w:rsidDel="00000000" w:rsidR="00000000" w:rsidRPr="00000000">
        <w:rPr>
          <w:rFonts w:ascii="Times New Roman" w:cs="Times New Roman" w:eastAsia="Times New Roman" w:hAnsi="Times New Roman"/>
          <w:b w:val="1"/>
          <w:bCs w:val="1"/>
          <w:color w:val="000000"/>
          <w:rtl w:val="0"/>
        </w:rPr>
        <w:t xml:space="preserve">High</w:t>
      </w:r>
      <w:r w:rsidDel="00000000" w:rsidR="00000000" w:rsidRPr="00000000">
        <w:rPr>
          <w:rFonts w:ascii="Times New Roman" w:cs="Times New Roman" w:eastAsia="Times New Roman" w:hAnsi="Times New Roman"/>
          <w:color w:val="000000"/>
          <w:rtl w:val="0"/>
        </w:rPr>
        <w:t xml:space="preserve"> — this is the project's core research contribution.</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4.4.2 Stimulus/Response Sequences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Action: A new or updated shipment, supplier, or inventory record, or a new external signal, becomes available.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The Supplier, Shipment, Inventory, and External Intelligence agents independently evaluate the entity and produce structured signals (reliability score, delay flag, reorder alert, and classified weather/news items respectively).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Action: All four upstream agents have produced output for the same entity.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The Risk Agent computes a weighted composite risk score and persists it with a timestamp.</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Action: The composite risk score exceeds the configured alert threshold.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The Recommendation Agent generates at least one mitigation recommendation with a confidence score and GraphRAG-grounded justification.</w:t>
      </w:r>
    </w:p>
    <w:p w:rsidR="00000000" w:rsidDel="00000000" w:rsidP="00000000" w:rsidRDefault="00000000" w:rsidRPr="00000000" w14:paraId="000000CA">
      <w:pPr>
        <w:pStyle w:val="Heading3"/>
        <w:rPr/>
      </w:pPr>
      <w:r w:rsidDel="00000000" w:rsidR="00000000" w:rsidRPr="00000000">
        <w:rPr>
          <w:rtl w:val="0"/>
        </w:rPr>
        <w:t xml:space="preserve">4.4.3 Functional Requirements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implement six distinct LangGraph agent nodes — Supplier, Shipment, Inventory, External Intelligence, Risk, and Recommendation — each with a bounded responsibility.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Supplier Agent shall evaluate supplier reliability using historical on-time delivery rate and defect/return rate, and shall propose alternative suppliers when a monitored supplier's reliability score falls below a configurable threshold.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Shipment Agent shall track shipment status, current location, and ETA, and shall flag a shipment as at-risk when its predicted delay exceeds a configurable threshold (default 24 hours).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Inventory Agent shall monitor stock levels against a reorder point per item and shall raise a reorder alert when projected stock will fall below that reorder point before the next expected restock.</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External Intelligence Agent shall poll Open-Meteo and NewsAPI on a configurable schedule and shall classify retrieved items as relevant/irrelevant to a monitored shipment route or supplier location using keyword and geolocation matching.</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Risk Agent shall compute a composite risk score (0–100, or mapped to Low/Medium/High) for each monitored shipment or supplier as a weighted combination of supplier reliability (REQ-2), shipment delay probability (REQ-3), inventory buffer adequacy (REQ-4), and external intelligence severity (REQ-5).</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weights used in the Risk Agent's composite score (REQ-6) shall be defined in a configuration file editable from the Admin area (Section 4.9), not hardcoded.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Recommendation Agent shall, for every risk score above a configurable alert threshold, generate at least one mitigation recommendation with an associated confidence score (0–100%) and a natural-language justification grounded in the GraphRAG context (Section 4.3).</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LangGraph shall orchestrate the six agents such that Supplier, Shipment, Inventory, and External Intelligence agents execute independently (in parallel where no data dependency exists), the Risk Agent executes only after all four have produced output for the same entity, and the Recommendation Agent executes only after the Risk Agent.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Every agent output (score, flag, or recommendation) shall be persisted with a timestamp and the identifier of the entity it concerns, so the system can reconstruct the reasoning trail for any past decision.</w:t>
      </w:r>
    </w:p>
    <w:p w:rsidR="00000000" w:rsidDel="00000000" w:rsidP="00000000" w:rsidRDefault="00000000" w:rsidRPr="00000000" w14:paraId="000000D5">
      <w:pPr>
        <w:pStyle w:val="Heading2"/>
        <w:rPr/>
      </w:pPr>
      <w:r w:rsidDel="00000000" w:rsidR="00000000" w:rsidRPr="00000000">
        <w:rPr>
          <w:rtl w:val="0"/>
        </w:rPr>
        <w:t xml:space="preserve">4.5 Persistent Disruption Memory</w:t>
      </w: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4.5.1 Description and Priority</w:t>
      </w:r>
    </w:p>
    <w:p w:rsidR="00000000" w:rsidDel="00000000" w:rsidP="00000000" w:rsidRDefault="00000000" w:rsidRPr="00000000" w14:paraId="000000D7">
      <w:pPr>
        <w:spacing w:after="160" w:line="276" w:lineRule="auto"/>
        <w:jc w:val="both"/>
        <w:rPr/>
      </w:pPr>
      <w:r w:rsidDel="00000000" w:rsidR="00000000" w:rsidRPr="00000000">
        <w:rPr>
          <w:rFonts w:ascii="Times New Roman" w:cs="Times New Roman" w:eastAsia="Times New Roman" w:hAnsi="Times New Roman"/>
          <w:color w:val="000000"/>
          <w:rtl w:val="0"/>
        </w:rPr>
        <w:t xml:space="preserve">Retains past disruption events, their signals, and their outcomes, so future recommendations are grounded in what has happened before rather than reasoning from a blank state. Priority: </w:t>
      </w:r>
      <w:r w:rsidDel="00000000" w:rsidR="00000000" w:rsidRPr="00000000">
        <w:rPr>
          <w:rFonts w:ascii="Times New Roman" w:cs="Times New Roman" w:eastAsia="Times New Roman" w:hAnsi="Times New Roman"/>
          <w:b w:val="1"/>
          <w:bCs w:val="1"/>
          <w:color w:val="000000"/>
          <w:rtl w:val="0"/>
        </w:rPr>
        <w:t xml:space="preserve">Medium</w:t>
      </w:r>
      <w:r w:rsidDel="00000000" w:rsidR="00000000" w:rsidRPr="00000000">
        <w:rPr>
          <w:rFonts w:ascii="Times New Roman" w:cs="Times New Roman" w:eastAsia="Times New Roman" w:hAnsi="Times New Roman"/>
          <w:color w:val="000000"/>
          <w:rtl w:val="0"/>
        </w:rPr>
        <w:t xml:space="preserve"> — enhances recommendation quality but is not required for the core monitor-analyze-recommend loop to function.</w:t>
      </w: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4.5.2 Stimulus/Response Sequences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Action: A recommendation cycle for a disruption event completes (Section 4.4) and the manager records an Accept/Reject decision (Section 4.8).</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The triggering signals, computed risk score, generated recommendation(s), and the manager's decision are persisted in a queryable store.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Action: The Recommendation Agent begins generating a new recommendation for an entity.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Persistent memory is queried for prior disruptions involving the same or similar entities, and their past outcomes are included as additional grounding context.</w:t>
      </w:r>
    </w:p>
    <w:p w:rsidR="00000000" w:rsidDel="00000000" w:rsidP="00000000" w:rsidRDefault="00000000" w:rsidRPr="00000000" w14:paraId="000000DD">
      <w:pPr>
        <w:pStyle w:val="Heading3"/>
        <w:rPr/>
      </w:pPr>
      <w:r w:rsidDel="00000000" w:rsidR="00000000" w:rsidRPr="00000000">
        <w:rPr>
          <w:rtl w:val="0"/>
        </w:rPr>
        <w:t xml:space="preserve">4.5.3 Functional Requirements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persist every completed disruption event — its triggering signals, computed risk score, generated recommendation(s), and the manager's accept/reject decision — in a queryable store.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When the Recommendation Agent generates a new recommendation, it shall query persistent memory for prior disruptions involving the same or similar entities and shall include their past outcomes as additional grounding context.</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allow the AI Assistant (Section 4.6) to answer questions that reference historical disruptions using persistent memory.</w:t>
      </w:r>
    </w:p>
    <w:p w:rsidR="00000000" w:rsidDel="00000000" w:rsidP="00000000" w:rsidRDefault="00000000" w:rsidRPr="00000000" w14:paraId="000000E1">
      <w:pPr>
        <w:pStyle w:val="Heading2"/>
        <w:rPr/>
      </w:pPr>
      <w:r w:rsidDel="00000000" w:rsidR="00000000" w:rsidRPr="00000000">
        <w:rPr>
          <w:rtl w:val="0"/>
        </w:rPr>
        <w:t xml:space="preserve">4.6 AI Assistant (Natural-Language Query)</w:t>
      </w: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4.6.1 Description and Priority</w:t>
      </w:r>
    </w:p>
    <w:p w:rsidR="00000000" w:rsidDel="00000000" w:rsidP="00000000" w:rsidRDefault="00000000" w:rsidRPr="00000000" w14:paraId="000000E3">
      <w:pPr>
        <w:spacing w:after="160" w:line="276" w:lineRule="auto"/>
        <w:jc w:val="both"/>
        <w:rPr/>
      </w:pPr>
      <w:r w:rsidDel="00000000" w:rsidR="00000000" w:rsidRPr="00000000">
        <w:rPr>
          <w:rFonts w:ascii="Times New Roman" w:cs="Times New Roman" w:eastAsia="Times New Roman" w:hAnsi="Times New Roman"/>
          <w:color w:val="000000"/>
          <w:rtl w:val="0"/>
        </w:rPr>
        <w:t xml:space="preserve">A chat-style, GraphRAG-grounded natural-language interface letting a manager ask free-text questions about suppliers, shipments, inventory, or risk status. Priority: </w:t>
      </w:r>
      <w:r w:rsidDel="00000000" w:rsidR="00000000" w:rsidRPr="00000000">
        <w:rPr>
          <w:rFonts w:ascii="Times New Roman" w:cs="Times New Roman" w:eastAsia="Times New Roman" w:hAnsi="Times New Roman"/>
          <w:b w:val="1"/>
          <w:bCs w:val="1"/>
          <w:color w:val="000000"/>
          <w:rtl w:val="0"/>
        </w:rPr>
        <w:t xml:space="preserve">High</w:t>
      </w:r>
      <w:r w:rsidDel="00000000" w:rsidR="00000000" w:rsidRPr="00000000">
        <w:rPr>
          <w:rFonts w:ascii="Times New Roman" w:cs="Times New Roman" w:eastAsia="Times New Roman" w:hAnsi="Times New Roman"/>
          <w:color w:val="000000"/>
          <w:rtl w:val="0"/>
        </w:rPr>
        <w:t xml:space="preserve"> — the primary way a non-technical manager accesses the system's reasoning.</w:t>
      </w: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rtl w:val="0"/>
        </w:rPr>
        <w:t xml:space="preserve">4.6.2 Stimulus/Response Sequences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Action: Manager types a free-text question (e.g., "why is this shipment late?") into the AI Assistant panel.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Retrieves GraphRAG context and, where relevant, persistent memory, and returns a grounded natural-language answer within the time bound in Section 5.1.</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Action: Manager asks a question referencing an entity not present in the system.</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States explicitly that the question cannot be answered from available context, rather than generating an unsupported answer.</w:t>
      </w:r>
    </w:p>
    <w:p w:rsidR="00000000" w:rsidDel="00000000" w:rsidP="00000000" w:rsidRDefault="00000000" w:rsidRPr="00000000" w14:paraId="000000E9">
      <w:pPr>
        <w:pStyle w:val="Heading3"/>
        <w:rPr/>
      </w:pPr>
      <w:r w:rsidDel="00000000" w:rsidR="00000000" w:rsidRPr="00000000">
        <w:rPr>
          <w:rtl w:val="0"/>
        </w:rPr>
        <w:t xml:space="preserve">4.6.3 Functional Requirements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provide a chat-style interface where the Supply Chain Manager can submit free-text questions about suppliers, shipments, inventory, or risk status.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AI Assistant shall answer using GraphRAG-retrieved graph context and, where relevant, persistent memory, and shall not answer purely from the LLM's unconditioned general knowledge.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a submitted question cannot be answered from available graph/memory context, the AI Assistant shall state that explicitly rather than generating an unsupported answer.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AI Assistant shall respond to a submitted question within the time bound defined in Section 5.1.</w:t>
      </w:r>
    </w:p>
    <w:p w:rsidR="00000000" w:rsidDel="00000000" w:rsidP="00000000" w:rsidRDefault="00000000" w:rsidRPr="00000000" w14:paraId="000000EE">
      <w:pPr>
        <w:pStyle w:val="Heading2"/>
        <w:rPr/>
      </w:pPr>
      <w:r w:rsidDel="00000000" w:rsidR="00000000" w:rsidRPr="00000000">
        <w:rPr>
          <w:rtl w:val="0"/>
        </w:rPr>
        <w:t xml:space="preserve">4.7 Manager Dashboard and Digital Twin Visualization</w:t>
      </w:r>
      <w:r w:rsidDel="00000000" w:rsidR="00000000" w:rsidRPr="00000000">
        <w:rPr>
          <w:rtl w:val="0"/>
        </w:rPr>
      </w:r>
    </w:p>
    <w:p w:rsidR="00000000" w:rsidDel="00000000" w:rsidP="00000000" w:rsidRDefault="00000000" w:rsidRPr="00000000" w14:paraId="000000EF">
      <w:pPr>
        <w:pStyle w:val="Heading3"/>
        <w:rPr/>
      </w:pPr>
      <w:r w:rsidDel="00000000" w:rsidR="00000000" w:rsidRPr="00000000">
        <w:rPr>
          <w:rtl w:val="0"/>
        </w:rPr>
        <w:t xml:space="preserve">4.7.1 Description and Priority</w:t>
      </w:r>
    </w:p>
    <w:p w:rsidR="00000000" w:rsidDel="00000000" w:rsidP="00000000" w:rsidRDefault="00000000" w:rsidRPr="00000000" w14:paraId="000000F0">
      <w:pPr>
        <w:spacing w:after="160" w:line="276" w:lineRule="auto"/>
        <w:jc w:val="both"/>
        <w:rPr/>
      </w:pPr>
      <w:r w:rsidDel="00000000" w:rsidR="00000000" w:rsidRPr="00000000">
        <w:rPr>
          <w:rFonts w:ascii="Times New Roman" w:cs="Times New Roman" w:eastAsia="Times New Roman" w:hAnsi="Times New Roman"/>
          <w:color w:val="000000"/>
          <w:rtl w:val="0"/>
        </w:rPr>
        <w:t xml:space="preserve">A KPI-oriented dashboard and an interactive graph view giving the manager an at-a-glance and explorable view of the supply chain's current state. Priority: </w:t>
      </w:r>
      <w:r w:rsidDel="00000000" w:rsidR="00000000" w:rsidRPr="00000000">
        <w:rPr>
          <w:rFonts w:ascii="Times New Roman" w:cs="Times New Roman" w:eastAsia="Times New Roman" w:hAnsi="Times New Roman"/>
          <w:b w:val="1"/>
          <w:bCs w:val="1"/>
          <w:color w:val="000000"/>
          <w:rtl w:val="0"/>
        </w:rPr>
        <w:t xml:space="preserve">High</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4.7.2 Stimulus/Response Sequences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Action: Manager opens the Manager Dashboard.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Displays current KPIs (active shipments, at-risk count, risk distribution, pending recommendations) without requiring a page reload for subsequent updates.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Action: Manager selects a node in the Digital Twin graph view.</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Displays that node's current agent-derived status (e.g., a shipment's delay flag and ETA).</w:t>
      </w:r>
    </w:p>
    <w:p w:rsidR="00000000" w:rsidDel="00000000" w:rsidP="00000000" w:rsidRDefault="00000000" w:rsidRPr="00000000" w14:paraId="000000F6">
      <w:pPr>
        <w:pStyle w:val="Heading3"/>
        <w:rPr/>
      </w:pPr>
      <w:r w:rsidDel="00000000" w:rsidR="00000000" w:rsidRPr="00000000">
        <w:rPr>
          <w:rtl w:val="0"/>
        </w:rPr>
        <w:t xml:space="preserve">4.7.3 Functional Requirements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Manager Dashboard shall display, at minimum, total active shipments, count of at-risk shipments, current composite risk distribution, and count of pending recommendations.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provide an interactive Digital Twin graph view (React Flow) rendering suppliers, shipments, and inventory nodes from the knowledge graph, allowing the user to select a node and view its current agent-derived status.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Dashboard KPIs and the Digital Twin view shall refresh automatically as new agent output is produced, without requiring a full page reload (Section 3.4).</w:t>
      </w:r>
    </w:p>
    <w:p w:rsidR="00000000" w:rsidDel="00000000" w:rsidP="00000000" w:rsidRDefault="00000000" w:rsidRPr="00000000" w14:paraId="000000FA">
      <w:pPr>
        <w:pStyle w:val="Heading2"/>
        <w:rPr/>
      </w:pPr>
      <w:r w:rsidDel="00000000" w:rsidR="00000000" w:rsidRPr="00000000">
        <w:rPr>
          <w:rtl w:val="0"/>
        </w:rPr>
        <w:t xml:space="preserve">4.8 Recommendation Center and Approval Workflow</w:t>
      </w:r>
      <w:r w:rsidDel="00000000" w:rsidR="00000000" w:rsidRPr="00000000">
        <w:rPr>
          <w:rtl w:val="0"/>
        </w:rPr>
      </w:r>
    </w:p>
    <w:p w:rsidR="00000000" w:rsidDel="00000000" w:rsidP="00000000" w:rsidRDefault="00000000" w:rsidRPr="00000000" w14:paraId="000000FB">
      <w:pPr>
        <w:pStyle w:val="Heading3"/>
        <w:rPr/>
      </w:pPr>
      <w:r w:rsidDel="00000000" w:rsidR="00000000" w:rsidRPr="00000000">
        <w:rPr>
          <w:rtl w:val="0"/>
        </w:rPr>
        <w:t xml:space="preserve">4.8.1 Description and Priority</w:t>
      </w:r>
    </w:p>
    <w:p w:rsidR="00000000" w:rsidDel="00000000" w:rsidP="00000000" w:rsidRDefault="00000000" w:rsidRPr="00000000" w14:paraId="000000FC">
      <w:pPr>
        <w:spacing w:after="160" w:line="276" w:lineRule="auto"/>
        <w:jc w:val="both"/>
        <w:rPr/>
      </w:pPr>
      <w:r w:rsidDel="00000000" w:rsidR="00000000" w:rsidRPr="00000000">
        <w:rPr>
          <w:rFonts w:ascii="Times New Roman" w:cs="Times New Roman" w:eastAsia="Times New Roman" w:hAnsi="Times New Roman"/>
          <w:color w:val="000000"/>
          <w:rtl w:val="0"/>
        </w:rPr>
        <w:t xml:space="preserve">Presents system-generated mitigation recommendations to the manager and requires an explicit human decision before any recommendation is considered acted-on. Priority: </w:t>
      </w:r>
      <w:r w:rsidDel="00000000" w:rsidR="00000000" w:rsidRPr="00000000">
        <w:rPr>
          <w:rFonts w:ascii="Times New Roman" w:cs="Times New Roman" w:eastAsia="Times New Roman" w:hAnsi="Times New Roman"/>
          <w:b w:val="1"/>
          <w:bCs w:val="1"/>
          <w:color w:val="000000"/>
          <w:rtl w:val="0"/>
        </w:rPr>
        <w:t xml:space="preserve">High</w:t>
      </w:r>
      <w:r w:rsidDel="00000000" w:rsidR="00000000" w:rsidRPr="00000000">
        <w:rPr>
          <w:rFonts w:ascii="Times New Roman" w:cs="Times New Roman" w:eastAsia="Times New Roman" w:hAnsi="Times New Roman"/>
          <w:color w:val="000000"/>
          <w:rtl w:val="0"/>
        </w:rPr>
        <w:t xml:space="preserve"> — this is the system's primary safety/accountability control (Section 5.2).</w:t>
      </w: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rtl w:val="0"/>
        </w:rPr>
        <w:t xml:space="preserve">4.8.2 Stimulus/Response Sequences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Action: Manager opens the Recommendation Center.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Lists all pending recommendations with affected entity, risk score, recommended action, confidence score, and justification.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Action: Manager clicks Accept or Reject on a recommendation.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Updates the recommendation's status, timestamps the decision, and persists it to disruption memory (Section 4.5) so it informs future recommendations.</w:t>
      </w:r>
    </w:p>
    <w:p w:rsidR="00000000" w:rsidDel="00000000" w:rsidP="00000000" w:rsidRDefault="00000000" w:rsidRPr="00000000" w14:paraId="00000102">
      <w:pPr>
        <w:pStyle w:val="Heading3"/>
        <w:rPr/>
      </w:pPr>
      <w:r w:rsidDel="00000000" w:rsidR="00000000" w:rsidRPr="00000000">
        <w:rPr>
          <w:rtl w:val="0"/>
        </w:rPr>
        <w:t xml:space="preserve">4.8.3 Functional Requirements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list all pending recommendations (status = Pending) in a dedicated Recommendation Center view, each showing the affected entity, risk score, recommended action, confidence score, and justification.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Supply Chain Manager shall be able to explicitly Accept or Reject each pending recommendation; the system shall not change a recommendation's status automatically under any confidence threshold.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Upon Accept or Reject, the system shall update the recommendation's status, timestamp the decision, and persist it to the disruption memory store so it can inform future recommendations.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allow the manager to filter the Recommendation Center by status (Pending/Accepted/Rejected), affected entity type, or risk level.</w:t>
      </w:r>
    </w:p>
    <w:p w:rsidR="00000000" w:rsidDel="00000000" w:rsidP="00000000" w:rsidRDefault="00000000" w:rsidRPr="00000000" w14:paraId="00000107">
      <w:pPr>
        <w:pStyle w:val="Heading2"/>
        <w:rPr/>
      </w:pPr>
      <w:r w:rsidDel="00000000" w:rsidR="00000000" w:rsidRPr="00000000">
        <w:rPr>
          <w:rtl w:val="0"/>
        </w:rPr>
        <w:t xml:space="preserve">4.9 Administration</w:t>
      </w: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4.9.1 Description and Priority</w:t>
      </w:r>
    </w:p>
    <w:p w:rsidR="00000000" w:rsidDel="00000000" w:rsidP="00000000" w:rsidRDefault="00000000" w:rsidRPr="00000000" w14:paraId="00000109">
      <w:pPr>
        <w:spacing w:after="160" w:line="276" w:lineRule="auto"/>
        <w:jc w:val="both"/>
        <w:rPr/>
      </w:pPr>
      <w:r w:rsidDel="00000000" w:rsidR="00000000" w:rsidRPr="00000000">
        <w:rPr>
          <w:rFonts w:ascii="Times New Roman" w:cs="Times New Roman" w:eastAsia="Times New Roman" w:hAnsi="Times New Roman"/>
          <w:color w:val="000000"/>
          <w:rtl w:val="0"/>
        </w:rPr>
        <w:t xml:space="preserve">Gives the System Administrator control over data ingestion, agent configuration, and reporting through a dedicated, access-controlled Admin area. Priority: </w:t>
      </w:r>
      <w:r w:rsidDel="00000000" w:rsidR="00000000" w:rsidRPr="00000000">
        <w:rPr>
          <w:rFonts w:ascii="Times New Roman" w:cs="Times New Roman" w:eastAsia="Times New Roman" w:hAnsi="Times New Roman"/>
          <w:b w:val="1"/>
          <w:bCs w:val="1"/>
          <w:color w:val="000000"/>
          <w:rtl w:val="0"/>
        </w:rPr>
        <w:t xml:space="preserve">Medium</w:t>
      </w:r>
      <w:r w:rsidDel="00000000" w:rsidR="00000000" w:rsidRPr="00000000">
        <w:rPr>
          <w:rFonts w:ascii="Times New Roman" w:cs="Times New Roman" w:eastAsia="Times New Roman" w:hAnsi="Times New Roman"/>
          <w:color w:val="000000"/>
          <w:rtl w:val="0"/>
        </w:rPr>
        <w:t xml:space="preserve"> — necessary for operating the system but not part of the manager-facing decision-support loop.</w:t>
      </w: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4.9.2 Stimulus/Response Sequences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Action: Opens the agent configuration screen and edits a risk threshold or score weight.</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Validates the input (e.g., weights sum to 1.0, thresholds within 0–100) and, if valid, applies the change without requiring a code redeploy.</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 Action: Requests a summary report for a selected date range.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Response: Generates a report of disruption events, recommendations issued, and their Accept/Reject outcomes, exportable as CSV or PDF.</w:t>
      </w:r>
    </w:p>
    <w:p w:rsidR="00000000" w:rsidDel="00000000" w:rsidP="00000000" w:rsidRDefault="00000000" w:rsidRPr="00000000" w14:paraId="0000010F">
      <w:pPr>
        <w:pStyle w:val="Heading3"/>
        <w:rPr/>
      </w:pPr>
      <w:r w:rsidDel="00000000" w:rsidR="00000000" w:rsidRPr="00000000">
        <w:rPr>
          <w:rtl w:val="0"/>
        </w:rPr>
        <w:t xml:space="preserve">4.9.3 Functional Requirements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Administrator shall be able to trigger and monitor ETL import runs from an Admin screen, including viewing a summary of records loaded, rejected, and flagged per run.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Administrator shall be able to view and edit agent configuration parameters — risk thresholds, the Risk Agent's composite score weights, and External Intelligence polling frequency — through an Admin screen, with changes taking effect without a code redeploy.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Administrator shall be able to generate a summary report (covering a selected date range) of disruption events, recommendations issued, and their Accept/Reject outcomes, exportable in at least one common format (CSV or PDF).</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lqpgrs6fsi8g" w:id="3"/>
      <w:bookmarkEnd w:id="3"/>
      <w:r w:rsidDel="00000000" w:rsidR="00000000" w:rsidRPr="00000000">
        <w:rPr>
          <w:rtl w:val="0"/>
        </w:rPr>
        <w:t xml:space="preserve">5. Other Nonfunctional Requirements</w:t>
      </w:r>
    </w:p>
    <w:p w:rsidR="00000000" w:rsidDel="00000000" w:rsidP="00000000" w:rsidRDefault="00000000" w:rsidRPr="00000000" w14:paraId="00000115">
      <w:pPr>
        <w:pStyle w:val="Heading2"/>
        <w:rPr/>
      </w:pPr>
      <w:r w:rsidDel="00000000" w:rsidR="00000000" w:rsidRPr="00000000">
        <w:rPr>
          <w:rtl w:val="0"/>
        </w:rPr>
        <w:t xml:space="preserve">5.1 Performance Requirements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NFR-P1: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new or updated record written by ETL or the simulation module shall be reflected in the Neo4j knowledge graph within 30 seconds.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NFR-P2: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AI Assistant shall return a natural-language answer to a submitted question within 8 seconds under normal load, inclusive of GraphRAG retrieval and Gemini API round-trip time.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NFR-P3:</w:t>
      </w:r>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The Manager Dashboard and Digital Twin graph view shall complete initial load within 3 seconds on a standard broadband connection (≥10 Mbps).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NFR-P4: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support at least 5 concurrent users performing dashboard viewing, AI Assistant queries, and recommendation actions without response times exceeding the bounds in NFR-P1–NFR-P3 by more than 50%.</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NFR-P5: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Risk Agent shall complete composite score computation for a given entity within 5 seconds of receiving output from the four upstream agents.</w:t>
      </w:r>
    </w:p>
    <w:p w:rsidR="00000000" w:rsidDel="00000000" w:rsidP="00000000" w:rsidRDefault="00000000" w:rsidRPr="00000000" w14:paraId="0000011B">
      <w:pPr>
        <w:pStyle w:val="Heading2"/>
        <w:rPr/>
      </w:pPr>
      <w:r w:rsidDel="00000000" w:rsidR="00000000" w:rsidRPr="00000000">
        <w:rPr>
          <w:rtl w:val="0"/>
        </w:rPr>
        <w:t xml:space="preserve">5.2 Safety Requirements</w:t>
      </w:r>
      <w:r w:rsidDel="00000000" w:rsidR="00000000" w:rsidRPr="00000000">
        <w:rPr>
          <w:rtl w:val="0"/>
        </w:rPr>
      </w:r>
    </w:p>
    <w:p w:rsidR="00000000" w:rsidDel="00000000" w:rsidP="00000000" w:rsidRDefault="00000000" w:rsidRPr="00000000" w14:paraId="0000011C">
      <w:pPr>
        <w:spacing w:after="160" w:line="276" w:lineRule="auto"/>
        <w:jc w:val="both"/>
        <w:rPr/>
      </w:pPr>
      <w:r w:rsidDel="00000000" w:rsidR="00000000" w:rsidRPr="00000000">
        <w:rPr>
          <w:rFonts w:ascii="Times New Roman" w:cs="Times New Roman" w:eastAsia="Times New Roman" w:hAnsi="Times New Roman"/>
          <w:color w:val="000000"/>
          <w:rtl w:val="0"/>
        </w:rPr>
        <w:t xml:space="preserve">Because SupplyTwinAI's output can influence real operational decisions, the following rules bound the harm a system error can cause: </w:t>
      </w:r>
      <w:r w:rsidDel="00000000" w:rsidR="00000000" w:rsidRPr="00000000">
        <w:rPr>
          <w:rFonts w:ascii="Times New Roman" w:cs="Times New Roman" w:eastAsia="Times New Roman" w:hAnsi="Times New Roman"/>
          <w:b w:val="1"/>
          <w:bCs w:val="1"/>
          <w:color w:val="000000"/>
          <w:rtl w:val="0"/>
        </w:rPr>
        <w:t xml:space="preserve">NFR-S1:</w:t>
      </w:r>
      <w:r w:rsidDel="00000000" w:rsidR="00000000" w:rsidRPr="00000000">
        <w:rPr>
          <w:rFonts w:ascii="Times New Roman" w:cs="Times New Roman" w:eastAsia="Times New Roman" w:hAnsi="Times New Roman"/>
          <w:color w:val="000000"/>
          <w:rtl w:val="0"/>
        </w:rPr>
        <w:t xml:space="preserve"> the system shall never automatically execute or apply a recommendation — every recommendation requires explicit human Accept/Reject (Section 4.8, REQ-2) — so an incorrect model output cannot itself trigger an unwanted supply chain action. </w:t>
      </w:r>
      <w:r w:rsidDel="00000000" w:rsidR="00000000" w:rsidRPr="00000000">
        <w:rPr>
          <w:rFonts w:ascii="Times New Roman" w:cs="Times New Roman" w:eastAsia="Times New Roman" w:hAnsi="Times New Roman"/>
          <w:b w:val="1"/>
          <w:bCs w:val="1"/>
          <w:color w:val="000000"/>
          <w:rtl w:val="0"/>
        </w:rPr>
        <w:t xml:space="preserve">NFR-S2:</w:t>
      </w:r>
      <w:r w:rsidDel="00000000" w:rsidR="00000000" w:rsidRPr="00000000">
        <w:rPr>
          <w:rFonts w:ascii="Times New Roman" w:cs="Times New Roman" w:eastAsia="Times New Roman" w:hAnsi="Times New Roman"/>
          <w:color w:val="000000"/>
          <w:rtl w:val="0"/>
        </w:rPr>
        <w:t xml:space="preserve"> if the Gemini API, Open-Meteo, or NewsAPI is unreachable, the affected agent(s) shall degrade gracefully — continuing to serve last-known data with a visible "stale data" indicator — rather than causing the dashboard or AI Assistant to fail entirely or silently show incorrect current-state data. </w:t>
      </w:r>
      <w:r w:rsidDel="00000000" w:rsidR="00000000" w:rsidRPr="00000000">
        <w:rPr>
          <w:rFonts w:ascii="Times New Roman" w:cs="Times New Roman" w:eastAsia="Times New Roman" w:hAnsi="Times New Roman"/>
          <w:b w:val="1"/>
          <w:bCs w:val="1"/>
          <w:color w:val="000000"/>
          <w:rtl w:val="0"/>
        </w:rPr>
        <w:t xml:space="preserve">NFR-S3:</w:t>
      </w:r>
      <w:r w:rsidDel="00000000" w:rsidR="00000000" w:rsidRPr="00000000">
        <w:rPr>
          <w:rFonts w:ascii="Times New Roman" w:cs="Times New Roman" w:eastAsia="Times New Roman" w:hAnsi="Times New Roman"/>
          <w:color w:val="000000"/>
          <w:rtl w:val="0"/>
        </w:rPr>
        <w:t xml:space="preserve"> all persisted disruption memory records and Accept/Reject decisions shall survive an application restart; no in-flight recommendation state shall be lost on redeploy.</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5.3 Security Requirements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NFR-SE1: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All communication between the React frontend, FastAPI backend, and external APIs (Gemini, Open-Meteo, NewsAPI) shall use HTTPS/TLS; no credential or API key shall be transmitted in plaintext.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NFR-SE2: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API keys and database credentials shall be stored in environment variables or a secrets manager, never committed to source control or hardcoded in application code.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NFR-SE3: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authenticate users before granting access to the Manager Dashboard, AI Assistant, or Recommendation Center; no functional endpoint shall be reachable without a valid session.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NFR-SE4: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enforce role-based access control such that Admin screens are reachable only by users with the System Administrator role; a Supply Chain Manager account shall receive a 403/forbidden response if it attempts to reach an admin-only endpoint.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NFR-SE5: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User-submitted natural-language input to the AI Assistant shall be sanitized/validated before use in any database query (SQL or Cypher) to prevent injection attacks.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NFR-SE6: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system shall log all Accept/Reject decisions with the acting user's identity and timestamp, providing an auditable decision trail.</w:t>
      </w:r>
    </w:p>
    <w:p w:rsidR="00000000" w:rsidDel="00000000" w:rsidP="00000000" w:rsidRDefault="00000000" w:rsidRPr="00000000" w14:paraId="00000124">
      <w:pPr>
        <w:pStyle w:val="Heading2"/>
        <w:rPr/>
      </w:pPr>
      <w:r w:rsidDel="00000000" w:rsidR="00000000" w:rsidRPr="00000000">
        <w:rPr>
          <w:rtl w:val="0"/>
        </w:rPr>
        <w:t xml:space="preserve">5.4 Software Quality Attributes</w:t>
      </w:r>
      <w:r w:rsidDel="00000000" w:rsidR="00000000" w:rsidRPr="00000000">
        <w:rPr>
          <w:rtl w:val="0"/>
        </w:rPr>
      </w:r>
    </w:p>
    <w:p w:rsidR="00000000" w:rsidDel="00000000" w:rsidP="00000000" w:rsidRDefault="00000000" w:rsidRPr="00000000" w14:paraId="00000125">
      <w:pPr>
        <w:spacing w:after="160" w:line="276" w:lineRule="auto"/>
        <w:jc w:val="both"/>
        <w:rPr/>
      </w:pPr>
      <w:r w:rsidDel="00000000" w:rsidR="00000000" w:rsidRPr="00000000">
        <w:rPr>
          <w:rFonts w:ascii="Times New Roman" w:cs="Times New Roman" w:eastAsia="Times New Roman" w:hAnsi="Times New Roman"/>
          <w:b w:val="1"/>
          <w:bCs w:val="1"/>
          <w:color w:val="000000"/>
          <w:rtl w:val="0"/>
        </w:rPr>
        <w:t xml:space="preserve">Usability:</w:t>
      </w:r>
      <w:r w:rsidDel="00000000" w:rsidR="00000000" w:rsidRPr="00000000">
        <w:rPr>
          <w:rFonts w:ascii="Times New Roman" w:cs="Times New Roman" w:eastAsia="Times New Roman" w:hAnsi="Times New Roman"/>
          <w:color w:val="000000"/>
          <w:rtl w:val="0"/>
        </w:rPr>
        <w:t xml:space="preserve"> a first-time Supply Chain Manager user shall be able to locate and interpret the current highest-risk shipment on the Manager Dashboard within 60 seconds without external instruction, verified via a task-based usability check with at least 3 test users; all AI-derived output shall be presented in plain business language with no raw graph query syntax, agent/system internals, or LLM prompt artifacts exposed in the standard UI; every recommendation shown shall include a human-readable justification, not only a numeric score.</w:t>
      </w:r>
      <w:r w:rsidDel="00000000" w:rsidR="00000000" w:rsidRPr="00000000">
        <w:rPr>
          <w:rtl w:val="0"/>
        </w:rPr>
      </w:r>
    </w:p>
    <w:p w:rsidR="00000000" w:rsidDel="00000000" w:rsidP="00000000" w:rsidRDefault="00000000" w:rsidRPr="00000000" w14:paraId="00000126">
      <w:pPr>
        <w:spacing w:after="160" w:line="276" w:lineRule="auto"/>
        <w:jc w:val="both"/>
        <w:rPr/>
      </w:pPr>
      <w:r w:rsidDel="00000000" w:rsidR="00000000" w:rsidRPr="00000000">
        <w:rPr>
          <w:rFonts w:ascii="Times New Roman" w:cs="Times New Roman" w:eastAsia="Times New Roman" w:hAnsi="Times New Roman"/>
          <w:b w:val="1"/>
          <w:bCs w:val="1"/>
          <w:color w:val="000000"/>
          <w:rtl w:val="0"/>
        </w:rPr>
        <w:t xml:space="preserve">Reliability:</w:t>
      </w:r>
      <w:r w:rsidDel="00000000" w:rsidR="00000000" w:rsidRPr="00000000">
        <w:rPr>
          <w:rFonts w:ascii="Times New Roman" w:cs="Times New Roman" w:eastAsia="Times New Roman" w:hAnsi="Times New Roman"/>
          <w:color w:val="000000"/>
          <w:rtl w:val="0"/>
        </w:rPr>
        <w:t xml:space="preserve"> the system shall target 95% uptime during the evaluation/demo period (excluding scheduled maintenance), consistent with free-tier cloud hosting; no single agent's failure (e.g., an exception in the External Intelligence Agent) shall prevent the other five agents from completing and producing output for the same evaluation cycle.</w:t>
      </w:r>
      <w:r w:rsidDel="00000000" w:rsidR="00000000" w:rsidRPr="00000000">
        <w:rPr>
          <w:rtl w:val="0"/>
        </w:rPr>
      </w:r>
    </w:p>
    <w:p w:rsidR="00000000" w:rsidDel="00000000" w:rsidP="00000000" w:rsidRDefault="00000000" w:rsidRPr="00000000" w14:paraId="00000127">
      <w:pPr>
        <w:spacing w:after="160" w:line="276" w:lineRule="auto"/>
        <w:jc w:val="both"/>
        <w:rPr/>
      </w:pPr>
      <w:r w:rsidDel="00000000" w:rsidR="00000000" w:rsidRPr="00000000">
        <w:rPr>
          <w:rFonts w:ascii="Times New Roman" w:cs="Times New Roman" w:eastAsia="Times New Roman" w:hAnsi="Times New Roman"/>
          <w:b w:val="1"/>
          <w:bCs w:val="1"/>
          <w:color w:val="000000"/>
          <w:rtl w:val="0"/>
        </w:rPr>
        <w:t xml:space="preserve">Maintainability:</w:t>
      </w:r>
      <w:r w:rsidDel="00000000" w:rsidR="00000000" w:rsidRPr="00000000">
        <w:rPr>
          <w:rFonts w:ascii="Times New Roman" w:cs="Times New Roman" w:eastAsia="Times New Roman" w:hAnsi="Times New Roman"/>
          <w:color w:val="000000"/>
          <w:rtl w:val="0"/>
        </w:rPr>
        <w:t xml:space="preserve"> the Risk Agent's score weights and all agent thresholds shall be externalized to configuration, editable from the Admin area (Section 4.9), rather than requiring a code change and redeploy to tune.</w:t>
      </w:r>
      <w:r w:rsidDel="00000000" w:rsidR="00000000" w:rsidRPr="00000000">
        <w:rPr>
          <w:rtl w:val="0"/>
        </w:rPr>
      </w:r>
    </w:p>
    <w:p w:rsidR="00000000" w:rsidDel="00000000" w:rsidP="00000000" w:rsidRDefault="00000000" w:rsidRPr="00000000" w14:paraId="00000128">
      <w:pPr>
        <w:spacing w:after="160" w:line="276" w:lineRule="auto"/>
        <w:jc w:val="both"/>
        <w:rPr/>
      </w:pPr>
      <w:r w:rsidDel="00000000" w:rsidR="00000000" w:rsidRPr="00000000">
        <w:rPr>
          <w:rFonts w:ascii="Times New Roman" w:cs="Times New Roman" w:eastAsia="Times New Roman" w:hAnsi="Times New Roman"/>
          <w:b w:val="1"/>
          <w:bCs w:val="1"/>
          <w:color w:val="000000"/>
          <w:rtl w:val="0"/>
        </w:rPr>
        <w:t xml:space="preserve">Portability:</w:t>
      </w:r>
      <w:r w:rsidDel="00000000" w:rsidR="00000000" w:rsidRPr="00000000">
        <w:rPr>
          <w:rFonts w:ascii="Times New Roman" w:cs="Times New Roman" w:eastAsia="Times New Roman" w:hAnsi="Times New Roman"/>
          <w:color w:val="000000"/>
          <w:rtl w:val="0"/>
        </w:rPr>
        <w:t xml:space="preserve"> the system shall run on any modern desktop or tablet browser (Chrome, Firefox, Edge, Safari) without OS-specific dependencies, and its cloud components (Vercel, Render, Supabase, Neo4j Aura) are each independently replaceable with an equivalent provider without a frontend/backend code rewrite.</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5.5 Business Rules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recommendation's status shall change from Pending only via an explicit Supply Chain Manager Accept or Reject action (Section 4.8, REQ-2); no confidence threshold shall cause an automatic status change.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System Administrator accounts may trigger ETL imports or modify agent thresholds/weights (Section 5.3, NFR-SE4).</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Every AI Assistant answer and every recommendation's justification must be traceable to the GraphRAG context that produced it (Section 4.3, REQ-3).</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6. Other Requirements</w:t>
      </w:r>
      <w:r w:rsidDel="00000000" w:rsidR="00000000" w:rsidRPr="00000000">
        <w:rPr>
          <w:rtl w:val="0"/>
        </w:rPr>
      </w:r>
    </w:p>
    <w:p w:rsidR="00000000" w:rsidDel="00000000" w:rsidP="00000000" w:rsidRDefault="00000000" w:rsidRPr="00000000" w14:paraId="0000012F">
      <w:pPr>
        <w:spacing w:after="160" w:line="276" w:lineRule="auto"/>
        <w:jc w:val="both"/>
        <w:rPr/>
      </w:pPr>
      <w:r w:rsidDel="00000000" w:rsidR="00000000" w:rsidRPr="00000000">
        <w:rPr>
          <w:rFonts w:ascii="Gungsuh" w:cs="Gungsuh" w:eastAsia="Gungsuh" w:hAnsi="Gungsuh"/>
          <w:color w:val="000000"/>
          <w:rtl w:val="0"/>
        </w:rPr>
        <w:t xml:space="preserve">No additional legal, licensing, or regulatory-compliance requirements apply beyond the constraints already stated in Section 2.5. Internationalization/localization is out of scope for this release; all UI text is English-only. The system's browser/device compatibility requirement is stated in Section 2.4 (desktop and tablet, ≥768px viewport, on Chrome/Firefox/Edge/Safari); no native mobile support is required, consistent with Section 1.4.</w:t>
      </w: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Appendix A: Glossary</w:t>
      </w:r>
      <w:r w:rsidDel="00000000" w:rsidR="00000000" w:rsidRPr="00000000">
        <w:rPr>
          <w:rtl w:val="0"/>
        </w:rPr>
      </w:r>
    </w:p>
    <w:tbl>
      <w:tblPr>
        <w:tblStyle w:val="Table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1"/>
                <w:bCs w:val="1"/>
                <w:color w:val="000000"/>
                <w:sz w:val="20"/>
                <w:szCs w:val="20"/>
                <w:rtl w:val="0"/>
              </w:rPr>
              <w:t xml:space="preserve">Term</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1"/>
                <w:bCs w:val="1"/>
                <w:color w:val="000000"/>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color w:val="000000"/>
                <w:sz w:val="20"/>
                <w:szCs w:val="20"/>
                <w:rtl w:val="0"/>
              </w:rPr>
              <w:t xml:space="preserve">DT</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color w:val="000000"/>
                <w:sz w:val="20"/>
                <w:szCs w:val="20"/>
                <w:rtl w:val="0"/>
              </w:rPr>
              <w:t xml:space="preserve">Digital Twin — a virtual, synchronized representation of a physical entity or process.</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color w:val="000000"/>
                <w:sz w:val="20"/>
                <w:szCs w:val="20"/>
                <w:rtl w:val="0"/>
              </w:rPr>
              <w:t xml:space="preserve">DTofSC</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color w:val="000000"/>
                <w:sz w:val="20"/>
                <w:szCs w:val="20"/>
                <w:rtl w:val="0"/>
              </w:rPr>
              <w:t xml:space="preserve">Digital Twin of Supply Chain — the generalization of DT to an entire supply chain network, as conceptualized in [1].</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color w:val="000000"/>
                <w:sz w:val="20"/>
                <w:szCs w:val="20"/>
                <w:rtl w:val="0"/>
              </w:rPr>
              <w:t xml:space="preserve">Addressability</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color w:val="000000"/>
                <w:sz w:val="20"/>
                <w:szCs w:val="20"/>
                <w:rtl w:val="0"/>
              </w:rPr>
              <w:t xml:space="preserve">The requirement, identified in [1], that every supply chain entity have a unique, global, queryable identity, analogous to an addressable server on a network.</w:t>
            </w:r>
            <w:r w:rsidDel="00000000" w:rsidR="00000000" w:rsidRPr="00000000">
              <w:rPr>
                <w:rtl w:val="0"/>
              </w:rPr>
            </w:r>
          </w:p>
        </w:tc>
      </w:tr>
      <w:tr>
        <w:trPr>
          <w:cantSplit w:val="0"/>
          <w:tblHeader w:val="0"/>
        </w:trPr>
        <w:tc>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color w:val="000000"/>
                <w:sz w:val="20"/>
                <w:szCs w:val="20"/>
                <w:rtl w:val="0"/>
              </w:rPr>
              <w:t xml:space="preserve">KG</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color w:val="000000"/>
                <w:sz w:val="20"/>
                <w:szCs w:val="20"/>
                <w:rtl w:val="0"/>
              </w:rPr>
              <w:t xml:space="preserve">Knowledge Graph — a graph-structured data model (implemented in Neo4j) representing entities and their relationships.</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color w:val="000000"/>
                <w:sz w:val="20"/>
                <w:szCs w:val="20"/>
                <w:rtl w:val="0"/>
              </w:rPr>
              <w:t xml:space="preserve">GraphRAG</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color w:val="000000"/>
                <w:sz w:val="20"/>
                <w:szCs w:val="20"/>
                <w:rtl w:val="0"/>
              </w:rPr>
              <w:t xml:space="preserve">Graph-based Retrieval-Augmented Generation — a retrieval technique that grounds LLM responses in structured knowledge graph context rather than unstructured document chunks alone.</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color w:val="000000"/>
                <w:sz w:val="20"/>
                <w:szCs w:val="20"/>
                <w:rtl w:val="0"/>
              </w:rPr>
              <w:t xml:space="preserve">RAG</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color w:val="000000"/>
                <w:sz w:val="20"/>
                <w:szCs w:val="20"/>
                <w:rtl w:val="0"/>
              </w:rPr>
              <w:t xml:space="preserve">Retrieval-Augmented Generation — a technique where an LLM's output is conditioned on retrieved external context.</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color w:val="000000"/>
                <w:sz w:val="20"/>
                <w:szCs w:val="20"/>
                <w:rtl w:val="0"/>
              </w:rPr>
              <w:t xml:space="preserve">LLM</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color w:val="000000"/>
                <w:sz w:val="20"/>
                <w:szCs w:val="20"/>
                <w:rtl w:val="0"/>
              </w:rPr>
              <w:t xml:space="preserve">Large Language Model — here, the Gemini API models performing reasoning and natural-language generation.</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color w:val="000000"/>
                <w:sz w:val="20"/>
                <w:szCs w:val="20"/>
                <w:rtl w:val="0"/>
              </w:rPr>
              <w:t xml:space="preserve">LangGraph</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color w:val="000000"/>
                <w:sz w:val="20"/>
                <w:szCs w:val="20"/>
                <w:rtl w:val="0"/>
              </w:rPr>
              <w:t xml:space="preserve">A graph-based orchestration framework (built on LangChain) used to coordinate the six autonomous agents' control flow and state.</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color w:val="000000"/>
                <w:sz w:val="20"/>
                <w:szCs w:val="20"/>
                <w:rtl w:val="0"/>
              </w:rPr>
              <w:t xml:space="preserve">Agent</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color w:val="000000"/>
                <w:sz w:val="20"/>
                <w:szCs w:val="20"/>
                <w:rtl w:val="0"/>
              </w:rPr>
              <w:t xml:space="preserve">An autonomous LangGraph node with a bounded responsibility (e.g., Supplier Agent, Risk Agent) that reads system/external state and produces structured outputs.</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color w:val="000000"/>
                <w:sz w:val="20"/>
                <w:szCs w:val="20"/>
                <w:rtl w:val="0"/>
              </w:rPr>
              <w:t xml:space="preserve">ETL</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color w:val="000000"/>
                <w:sz w:val="20"/>
                <w:szCs w:val="20"/>
                <w:rtl w:val="0"/>
              </w:rPr>
              <w:t xml:space="preserve">Extract, Transform, Load — the pipeline that cleans and loads the DataCo dataset into PostgreSQL.</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color w:val="000000"/>
                <w:sz w:val="20"/>
                <w:szCs w:val="20"/>
                <w:rtl w:val="0"/>
              </w:rPr>
              <w:t xml:space="preserve">NL</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color w:val="000000"/>
                <w:sz w:val="20"/>
                <w:szCs w:val="20"/>
                <w:rtl w:val="0"/>
              </w:rPr>
              <w:t xml:space="preserve">Natural Language — as in the natural-language query interface (AI Assistant).</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color w:val="000000"/>
                <w:sz w:val="20"/>
                <w:szCs w:val="20"/>
                <w:rtl w:val="0"/>
              </w:rPr>
              <w:t xml:space="preserve">KPI</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color w:val="000000"/>
                <w:sz w:val="20"/>
                <w:szCs w:val="20"/>
                <w:rtl w:val="0"/>
              </w:rPr>
              <w:t xml:space="preserve">Key Performance Indicator — summary metrics shown on the Manager Dashboard.</w:t>
            </w:r>
            <w:r w:rsidDel="00000000" w:rsidR="00000000" w:rsidRPr="00000000">
              <w:rPr>
                <w:rtl w:val="0"/>
              </w:rPr>
            </w:r>
          </w:p>
        </w:tc>
      </w:tr>
      <w:tr>
        <w:trPr>
          <w:cantSplit w:val="0"/>
          <w:tblHeader w:val="0"/>
        </w:trPr>
        <w:tc>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000000"/>
                <w:sz w:val="20"/>
                <w:szCs w:val="20"/>
                <w:rtl w:val="0"/>
              </w:rPr>
              <w:t xml:space="preserve">API</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color w:val="000000"/>
                <w:sz w:val="20"/>
                <w:szCs w:val="20"/>
                <w:rtl w:val="0"/>
              </w:rPr>
              <w:t xml:space="preserve">Application Programming Interface.</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color w:val="000000"/>
                <w:sz w:val="20"/>
                <w:szCs w:val="20"/>
                <w:rtl w:val="0"/>
              </w:rPr>
              <w:t xml:space="preserve">SC / SCM</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color w:val="000000"/>
                <w:sz w:val="20"/>
                <w:szCs w:val="20"/>
                <w:rtl w:val="0"/>
              </w:rPr>
              <w:t xml:space="preserve">Supply Chain / Supply Chain Management.</w:t>
            </w: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color w:val="000000"/>
                <w:sz w:val="20"/>
                <w:szCs w:val="20"/>
                <w:rtl w:val="0"/>
              </w:rPr>
              <w:t xml:space="preserve">DataCo Dataset</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color w:val="000000"/>
                <w:sz w:val="20"/>
                <w:szCs w:val="20"/>
                <w:rtl w:val="0"/>
              </w:rPr>
              <w:t xml:space="preserve">A public, historical e-commerce/logistics dataset used as the primary source of supplier, order, shipment, and inventory records.</w:t>
            </w:r>
            <w:r w:rsidDel="00000000" w:rsidR="00000000" w:rsidRPr="00000000">
              <w:rPr>
                <w:rtl w:val="0"/>
              </w:rPr>
            </w:r>
          </w:p>
        </w:tc>
      </w:tr>
      <w:tr>
        <w:trPr>
          <w:cantSplit w:val="0"/>
          <w:tblHeader w:val="0"/>
        </w:trPr>
        <w:tc>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color w:val="000000"/>
                <w:sz w:val="20"/>
                <w:szCs w:val="20"/>
                <w:rtl w:val="0"/>
              </w:rPr>
              <w:t xml:space="preserve">Neo4j</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color w:val="000000"/>
                <w:sz w:val="20"/>
                <w:szCs w:val="20"/>
                <w:rtl w:val="0"/>
              </w:rPr>
              <w:t xml:space="preserve">The graph database management system used to store and query the knowledge graph.</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color w:val="000000"/>
                <w:sz w:val="20"/>
                <w:szCs w:val="20"/>
                <w:rtl w:val="0"/>
              </w:rPr>
              <w:t xml:space="preserve">Cypher</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color w:val="000000"/>
                <w:sz w:val="20"/>
                <w:szCs w:val="20"/>
                <w:rtl w:val="0"/>
              </w:rPr>
              <w:t xml:space="preserve">Neo4j's declarative graph query language.</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color w:val="000000"/>
                <w:sz w:val="20"/>
                <w:szCs w:val="20"/>
                <w:rtl w:val="0"/>
              </w:rPr>
              <w:t xml:space="preserve">Bolt</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color w:val="000000"/>
                <w:sz w:val="20"/>
                <w:szCs w:val="20"/>
                <w:rtl w:val="0"/>
              </w:rPr>
              <w:t xml:space="preserve">Neo4j's binary network protocol used by client drivers to execute Cypher queries.</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color w:val="000000"/>
                <w:sz w:val="20"/>
                <w:szCs w:val="20"/>
                <w:rtl w:val="0"/>
              </w:rPr>
              <w:t xml:space="preserve">Neo4j Aura</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color w:val="000000"/>
                <w:sz w:val="20"/>
                <w:szCs w:val="20"/>
                <w:rtl w:val="0"/>
              </w:rPr>
              <w:t xml:space="preserve">Neo4j's managed cloud database service, used as the deployment target for the knowledge graph.</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color w:val="000000"/>
                <w:sz w:val="20"/>
                <w:szCs w:val="20"/>
                <w:rtl w:val="0"/>
              </w:rPr>
              <w:t xml:space="preserve">FastAPI</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color w:val="000000"/>
                <w:sz w:val="20"/>
                <w:szCs w:val="20"/>
                <w:rtl w:val="0"/>
              </w:rPr>
              <w:t xml:space="preserve">The Python web framework used to implement the backend REST API.</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color w:val="000000"/>
                <w:sz w:val="20"/>
                <w:szCs w:val="20"/>
                <w:rtl w:val="0"/>
              </w:rPr>
              <w:t xml:space="preserve">SQLAlchemy</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color w:val="000000"/>
                <w:sz w:val="20"/>
                <w:szCs w:val="20"/>
                <w:rtl w:val="0"/>
              </w:rPr>
              <w:t xml:space="preserve">The Python ORM used for all PostgreSQL access from the backend.</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color w:val="000000"/>
                <w:sz w:val="20"/>
                <w:szCs w:val="20"/>
                <w:rtl w:val="0"/>
              </w:rPr>
              <w:t xml:space="preserve">WebSocket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color w:val="000000"/>
                <w:sz w:val="20"/>
                <w:szCs w:val="20"/>
                <w:rtl w:val="0"/>
              </w:rPr>
              <w:t xml:space="preserve">A persistent, bidirectional network protocol used to push real-time dashboard and agent updates.</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color w:val="000000"/>
                <w:sz w:val="20"/>
                <w:szCs w:val="20"/>
                <w:rtl w:val="0"/>
              </w:rPr>
              <w:t xml:space="preserve">JWT</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color w:val="000000"/>
                <w:sz w:val="20"/>
                <w:szCs w:val="20"/>
                <w:rtl w:val="0"/>
              </w:rPr>
              <w:t xml:space="preserve">JSON Web Token — a signed token format used to represent an authenticated user session.</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color w:val="000000"/>
                <w:sz w:val="20"/>
                <w:szCs w:val="20"/>
                <w:rtl w:val="0"/>
              </w:rPr>
              <w:t xml:space="preserve">Supabase</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color w:val="000000"/>
                <w:sz w:val="20"/>
                <w:szCs w:val="20"/>
                <w:rtl w:val="0"/>
              </w:rPr>
              <w:t xml:space="preserve">A managed backend platform providing hosted PostgreSQL and authentication services used in this project.</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color w:val="000000"/>
                <w:sz w:val="20"/>
                <w:szCs w:val="20"/>
                <w:rtl w:val="0"/>
              </w:rPr>
              <w:t xml:space="preserve">Composite Risk Score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color w:val="000000"/>
                <w:sz w:val="20"/>
                <w:szCs w:val="20"/>
                <w:rtl w:val="0"/>
              </w:rPr>
              <w:t xml:space="preserve">The 0–100 (or Low/Medium/High) score computed by the Risk Agent as a weighted combination of supplier, shipment, inventory, and external-intelligence signals.</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color w:val="000000"/>
                <w:sz w:val="20"/>
                <w:szCs w:val="20"/>
                <w:rtl w:val="0"/>
              </w:rPr>
              <w:t xml:space="preserve">Confidence Score</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color w:val="000000"/>
                <w:sz w:val="20"/>
                <w:szCs w:val="20"/>
                <w:rtl w:val="0"/>
              </w:rPr>
              <w:t xml:space="preserve">The 0–100% value attached to a Recommendation Agent output, indicating estimated confidence in that recommendation.</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color w:val="000000"/>
                <w:sz w:val="20"/>
                <w:szCs w:val="20"/>
                <w:rtl w:val="0"/>
              </w:rPr>
              <w:t xml:space="preserve">Disruption Event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color w:val="000000"/>
                <w:sz w:val="20"/>
                <w:szCs w:val="20"/>
                <w:rtl w:val="0"/>
              </w:rPr>
              <w:t xml:space="preserve">A recorded occurrence (e.g., late shipment, supplier failure, adverse weather on a route) that triggers risk scoring and, where thresholds are exceeded, a recommendation.</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rPr/>
      </w:pPr>
      <w:bookmarkStart w:colFirst="0" w:colLast="0" w:name="_intxta3mt2kt" w:id="4"/>
      <w:bookmarkEnd w:id="4"/>
      <w:r w:rsidDel="00000000" w:rsidR="00000000" w:rsidRPr="00000000">
        <w:rPr>
          <w:rtl w:val="0"/>
        </w:rPr>
        <w:t xml:space="preserve">Appendix B: Analysis Models</w:t>
      </w:r>
    </w:p>
    <w:p w:rsidR="00000000" w:rsidDel="00000000" w:rsidP="00000000" w:rsidRDefault="00000000" w:rsidRPr="00000000" w14:paraId="0000016D">
      <w:pPr>
        <w:pStyle w:val="Heading2"/>
        <w:rPr/>
      </w:pPr>
      <w:r w:rsidDel="00000000" w:rsidR="00000000" w:rsidRPr="00000000">
        <w:rPr>
          <w:rtl w:val="0"/>
        </w:rPr>
        <w:t xml:space="preserve">B.1 Architecture Overview</w:t>
      </w:r>
      <w:r w:rsidDel="00000000" w:rsidR="00000000" w:rsidRPr="00000000">
        <w:rPr>
          <w:rtl w:val="0"/>
        </w:rPr>
      </w:r>
    </w:p>
    <w:p w:rsidR="00000000" w:rsidDel="00000000" w:rsidP="00000000" w:rsidRDefault="00000000" w:rsidRPr="00000000" w14:paraId="0000016E">
      <w:pPr>
        <w:spacing w:after="160" w:line="276" w:lineRule="auto"/>
        <w:jc w:val="both"/>
        <w:rPr/>
      </w:pPr>
      <w:r w:rsidDel="00000000" w:rsidR="00000000" w:rsidRPr="00000000">
        <w:rPr>
          <w:rFonts w:ascii="Times New Roman" w:cs="Times New Roman" w:eastAsia="Times New Roman" w:hAnsi="Times New Roman"/>
          <w:color w:val="000000"/>
          <w:rtl w:val="0"/>
        </w:rPr>
        <w:t xml:space="preserve">SupplyTwinAI's architecture, consistent with Section 2.1, flows as follows: the DataCo dataset and the live simulation module feed an ETL pipeline that cleans and unifies records into a 9-table PostgreSQL schema; a Neo4j knowledge graph (5 relation types) is built and kept synchronized from that schema; a GraphRAG retrieval layer grounds all LLM calls in this graph; six LangGraph-orchestrated agents (Supplier, Shipment, Inventory, External Intelligence, Risk, Recommendation) consume graph context plus external weather/news feeds to produce risk scores and recommendations; results are delivered to the Manager Dashboard, the Digital Twin graph view, the AI Assistant, and the Recommendation Center.</w:t>
      </w: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B.2 Use Case Diagram</w:t>
      </w:r>
      <w:r w:rsidDel="00000000" w:rsidR="00000000" w:rsidRPr="00000000">
        <w:rPr>
          <w:rtl w:val="0"/>
        </w:rPr>
      </w:r>
    </w:p>
    <w:p w:rsidR="00000000" w:rsidDel="00000000" w:rsidP="00000000" w:rsidRDefault="00000000" w:rsidRPr="00000000" w14:paraId="00000170">
      <w:pPr>
        <w:jc w:val="center"/>
        <w:rPr/>
      </w:pPr>
      <w:r w:rsidDel="00000000" w:rsidR="00000000" w:rsidRPr="00000000">
        <w:rPr/>
        <w:drawing>
          <wp:inline distB="0" distT="0" distL="114300" distR="114300">
            <wp:extent cx="5486400" cy="3657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i w:val="1"/>
          <w:iCs w:val="1"/>
          <w:color w:val="000000"/>
          <w:sz w:val="18"/>
          <w:szCs w:val="18"/>
          <w:rtl w:val="0"/>
        </w:rPr>
        <w:t xml:space="preserve">Figure: Use Case Diagram</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160" w:line="276" w:lineRule="auto"/>
        <w:jc w:val="both"/>
        <w:rPr/>
      </w:pPr>
      <w:r w:rsidDel="00000000" w:rsidR="00000000" w:rsidRPr="00000000">
        <w:rPr>
          <w:rFonts w:ascii="Times New Roman" w:cs="Times New Roman" w:eastAsia="Times New Roman" w:hAnsi="Times New Roman"/>
          <w:b w:val="1"/>
          <w:bCs w:val="1"/>
          <w:color w:val="000000"/>
          <w:rtl w:val="0"/>
        </w:rPr>
        <w:t xml:space="preserve">Actors:</w:t>
      </w:r>
      <w:r w:rsidDel="00000000" w:rsidR="00000000" w:rsidRPr="00000000">
        <w:rPr>
          <w:rFonts w:ascii="Times New Roman" w:cs="Times New Roman" w:eastAsia="Times New Roman" w:hAnsi="Times New Roman"/>
          <w:color w:val="000000"/>
          <w:rtl w:val="0"/>
        </w:rPr>
        <w:t xml:space="preserve"> Supply Chain Manager and System Administrator (primary human actors); Weather API, News API, and the ETL System (external/internal system actors).</w:t>
      </w:r>
      <w:r w:rsidDel="00000000" w:rsidR="00000000" w:rsidRPr="00000000">
        <w:rPr>
          <w:rtl w:val="0"/>
        </w:rPr>
      </w:r>
    </w:p>
    <w:tbl>
      <w:tblPr>
        <w:tblStyle w:val="Table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1"/>
                <w:bCs w:val="1"/>
                <w:color w:val="000000"/>
                <w:sz w:val="20"/>
                <w:szCs w:val="20"/>
                <w:rtl w:val="0"/>
              </w:rPr>
              <w:t xml:space="preserve">UC-ID</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1"/>
                <w:bCs w:val="1"/>
                <w:color w:val="000000"/>
                <w:sz w:val="20"/>
                <w:szCs w:val="20"/>
                <w:rtl w:val="0"/>
              </w:rPr>
              <w:t xml:space="preserve">Use Case</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1"/>
                <w:bCs w:val="1"/>
                <w:color w:val="000000"/>
                <w:sz w:val="20"/>
                <w:szCs w:val="20"/>
                <w:rtl w:val="0"/>
              </w:rPr>
              <w:t xml:space="preserve">Primary Actor</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1"/>
                <w:bCs w:val="1"/>
                <w:color w:val="000000"/>
                <w:sz w:val="20"/>
                <w:szCs w:val="20"/>
                <w:rtl w:val="0"/>
              </w:rPr>
              <w:t xml:space="preserve">Brief Description</w:t>
            </w: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color w:val="000000"/>
                <w:sz w:val="20"/>
                <w:szCs w:val="20"/>
                <w:rtl w:val="0"/>
              </w:rPr>
              <w:t xml:space="preserve">UC-01</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color w:val="000000"/>
                <w:sz w:val="20"/>
                <w:szCs w:val="20"/>
                <w:rtl w:val="0"/>
              </w:rPr>
              <w:t xml:space="preserve">View Dashboard (Real-Time Overview)</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color w:val="000000"/>
                <w:sz w:val="20"/>
                <w:szCs w:val="20"/>
                <w:rtl w:val="0"/>
              </w:rPr>
              <w:t xml:space="preserve">Supply Chain Manager</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color w:val="000000"/>
                <w:sz w:val="20"/>
                <w:szCs w:val="20"/>
                <w:rtl w:val="0"/>
              </w:rPr>
              <w:t xml:space="preserve">Views live KPIs — active shipments, at-risk count, risk distribution, pending recommendations (Section 4.7).</w:t>
            </w: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color w:val="000000"/>
                <w:sz w:val="20"/>
                <w:szCs w:val="20"/>
                <w:rtl w:val="0"/>
              </w:rPr>
              <w:t xml:space="preserve">UC-02</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color w:val="000000"/>
                <w:sz w:val="20"/>
                <w:szCs w:val="20"/>
                <w:rtl w:val="0"/>
              </w:rPr>
              <w:t xml:space="preserve">Monitor Shipments &amp; Track Orders</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color w:val="000000"/>
                <w:sz w:val="20"/>
                <w:szCs w:val="20"/>
                <w:rtl w:val="0"/>
              </w:rPr>
              <w:t xml:space="preserve">Supply Chain Manager</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color w:val="000000"/>
                <w:sz w:val="20"/>
                <w:szCs w:val="20"/>
                <w:rtl w:val="0"/>
              </w:rPr>
              <w:t xml:space="preserve">Views shipment-level status, current location, and ETA for in-transit orders (Section 4.4).</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color w:val="000000"/>
                <w:sz w:val="20"/>
                <w:szCs w:val="20"/>
                <w:rtl w:val="0"/>
              </w:rPr>
              <w:t xml:space="preserve">UC-03</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color w:val="000000"/>
                <w:sz w:val="20"/>
                <w:szCs w:val="20"/>
                <w:rtl w:val="0"/>
              </w:rPr>
              <w:t xml:space="preserve">Track Inventory &amp; Stock Levels</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color w:val="000000"/>
                <w:sz w:val="20"/>
                <w:szCs w:val="20"/>
                <w:rtl w:val="0"/>
              </w:rPr>
              <w:t xml:space="preserve">Supply Chain Manager</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color w:val="000000"/>
                <w:sz w:val="20"/>
                <w:szCs w:val="20"/>
                <w:rtl w:val="0"/>
              </w:rPr>
              <w:t xml:space="preserve">Views current stock levels against reorder points and active reorder alerts (Section 4.4).</w:t>
            </w: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color w:val="000000"/>
                <w:sz w:val="20"/>
                <w:szCs w:val="20"/>
                <w:rtl w:val="0"/>
              </w:rPr>
              <w:t xml:space="preserve">UC-04</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color w:val="000000"/>
                <w:sz w:val="20"/>
                <w:szCs w:val="20"/>
                <w:rtl w:val="0"/>
              </w:rPr>
              <w:t xml:space="preserve">View Risk Analysis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color w:val="000000"/>
                <w:sz w:val="20"/>
                <w:szCs w:val="20"/>
                <w:rtl w:val="0"/>
              </w:rPr>
              <w:t xml:space="preserve">Supply Chain Manager</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color w:val="000000"/>
                <w:sz w:val="20"/>
                <w:szCs w:val="20"/>
                <w:rtl w:val="0"/>
              </w:rPr>
              <w:t xml:space="preserve">Views the composite risk score and contributing factors for a selected supplier or shipment; includes UC-11.</w:t>
            </w:r>
            <w:r w:rsidDel="00000000" w:rsidR="00000000" w:rsidRPr="00000000">
              <w:rPr>
                <w:rtl w:val="0"/>
              </w:rPr>
            </w:r>
          </w:p>
        </w:tc>
      </w:tr>
      <w:tr>
        <w:trPr>
          <w:cantSplit w:val="0"/>
          <w:tblHeader w:val="0"/>
        </w:trPr>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color w:val="000000"/>
                <w:sz w:val="20"/>
                <w:szCs w:val="20"/>
                <w:rtl w:val="0"/>
              </w:rPr>
              <w:t xml:space="preserve">UC-05</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color w:val="000000"/>
                <w:sz w:val="20"/>
                <w:szCs w:val="20"/>
                <w:rtl w:val="0"/>
              </w:rPr>
              <w:t xml:space="preserve">Ask AI Assistant (Natural-Language Query)</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color w:val="000000"/>
                <w:sz w:val="20"/>
                <w:szCs w:val="20"/>
                <w:rtl w:val="0"/>
              </w:rPr>
              <w:t xml:space="preserve">Supply Chain Manager</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color w:val="000000"/>
                <w:sz w:val="20"/>
                <w:szCs w:val="20"/>
                <w:rtl w:val="0"/>
              </w:rPr>
              <w:t xml:space="preserve">Submits a free-text question and receives a grounded natural-language answer; includes UC-11 and UC-14.</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color w:val="000000"/>
                <w:sz w:val="20"/>
                <w:szCs w:val="20"/>
                <w:rtl w:val="0"/>
              </w:rPr>
              <w:t xml:space="preserve">UC-06</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color w:val="000000"/>
                <w:sz w:val="20"/>
                <w:szCs w:val="20"/>
                <w:rtl w:val="0"/>
              </w:rPr>
              <w:t xml:space="preserve">Get Mitigation Recommendations</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color w:val="000000"/>
                <w:sz w:val="20"/>
                <w:szCs w:val="20"/>
                <w:rtl w:val="0"/>
              </w:rPr>
              <w:t xml:space="preserve">Supply Chain Manager</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color w:val="000000"/>
                <w:sz w:val="20"/>
                <w:szCs w:val="20"/>
                <w:rtl w:val="0"/>
              </w:rPr>
              <w:t xml:space="preserve">Views system-generated mitigation options for an at-risk entity; includes UC-12.</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color w:val="000000"/>
                <w:sz w:val="20"/>
                <w:szCs w:val="20"/>
                <w:rtl w:val="0"/>
              </w:rPr>
              <w:t xml:space="preserve">UC-07</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color w:val="000000"/>
                <w:sz w:val="20"/>
                <w:szCs w:val="20"/>
                <w:rtl w:val="0"/>
              </w:rPr>
              <w:t xml:space="preserve">View Digital Twin (Network Visualization)</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color w:val="000000"/>
                <w:sz w:val="20"/>
                <w:szCs w:val="20"/>
                <w:rtl w:val="0"/>
              </w:rPr>
              <w:t xml:space="preserve">Supply Chain Manager</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color w:val="000000"/>
                <w:sz w:val="20"/>
                <w:szCs w:val="20"/>
                <w:rtl w:val="0"/>
              </w:rPr>
              <w:t xml:space="preserve">Explores the interactive graph view of suppliers, shipments, and inventory (Section 4.7).</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color w:val="000000"/>
                <w:sz w:val="20"/>
                <w:szCs w:val="20"/>
                <w:rtl w:val="0"/>
              </w:rPr>
              <w:t xml:space="preserve">UC-08</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color w:val="000000"/>
                <w:sz w:val="20"/>
                <w:szCs w:val="20"/>
                <w:rtl w:val="0"/>
              </w:rPr>
              <w:t xml:space="preserve">Manage Supply Chain Data</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color w:val="000000"/>
                <w:sz w:val="20"/>
                <w:szCs w:val="20"/>
                <w:rtl w:val="0"/>
              </w:rPr>
              <w:t xml:space="preserve">System Administrator</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color w:val="000000"/>
                <w:sz w:val="20"/>
                <w:szCs w:val="20"/>
                <w:rtl w:val="0"/>
              </w:rPr>
              <w:t xml:space="preserve">Triggers and monitors ETL import runs; includes UC-15.</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color w:val="000000"/>
                <w:sz w:val="20"/>
                <w:szCs w:val="20"/>
                <w:rtl w:val="0"/>
              </w:rPr>
              <w:t xml:space="preserve">UC-09</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color w:val="000000"/>
                <w:sz w:val="20"/>
                <w:szCs w:val="20"/>
                <w:rtl w:val="0"/>
              </w:rPr>
              <w:t xml:space="preserve">Configure Agents</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color w:val="000000"/>
                <w:sz w:val="20"/>
                <w:szCs w:val="20"/>
                <w:rtl w:val="0"/>
              </w:rPr>
              <w:t xml:space="preserve">System Administrator</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color w:val="000000"/>
                <w:sz w:val="20"/>
                <w:szCs w:val="20"/>
                <w:rtl w:val="0"/>
              </w:rPr>
              <w:t xml:space="preserve">Views and edits agent thresholds and Risk Agent score weights (Section 4.9).</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color w:val="000000"/>
                <w:sz w:val="20"/>
                <w:szCs w:val="20"/>
                <w:rtl w:val="0"/>
              </w:rPr>
              <w:t xml:space="preserve">UC-10</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color w:val="000000"/>
                <w:sz w:val="20"/>
                <w:szCs w:val="20"/>
                <w:rtl w:val="0"/>
              </w:rPr>
              <w:t xml:space="preserve">Generate Reports</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color w:val="000000"/>
                <w:sz w:val="20"/>
                <w:szCs w:val="20"/>
                <w:rtl w:val="0"/>
              </w:rPr>
              <w:t xml:space="preserve">System Administrator</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color w:val="000000"/>
                <w:sz w:val="20"/>
                <w:szCs w:val="20"/>
                <w:rtl w:val="0"/>
              </w:rPr>
              <w:t xml:space="preserve">Generates a date-ranged summary report of disruptions, recommendations, and outcomes (Section 4.9).</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color w:val="000000"/>
                <w:sz w:val="20"/>
                <w:szCs w:val="20"/>
                <w:rtl w:val="0"/>
              </w:rPr>
              <w:t xml:space="preserve">UC-11</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color w:val="000000"/>
                <w:sz w:val="20"/>
                <w:szCs w:val="20"/>
                <w:rtl w:val="0"/>
              </w:rPr>
              <w:t xml:space="preserve">Retrieve Knowledge Graph Context (GraphRAG)</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color w:val="000000"/>
                <w:sz w:val="20"/>
                <w:szCs w:val="20"/>
                <w:rtl w:val="0"/>
              </w:rPr>
              <w:t xml:space="preserve">System (internal)</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color w:val="000000"/>
                <w:sz w:val="20"/>
                <w:szCs w:val="20"/>
                <w:rtl w:val="0"/>
              </w:rPr>
              <w:t xml:space="preserve">Retrieves graph-grounded context from Neo4j to condition a downstream LLM call (Section 4.3).</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color w:val="000000"/>
                <w:sz w:val="20"/>
                <w:szCs w:val="20"/>
                <w:rtl w:val="0"/>
              </w:rPr>
              <w:t xml:space="preserve">UC-12</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color w:val="000000"/>
                <w:sz w:val="20"/>
                <w:szCs w:val="20"/>
                <w:rtl w:val="0"/>
              </w:rPr>
              <w:t xml:space="preserve">Analyze Risk (Multi-Agent Analysis)</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color w:val="000000"/>
                <w:sz w:val="20"/>
                <w:szCs w:val="20"/>
                <w:rtl w:val="0"/>
              </w:rPr>
              <w:t xml:space="preserve">System (internal)</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color w:val="000000"/>
                <w:sz w:val="20"/>
                <w:szCs w:val="20"/>
                <w:rtl w:val="0"/>
              </w:rPr>
              <w:t xml:space="preserve">Combines Supplier, Shipment, Inventory, and External Intelligence signals into a composite risk score; includes UC-13.</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color w:val="000000"/>
                <w:sz w:val="20"/>
                <w:szCs w:val="20"/>
                <w:rtl w:val="0"/>
              </w:rPr>
              <w:t xml:space="preserve">UC-13</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color w:val="000000"/>
                <w:sz w:val="20"/>
                <w:szCs w:val="20"/>
                <w:rtl w:val="0"/>
              </w:rPr>
              <w:t xml:space="preserve">Generate Recommendations</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color w:val="000000"/>
                <w:sz w:val="20"/>
                <w:szCs w:val="20"/>
                <w:rtl w:val="0"/>
              </w:rPr>
              <w:t xml:space="preserve">System (internal)</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color w:val="000000"/>
                <w:sz w:val="20"/>
                <w:szCs w:val="20"/>
                <w:rtl w:val="0"/>
              </w:rPr>
              <w:t xml:space="preserve">Produces a mitigation action, confidence score, and justification for a risk-flagged entity (Section 4.4).</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color w:val="000000"/>
                <w:sz w:val="20"/>
                <w:szCs w:val="20"/>
                <w:rtl w:val="0"/>
              </w:rPr>
              <w:t xml:space="preserve">UC-14</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color w:val="000000"/>
                <w:sz w:val="20"/>
                <w:szCs w:val="20"/>
                <w:rtl w:val="0"/>
              </w:rPr>
              <w:t xml:space="preserve">Persist Disruption History (Learning Memory)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color w:val="000000"/>
                <w:sz w:val="20"/>
                <w:szCs w:val="20"/>
                <w:rtl w:val="0"/>
              </w:rPr>
              <w:t xml:space="preserve">System (internal)</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color w:val="000000"/>
                <w:sz w:val="20"/>
                <w:szCs w:val="20"/>
                <w:rtl w:val="0"/>
              </w:rPr>
              <w:t xml:space="preserve">Stores the disruption event, risk score, recommendation, and eventual manager decision (Section 4.5).</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color w:val="000000"/>
                <w:sz w:val="20"/>
                <w:szCs w:val="20"/>
                <w:rtl w:val="0"/>
              </w:rPr>
              <w:t xml:space="preserve">UC-15</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color w:val="000000"/>
                <w:sz w:val="20"/>
                <w:szCs w:val="20"/>
                <w:rtl w:val="0"/>
              </w:rPr>
              <w:t xml:space="preserve">Import Supply Chain Data (ETL)</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color w:val="000000"/>
                <w:sz w:val="20"/>
                <w:szCs w:val="20"/>
                <w:rtl w:val="0"/>
              </w:rPr>
              <w:t xml:space="preserve">External/Internal (ETL System)</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color w:val="000000"/>
                <w:sz w:val="20"/>
                <w:szCs w:val="20"/>
                <w:rtl w:val="0"/>
              </w:rPr>
              <w:t xml:space="preserve">Extracts, cleans, and loads DataCo dataset and simulated event records into PostgreSQL (Section 4.1).</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B.3 Sequence Diagram — Disruption Detection &amp; Recommendation Flow</w:t>
      </w:r>
      <w:r w:rsidDel="00000000" w:rsidR="00000000" w:rsidRPr="00000000">
        <w:rPr>
          <w:rtl w:val="0"/>
        </w:rPr>
      </w:r>
    </w:p>
    <w:p w:rsidR="00000000" w:rsidDel="00000000" w:rsidP="00000000" w:rsidRDefault="00000000" w:rsidRPr="00000000" w14:paraId="000001B6">
      <w:pPr>
        <w:jc w:val="center"/>
        <w:rPr/>
      </w:pPr>
      <w:r w:rsidDel="00000000" w:rsidR="00000000" w:rsidRPr="00000000">
        <w:rPr/>
        <w:drawing>
          <wp:inline distB="0" distT="0" distL="114300" distR="114300">
            <wp:extent cx="5486400" cy="51435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4864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i w:val="1"/>
          <w:iCs w:val="1"/>
          <w:color w:val="000000"/>
          <w:sz w:val="18"/>
          <w:szCs w:val="18"/>
          <w:rtl w:val="0"/>
        </w:rPr>
        <w:t xml:space="preserve">Figure: Sequence Diagram</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160" w:line="276" w:lineRule="auto"/>
        <w:jc w:val="both"/>
        <w:rPr/>
      </w:pPr>
      <w:r w:rsidDel="00000000" w:rsidR="00000000" w:rsidRPr="00000000">
        <w:rPr>
          <w:rFonts w:ascii="Times New Roman" w:cs="Times New Roman" w:eastAsia="Times New Roman" w:hAnsi="Times New Roman"/>
          <w:color w:val="000000"/>
          <w:rtl w:val="0"/>
        </w:rPr>
        <w:t xml:space="preserve">This diagram traces the flow underlying UC-04, UC-05, and UC-06: an external signal (or a manager's natural-language question) triggers the External Intelligence Agent or Backend API, which invokes the Risk Agent; the Risk Agent queries the knowledge graph for affected entities, computes a risk score, and requests mitigation from the Recommendation Agent; GraphRAG retrieves grounded context from Neo4j before the Gemini call; the resulting recommendation and confidence score are stored (Section 4.5) and pushed to the Manager Dashboard over WebSocket (Section 3.4).</w:t>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B.4 Class Diagram</w:t>
      </w:r>
      <w:r w:rsidDel="00000000" w:rsidR="00000000" w:rsidRPr="00000000">
        <w:rPr>
          <w:rtl w:val="0"/>
        </w:rPr>
      </w:r>
    </w:p>
    <w:p w:rsidR="00000000" w:rsidDel="00000000" w:rsidP="00000000" w:rsidRDefault="00000000" w:rsidRPr="00000000" w14:paraId="000001BB">
      <w:pPr>
        <w:jc w:val="center"/>
        <w:rPr/>
      </w:pPr>
      <w:r w:rsidDel="00000000" w:rsidR="00000000" w:rsidRPr="00000000">
        <w:rPr/>
        <w:drawing>
          <wp:inline distB="0" distT="0" distL="114300" distR="114300">
            <wp:extent cx="5486400" cy="302614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486400" cy="302614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i w:val="1"/>
          <w:iCs w:val="1"/>
          <w:color w:val="000000"/>
          <w:sz w:val="18"/>
          <w:szCs w:val="18"/>
          <w:rtl w:val="0"/>
        </w:rPr>
        <w:t xml:space="preserve">Figure: Class Diagram</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rFonts w:ascii="Times" w:cs="Times" w:eastAsia="Times" w:hAnsi="Times"/>
        </w:rPr>
      </w:pPr>
      <w:r w:rsidDel="00000000" w:rsidR="00000000" w:rsidRPr="00000000">
        <w:rPr>
          <w:rFonts w:ascii="Times" w:cs="Times" w:eastAsia="Times" w:hAnsi="Times"/>
          <w:rtl w:val="0"/>
        </w:rPr>
        <w:t xml:space="preserve">This diagram models the core domain entities and their relationships. Domain classes (Supplier, Shipment, Product, Order, InventoryItem, DisruptionEvent, Recommendation) hold the persistent state tracked in PostgreSQL. Six concrete agents (SupplierAgent, ShipmentAgent, InventoryAgent, ExternalIntelligenceAgent, RiskAgent, RecommendationAgent) inherit from an abstract Agent base class defining </w:t>
      </w:r>
      <w:r w:rsidDel="00000000" w:rsidR="00000000" w:rsidRPr="00000000">
        <w:rPr>
          <w:rFonts w:ascii="Times" w:cs="Times" w:eastAsia="Times" w:hAnsi="Times"/>
          <w:rtl w:val="0"/>
        </w:rPr>
        <w:t xml:space="preserve">agentId</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name</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status</w:t>
      </w:r>
      <w:r w:rsidDel="00000000" w:rsidR="00000000" w:rsidRPr="00000000">
        <w:rPr>
          <w:rFonts w:ascii="Times" w:cs="Times" w:eastAsia="Times" w:hAnsi="Times"/>
          <w:rtl w:val="0"/>
        </w:rPr>
        <w:t xml:space="preserve">, </w:t>
      </w:r>
      <w:r w:rsidDel="00000000" w:rsidR="00000000" w:rsidRPr="00000000">
        <w:rPr>
          <w:rFonts w:ascii="Times" w:cs="Times" w:eastAsia="Times" w:hAnsi="Times"/>
          <w:rtl w:val="0"/>
        </w:rPr>
        <w:t xml:space="preserve">run(context)</w:t>
      </w:r>
      <w:r w:rsidDel="00000000" w:rsidR="00000000" w:rsidRPr="00000000">
        <w:rPr>
          <w:rFonts w:ascii="Times" w:cs="Times" w:eastAsia="Times" w:hAnsi="Times"/>
          <w:rtl w:val="0"/>
        </w:rPr>
        <w:t xml:space="preserve">, and </w:t>
      </w:r>
      <w:r w:rsidDel="00000000" w:rsidR="00000000" w:rsidRPr="00000000">
        <w:rPr>
          <w:rFonts w:ascii="Times" w:cs="Times" w:eastAsia="Times" w:hAnsi="Times"/>
          <w:rtl w:val="0"/>
        </w:rPr>
        <w:t xml:space="preserve">report()</w:t>
      </w:r>
      <w:r w:rsidDel="00000000" w:rsidR="00000000" w:rsidRPr="00000000">
        <w:rPr>
          <w:rFonts w:ascii="Times" w:cs="Times" w:eastAsia="Times" w:hAnsi="Times"/>
          <w:rtl w:val="0"/>
        </w:rPr>
        <w:t xml:space="preserve">; each agent evaluates, tracks, monitors, signals, or creates the domain entity it is responsible for (e.g., SupplierAgent evaluates Supplier, RiskAgent signals DisruptionEvent, RecommendationAgent creates Recommendation). AgentOrchestrator (the LangGraph layer) is composed of one-to-many Agent instances and routes tasks between them via </w:t>
      </w:r>
      <w:r w:rsidDel="00000000" w:rsidR="00000000" w:rsidRPr="00000000">
        <w:rPr>
          <w:rFonts w:ascii="Times" w:cs="Times" w:eastAsia="Times" w:hAnsi="Times"/>
          <w:rtl w:val="0"/>
        </w:rPr>
        <w:t xml:space="preserve">orchestrate(event)</w:t>
      </w:r>
      <w:r w:rsidDel="00000000" w:rsidR="00000000" w:rsidRPr="00000000">
        <w:rPr>
          <w:rFonts w:ascii="Times" w:cs="Times" w:eastAsia="Times" w:hAnsi="Times"/>
          <w:rtl w:val="0"/>
        </w:rPr>
        <w:t xml:space="preserve"> and </w:t>
      </w:r>
      <w:r w:rsidDel="00000000" w:rsidR="00000000" w:rsidRPr="00000000">
        <w:rPr>
          <w:rFonts w:ascii="Times" w:cs="Times" w:eastAsia="Times" w:hAnsi="Times"/>
          <w:rtl w:val="0"/>
        </w:rPr>
        <w:t xml:space="preserve">routeToAgent(task)</w:t>
      </w:r>
      <w:r w:rsidDel="00000000" w:rsidR="00000000" w:rsidRPr="00000000">
        <w:rPr>
          <w:rFonts w:ascii="Times" w:cs="Times" w:eastAsia="Times" w:hAnsi="Times"/>
          <w:rtl w:val="0"/>
        </w:rPr>
        <w:t xml:space="preserve">. Supporting service classes — KnowledgeGraphService (Neo4j), GraphRAGRetriever, LLMReasoningEngine (Gemini), and PersistentMemory — are used by the RiskAgent and RecommendationAgent to query the knowledge graph, retrieve grounded context, generate LLM responses, and store disruption history (Section 4.5), respectively.</w:t>
      </w:r>
    </w:p>
    <w:p w:rsidR="00000000" w:rsidDel="00000000" w:rsidP="00000000" w:rsidRDefault="00000000" w:rsidRPr="00000000" w14:paraId="000001BF">
      <w:pPr>
        <w:rPr>
          <w:rFonts w:ascii="Times" w:cs="Times" w:eastAsia="Times" w:hAnsi="Times"/>
        </w:rPr>
      </w:pPr>
      <w:r w:rsidDel="00000000" w:rsidR="00000000" w:rsidRPr="00000000">
        <w:rPr>
          <w:rtl w:val="0"/>
        </w:rPr>
      </w:r>
    </w:p>
    <w:p w:rsidR="00000000" w:rsidDel="00000000" w:rsidP="00000000" w:rsidRDefault="00000000" w:rsidRPr="00000000" w14:paraId="000001C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Appendix C: To Be Determined (TBD) List</w:t>
      </w:r>
      <w:r w:rsidDel="00000000" w:rsidR="00000000" w:rsidRPr="00000000">
        <w:rPr>
          <w:rtl w:val="0"/>
        </w:rPr>
      </w:r>
    </w:p>
    <w:p w:rsidR="00000000" w:rsidDel="00000000" w:rsidP="00000000" w:rsidRDefault="00000000" w:rsidRPr="00000000" w14:paraId="000001C3">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1.</w:t>
        <w:tab/>
      </w:r>
      <w:r w:rsidDel="00000000" w:rsidR="00000000" w:rsidRPr="00000000">
        <w:rPr>
          <w:rFonts w:ascii="Times New Roman" w:cs="Times New Roman" w:eastAsia="Times New Roman" w:hAnsi="Times New Roman"/>
          <w:b w:val="1"/>
          <w:bCs w:val="1"/>
          <w:color w:val="000000"/>
          <w:rtl w:val="0"/>
        </w:rPr>
        <w:t xml:space="preserve">Risk Score Weights</w:t>
      </w:r>
      <w:r w:rsidDel="00000000" w:rsidR="00000000" w:rsidRPr="00000000">
        <w:rPr>
          <w:rFonts w:ascii="Times New Roman" w:cs="Times New Roman" w:eastAsia="Times New Roman" w:hAnsi="Times New Roman"/>
          <w:color w:val="000000"/>
          <w:rtl w:val="0"/>
        </w:rPr>
        <w:t xml:space="preserve"> – Final numeric values for the Risk Agent's composite score weights (supplier reliability, shipment delay, inventory buffer, external severity); to be tuned empirically once real agent output is available (Section 4.4, REQ-6/REQ-7).</w:t>
      </w:r>
      <w:r w:rsidDel="00000000" w:rsidR="00000000" w:rsidRPr="00000000">
        <w:rPr>
          <w:rtl w:val="0"/>
        </w:rPr>
      </w:r>
    </w:p>
    <w:p w:rsidR="00000000" w:rsidDel="00000000" w:rsidP="00000000" w:rsidRDefault="00000000" w:rsidRPr="00000000" w14:paraId="000001C4">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2.</w:t>
        <w:tab/>
      </w:r>
      <w:r w:rsidDel="00000000" w:rsidR="00000000" w:rsidRPr="00000000">
        <w:rPr>
          <w:rFonts w:ascii="Times New Roman" w:cs="Times New Roman" w:eastAsia="Times New Roman" w:hAnsi="Times New Roman"/>
          <w:b w:val="1"/>
          <w:bCs w:val="1"/>
          <w:color w:val="000000"/>
          <w:rtl w:val="0"/>
        </w:rPr>
        <w:t xml:space="preserve">Risk Thresholds</w:t>
      </w:r>
      <w:r w:rsidDel="00000000" w:rsidR="00000000" w:rsidRPr="00000000">
        <w:rPr>
          <w:rFonts w:ascii="Times New Roman" w:cs="Times New Roman" w:eastAsia="Times New Roman" w:hAnsi="Times New Roman"/>
          <w:color w:val="000000"/>
          <w:rtl w:val="0"/>
        </w:rPr>
        <w:t xml:space="preserve"> – Exact composite risk score thresholds separating Low/Medium/High, and the alert threshold that triggers recommendation generation (Section 4.4, REQ-6/REQ-8).</w:t>
      </w:r>
      <w:r w:rsidDel="00000000" w:rsidR="00000000" w:rsidRPr="00000000">
        <w:rPr>
          <w:rtl w:val="0"/>
        </w:rPr>
      </w:r>
    </w:p>
    <w:p w:rsidR="00000000" w:rsidDel="00000000" w:rsidP="00000000" w:rsidRDefault="00000000" w:rsidRPr="00000000" w14:paraId="000001C5">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3.</w:t>
        <w:tab/>
      </w:r>
      <w:r w:rsidDel="00000000" w:rsidR="00000000" w:rsidRPr="00000000">
        <w:rPr>
          <w:rFonts w:ascii="Times New Roman" w:cs="Times New Roman" w:eastAsia="Times New Roman" w:hAnsi="Times New Roman"/>
          <w:b w:val="1"/>
          <w:bCs w:val="1"/>
          <w:color w:val="000000"/>
          <w:rtl w:val="0"/>
        </w:rPr>
        <w:t xml:space="preserve">Concurrent User Target</w:t>
      </w:r>
      <w:r w:rsidDel="00000000" w:rsidR="00000000" w:rsidRPr="00000000">
        <w:rPr>
          <w:rFonts w:ascii="Times New Roman" w:cs="Times New Roman" w:eastAsia="Times New Roman" w:hAnsi="Times New Roman"/>
          <w:color w:val="000000"/>
          <w:rtl w:val="0"/>
        </w:rPr>
        <w:t xml:space="preserve"> – Whether the demo baseline of 5 concurrent users should be raised if the system is demonstrated to a larger evaluation panel (Section 5.1, NFR-P4).</w:t>
      </w:r>
      <w:r w:rsidDel="00000000" w:rsidR="00000000" w:rsidRPr="00000000">
        <w:rPr>
          <w:rtl w:val="0"/>
        </w:rPr>
      </w:r>
    </w:p>
    <w:p w:rsidR="00000000" w:rsidDel="00000000" w:rsidP="00000000" w:rsidRDefault="00000000" w:rsidRPr="00000000" w14:paraId="000001C6">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4.</w:t>
        <w:tab/>
      </w:r>
      <w:r w:rsidDel="00000000" w:rsidR="00000000" w:rsidRPr="00000000">
        <w:rPr>
          <w:rFonts w:ascii="Times New Roman" w:cs="Times New Roman" w:eastAsia="Times New Roman" w:hAnsi="Times New Roman"/>
          <w:b w:val="1"/>
          <w:bCs w:val="1"/>
          <w:color w:val="000000"/>
          <w:rtl w:val="0"/>
        </w:rPr>
        <w:t xml:space="preserve">Report Export Format</w:t>
      </w:r>
      <w:r w:rsidDel="00000000" w:rsidR="00000000" w:rsidRPr="00000000">
        <w:rPr>
          <w:rFonts w:ascii="Times New Roman" w:cs="Times New Roman" w:eastAsia="Times New Roman" w:hAnsi="Times New Roman"/>
          <w:color w:val="000000"/>
          <w:rtl w:val="0"/>
        </w:rPr>
        <w:t xml:space="preserve"> – Whether Admin report export ships as CSV only, PDF only, or both (Section 4.9, REQ-3).</w:t>
      </w:r>
      <w:r w:rsidDel="00000000" w:rsidR="00000000" w:rsidRPr="00000000">
        <w:rPr>
          <w:rtl w:val="0"/>
        </w:rPr>
      </w:r>
    </w:p>
    <w:p w:rsidR="00000000" w:rsidDel="00000000" w:rsidP="00000000" w:rsidRDefault="00000000" w:rsidRPr="00000000" w14:paraId="000001C7">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5.</w:t>
        <w:tab/>
      </w:r>
      <w:r w:rsidDel="00000000" w:rsidR="00000000" w:rsidRPr="00000000">
        <w:rPr>
          <w:rFonts w:ascii="Times New Roman" w:cs="Times New Roman" w:eastAsia="Times New Roman" w:hAnsi="Times New Roman"/>
          <w:b w:val="1"/>
          <w:bCs w:val="1"/>
          <w:color w:val="000000"/>
          <w:rtl w:val="0"/>
        </w:rPr>
        <w:t xml:space="preserve">Hosting Quota Limits</w:t>
      </w:r>
      <w:r w:rsidDel="00000000" w:rsidR="00000000" w:rsidRPr="00000000">
        <w:rPr>
          <w:rFonts w:ascii="Times New Roman" w:cs="Times New Roman" w:eastAsia="Times New Roman" w:hAnsi="Times New Roman"/>
          <w:color w:val="000000"/>
          <w:rtl w:val="0"/>
        </w:rPr>
        <w:t xml:space="preserve"> – Final free-tier quota limits for Supabase and Neo4j Aura, to be confirmed once actual data volume and query load are measured during development (Section 2.7).</w:t>
      </w:r>
      <w:r w:rsidDel="00000000" w:rsidR="00000000" w:rsidRPr="00000000">
        <w:rPr>
          <w:rtl w:val="0"/>
        </w:rPr>
      </w:r>
    </w:p>
    <w:p w:rsidR="00000000" w:rsidDel="00000000" w:rsidP="00000000" w:rsidRDefault="00000000" w:rsidRPr="00000000" w14:paraId="000001C8">
      <w:pPr>
        <w:tabs>
          <w:tab w:val="left" w:leader="none" w:pos="360"/>
        </w:tabs>
        <w:spacing w:after="120" w:lineRule="auto"/>
        <w:ind w:left="360" w:hanging="360"/>
        <w:rPr/>
      </w:pPr>
      <w:r w:rsidDel="00000000" w:rsidR="00000000" w:rsidRPr="00000000">
        <w:rPr>
          <w:rFonts w:ascii="Times New Roman" w:cs="Times New Roman" w:eastAsia="Times New Roman" w:hAnsi="Times New Roman"/>
          <w:color w:val="000000"/>
          <w:rtl w:val="0"/>
        </w:rPr>
        <w:t xml:space="preserve">6.</w:t>
        <w:tab/>
      </w:r>
      <w:r w:rsidDel="00000000" w:rsidR="00000000" w:rsidRPr="00000000">
        <w:rPr>
          <w:rFonts w:ascii="Times New Roman" w:cs="Times New Roman" w:eastAsia="Times New Roman" w:hAnsi="Times New Roman"/>
          <w:b w:val="1"/>
          <w:bCs w:val="1"/>
          <w:color w:val="000000"/>
          <w:rtl w:val="0"/>
        </w:rPr>
        <w:t xml:space="preserve">Institution &amp; Submission Date</w:t>
      </w:r>
      <w:r w:rsidDel="00000000" w:rsidR="00000000" w:rsidRPr="00000000">
        <w:rPr>
          <w:rFonts w:ascii="Times New Roman" w:cs="Times New Roman" w:eastAsia="Times New Roman" w:hAnsi="Times New Roman"/>
          <w:color w:val="000000"/>
          <w:rtl w:val="0"/>
        </w:rPr>
        <w:t xml:space="preserve"> – Institution name and formal document submission date for the title page, pending confirmation.</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SupplyTwinAI — Software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i w:val="0"/>
      <w:iCs w:val="0"/>
      <w:color w:val="000000"/>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i w:val="0"/>
      <w:iCs w:val="0"/>
      <w:color w:val="000000"/>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