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0000"/>
          <w:sz w:val="40"/>
          <w:szCs w:val="40"/>
        </w:rPr>
        <w:t xml:space="preserve">SupplyTwinGPT</w:t>
      </w:r>
    </w:p>
    <w:p>
      <w:pPr>
        <w:spacing w:after="60"/>
        <w:jc w:val="center"/>
      </w:pPr>
      <w:r>
        <w:rPr>
          <w:color w:val="000000"/>
          <w:sz w:val="24"/>
          <w:szCs w:val="24"/>
        </w:rPr>
        <w:t xml:space="preserve">An Agentic Supply Chain Digital Twin using GraphRAG and LangGraph</w:t>
      </w:r>
    </w:p>
    <w:p>
      <w:pPr>
        <w:spacing w:after="320"/>
        <w:jc w:val="center"/>
      </w:pPr>
      <w:r>
        <w:rPr>
          <w:color w:val="000000"/>
          <w:sz w:val="24"/>
          <w:szCs w:val="24"/>
        </w:rPr>
        <w:t xml:space="preserve">for Intelligent Risk Assessment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Project Reference Document  |  Team size: 3–4 members</w:t>
      </w:r>
    </w:p>
    <w:p>
      <w:pPr>
        <w:pStyle w:val="Heading1"/>
      </w:pPr>
      <w:r>
        <w:t xml:space="preserve">1. Dataset Sources</w:t>
      </w:r>
    </w:p>
    <w:p>
      <w:pPr>
        <w:spacing w:after="160"/>
      </w:pPr>
      <w:r>
        <w:rPr>
          <w:i w:val="false"/>
          <w:iCs w:val="false"/>
          <w:color w:val="000000"/>
          <w:sz w:val="22"/>
          <w:szCs w:val="22"/>
        </w:rPr>
        <w:t xml:space="preserve">SupplyTwinGPT draws on four categories of data: historical supply chain operations data (to build and validate the knowledge graph), real-time logistics and risk-event data, weather and port-disruption signals, and news or geopolitical event feeds. The table below lists publicly available datasets and APIs mapped to each agent in the architecture.</w:t>
      </w:r>
    </w:p>
    <w:p>
      <w:pPr>
        <w:pStyle w:val="Heading2"/>
      </w:pPr>
      <w:r>
        <w:t xml:space="preserve">1.1 Core Supply Chain &amp; Shipment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9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Used By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DataCo Smart Supply Chain Dataset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18,000+ orders, 50+ features covering shipping mode, delivery status, late-delivery risk, profit margin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Shipment Agent, Inventory Agent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kaggle.com/datasets/jolenechen/datacosupplychaindataset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Smart Logistics Supply Chain Dataset (2024)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GPS trajectories, shipment IDs, delivery timestamps, traffic indicators, delay labels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Shipment Agent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kaggle.com/datasets/ziya07/smart-logistics-supply-chain-dataset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Global Supply Chain Risk &amp; Logistics (2024-2026)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5,000 international shipment records: ports, transport mode, geopolitical risk score, carrier reliability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Supplier Agent, Risk Agent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kaggle.com/datasets/nudratabbas/global-supply-chain-risk-and-logistics-2024-2026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Logistics and Supply Chain Dataset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Route risk level, port congestion, supplier reliability score, disruption likelihood score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Supplier Agent, Risk Agent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kaggle.com/datasets/datasetengineer/logistics-and-supply-chain-dataset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 Supply Chain Risk Analysis Dataset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US-focused supplier and shipment risk indicators for benchmarking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Risk Agent (validation)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kaggle.com/datasets/yuanchunhong/us-supply-chain-risk-analysis-dataset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1.2 Weather &amp; Port Disruption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9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Used By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NOAA NCEI Climate Data 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Free, no-key access to daily weather observations from 100,000+ stations worldwide; used to flag weather-driven shipment risk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Weather Agent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ncei.noaa.gov/access/services/data/v1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Open-Meteo 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Free weather forecast and historical API, no API key required, easy to call from agents for route-level forecasts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Weather Agent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open-meteo.com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Marine Traffic / Port Congestion (sample data)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Port congestion levels, customs clearance times for major global ports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Shipment Agent, Risk Agent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kaggle.com/datasets/datasetengineer/logistics-and-supply-chain-dataset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1.3 News &amp; Geopolitical Risk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9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Used By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GDELT Project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Free global news/event database; structured event coding (CAMEO) across 100+ languages, useful for geopolitical risk scoring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News Agent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gdeltproject.org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NewsAPI.org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Aggregated headlines and articles from global news sources; free developer tier available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News Agent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newsapi.org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1.4 Knowledge Graph Construction References</w:t>
      </w:r>
    </w:p>
    <w:p>
      <w:pPr>
        <w:spacing w:after="160"/>
      </w:pPr>
      <w:r>
        <w:rPr>
          <w:i w:val="false"/>
          <w:iCs w:val="false"/>
          <w:color w:val="000000"/>
          <w:sz w:val="22"/>
          <w:szCs w:val="22"/>
        </w:rPr>
        <w:t xml:space="preserve">These are not raw datasets but reference papers and frameworks the team should review when designing the schema for the knowledge graph and GraphRAG retrieval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  <w:sz w:val="22"/>
          <w:szCs w:val="22"/>
        </w:rPr>
        <w:t xml:space="preserve">Base paper: Digital Twins of Supply Chains: A Systems Approach (IEEE Transactions on Engineering Management, 2024): </w:t>
      </w:r>
      <w:hyperlink w:history="1" r:id="rIdsryw6ajizwbjlqixnoxr9">
        <w:r>
          <w:rPr>
            <w:color w:val="1155CC"/>
            <w:sz w:val="22"/>
            <w:szCs w:val="22"/>
            <w:u w:val="single"/>
          </w:rPr>
          <w:t xml:space="preserve">https://www.mdpi.com/2305-6290/9/1/22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  <w:sz w:val="22"/>
          <w:szCs w:val="22"/>
        </w:rPr>
        <w:t xml:space="preserve">A Supply Chain Digital Twins Framework with Generative Knowledge Graph (IEEE Smart World Congress, 2024): </w:t>
      </w:r>
      <w:hyperlink w:history="1" r:id="rIdl77knyui5wv0f-yo8cqsa">
        <w:r>
          <w:rPr>
            <w:color w:val="1155CC"/>
            <w:sz w:val="22"/>
            <w:szCs w:val="22"/>
            <w:u w:val="single"/>
          </w:rPr>
          <w:t xml:space="preserve">https://ieeexplore.ieee.org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  <w:sz w:val="22"/>
          <w:szCs w:val="22"/>
        </w:rPr>
        <w:t xml:space="preserve">Neo4j GraphRAG documentation (for implementing the knowledge graph and retrieval layer): </w:t>
      </w:r>
      <w:hyperlink w:history="1" r:id="rIdsqujujepaj0sftpnkecfb">
        <w:r>
          <w:rPr>
            <w:color w:val="1155CC"/>
            <w:sz w:val="22"/>
            <w:szCs w:val="22"/>
            <w:u w:val="single"/>
          </w:rPr>
          <w:t xml:space="preserve">https://neo4j.com/labs/genai-ecosystem/graphrag/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  <w:sz w:val="22"/>
          <w:szCs w:val="22"/>
        </w:rPr>
        <w:t xml:space="preserve">LangGraph documentation (for multi-agent orchestration): </w:t>
      </w:r>
      <w:hyperlink w:history="1" r:id="rIdv1te3xsurg32xck1qofyl">
        <w:r>
          <w:rPr>
            <w:color w:val="1155CC"/>
            <w:sz w:val="22"/>
            <w:szCs w:val="22"/>
            <w:u w:val="single"/>
          </w:rPr>
          <w:t xml:space="preserve">https://langchain-ai.github.io/langgraph/</w:t>
        </w:r>
      </w:hyperlink>
    </w:p>
    <w:p>
      <w:pPr>
        <w:spacing w:after="0" w:before="120"/>
      </w:pPr>
      <w:r>
        <w:rPr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dataset links and access terms can change; verify availability and licensing on Kaggle/source sites before final submission.</w:t>
      </w:r>
    </w:p>
    <w:p>
      <w:r>
        <w:br w:type="page"/>
      </w:r>
    </w:p>
    <w:p>
      <w:pPr>
        <w:pStyle w:val="Heading1"/>
      </w:pPr>
      <w:r>
        <w:t xml:space="preserve">2. Architecture Diagram</w:t>
      </w:r>
    </w:p>
    <w:p>
      <w:pPr>
        <w:spacing w:after="160"/>
      </w:pPr>
      <w:r>
        <w:rPr>
          <w:i w:val="false"/>
          <w:iCs w:val="false"/>
          <w:color w:val="000000"/>
          <w:sz w:val="22"/>
          <w:szCs w:val="22"/>
        </w:rPr>
        <w:t xml:space="preserve">The system is organized into five layers: data ingestion, knowledge graph storage, GraphRAG retrieval, multi-agent orchestration via LangGraph, and persistent memory with mitigation planning. Data flows bottom-up from raw external sources to a synthesized risk dashboard.</w:t>
      </w:r>
    </w:p>
    <w:p>
      <w:pPr>
        <w:jc w:val="center"/>
      </w:pPr>
      <w:r>
        <w:drawing>
          <wp:inline distT="0" distB="0" distL="0" distR="0">
            <wp:extent cx="4572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i/>
          <w:iCs/>
          <w:color w:val="555555"/>
          <w:sz w:val="20"/>
          <w:szCs w:val="20"/>
        </w:rPr>
        <w:t xml:space="preserve">Figure 1. SupplyTwinGPT system architecture</w:t>
      </w:r>
    </w:p>
    <w:p>
      <w:pPr>
        <w:pStyle w:val="Heading2"/>
      </w:pPr>
      <w:r>
        <w:t xml:space="preserve">2.1 Layer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Data Ingestion &amp; Fusion Layer: connectors and scheduled ETL jobs pull data from supplier/shipment systems, weather APIs, news feeds, and inventory systems, normalizing them into a common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Dynamic Knowledge Graph: stores entities (suppliers, shipments, warehouses, routes, geopolitical nodes) and their relationships, supporting multi-hop queries (e.g., "which shipments depend on a supplier in a flagged region").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GraphRAG Retrieval Engine: retrieves relevant, evidence-backed subgraphs for any query, grounding agent reasoning in current graph state rather than static LLM knowledge.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LangGraph Multi-Agent Orchestration: six specialized agents (Supplier, Shipment, Weather, News, Inventory, Risk) run as nodes in a stateful LangGraph workflow; the Risk Agent synthesizes outputs from the other five.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Persistent Memory &amp; Mitigation Planning: stores historical disruption patterns and supplier reliability across sessions, enabling the Risk Agent to propose ranked mitigation strategies (supplier switching, inventory pre-positioning, route diversification).</w:t>
      </w:r>
    </w:p>
    <w:p>
      <w:r>
        <w:br w:type="page"/>
      </w:r>
    </w:p>
    <w:p>
      <w:pPr>
        <w:pStyle w:val="Heading1"/>
      </w:pPr>
      <w:r>
        <w:t xml:space="preserve">3. Existing System and Proposed System</w:t>
      </w:r>
    </w:p>
    <w:p>
      <w:pPr>
        <w:pStyle w:val="Heading2"/>
      </w:pPr>
      <w:r>
        <w:t xml:space="preserve">3.1 Existing System</w:t>
      </w:r>
    </w:p>
    <w:p>
      <w:pPr>
        <w:spacing w:after="160"/>
      </w:pPr>
      <w:r>
        <w:rPr>
          <w:i w:val="false"/>
          <w:iCs w:val="false"/>
          <w:color w:val="000000"/>
          <w:sz w:val="22"/>
          <w:szCs w:val="22"/>
        </w:rPr>
        <w:t xml:space="preserve">Most current supply chain digital twins, including the system described in the base paper (Digital Twins of Supply Chains: A Systems Approach, IEEE TEM 2024), focus on four capabilities: visibility, monitoring, simulation, and decision support. These systems are largely: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Reactive: they surface disruptions only after they are reported in source systems, rather than anticipating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Simulation-centric: scenario testing relies on manually configured what-if simulations rather than continuously updated reasoning.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Static-knowledge dependent: risk assessment logic is rule-based or relies on LLMs without grounding in live, structured data, leading to stale or hallucinated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Siloed: weather, news, supplier, and inventory signals are typically monitored in separate dashboards with no automated cross-domain correlation.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Without autonomous planning: the base paper explicitly notes the absence of autonomous reasoning, external knowledge retrieval, and proactive risk intelligence — mitigation actions are decided manually by human planners.</w:t>
      </w:r>
    </w:p>
    <w:p>
      <w:pPr>
        <w:pStyle w:val="Heading2"/>
      </w:pPr>
      <w:r>
        <w:t xml:space="preserve">3.2 Proposed System</w:t>
      </w:r>
    </w:p>
    <w:p>
      <w:pPr>
        <w:spacing w:after="160"/>
      </w:pPr>
      <w:r>
        <w:rPr>
          <w:i w:val="false"/>
          <w:iCs w:val="false"/>
          <w:color w:val="000000"/>
          <w:sz w:val="22"/>
          <w:szCs w:val="22"/>
        </w:rPr>
        <w:t xml:space="preserve">SupplyTwinGPT evolves this passive monitoring infrastructure into a proactive, reasoning-capable intelligent system by adding four contributions on top of a standard digital twin: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 dynamic knowledge graph that enables structured multi-hop reasoning across supplier tiers, commodities, and geography.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 GraphRAG engine that grounds every risk assessment in continuously updated, evidence-backed subgraph retrievals, reducing hallucination and stale-knowledge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 LangGraph-powered multi-agent layer of six specialized agents that collaborate through stateful workflows to produce holistic, cross-domain risk assessments.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 persistent memory and autonomous mitigation planning module that learns from historical disruptions and proposes ranked mitigation strategies within 90 seconds of detection.</w:t>
      </w:r>
    </w:p>
    <w:p>
      <w:pPr>
        <w:spacing w:after="160"/>
      </w:pPr>
      <w:r>
        <w:rPr>
          <w:i w:val="false"/>
          <w:iCs w:val="false"/>
          <w:color w:val="000000"/>
          <w:sz w:val="22"/>
          <w:szCs w:val="22"/>
        </w:rPr>
        <w:t xml:space="preserve">Reported improvements over simulation-based baselines (per the project abstract) include a 34% reduction in mean disruption detection latency and a 41% improvement in risk assessment accuracy, with proactive risk detection up to 72 hours ahead of realized disruptions.</w:t>
      </w:r>
    </w:p>
    <w:p>
      <w:pPr>
        <w:pStyle w:val="Heading2"/>
      </w:pPr>
      <w:r>
        <w:t xml:space="preserve">3.3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Aspect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Existing System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Proposed System (SupplyTwinGPT)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Reasoning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Rule-based or manual analysis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Multi-agent reasoning via LangGraph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Knowledge grounding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Static rules / unstructured data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Dynamic knowledge graph + GraphRAG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Risk detection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Reactive, after disruption is reported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Proactive, up to 72 hours ahead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Mitigation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Manual planning by human analysts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Autonomous, ranked mitigation plans (within 90 sec)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Learning over time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Limited or none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Persistent memory of disruptions and supplier reliability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 sources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Siloed dashboards per domain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Unified ingestion: supplier, weather, news, inventory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Project Roadmap</w:t>
      </w:r>
    </w:p>
    <w:p>
      <w:pPr>
        <w:spacing w:after="160"/>
      </w:pPr>
      <w:r>
        <w:rPr>
          <w:i w:val="false"/>
          <w:iCs w:val="false"/>
          <w:color w:val="000000"/>
          <w:sz w:val="22"/>
          <w:szCs w:val="22"/>
        </w:rPr>
        <w:t xml:space="preserve">The roadmap below assumes a team of 3–4 members working roughly 8–10 hours per week per person (collectively 25–35 person-hours per week), across a 14-week timeline typical of a final-year / capstone project. Adjust durations if your institution's timeline is shorter or longer.</w:t>
      </w:r>
    </w:p>
    <w:p>
      <w:pPr>
        <w:pStyle w:val="Heading2"/>
      </w:pPr>
      <w:r>
        <w:t xml:space="preserve">4.1 Phase-wise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7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Week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Key Activities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Owner(s)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1–2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Research &amp; Setup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Literature review of base paper and supporting references; finalize tech stack (LangGraph, GraphRAG engine, graph DB); set up repo, dev environment, and project tracker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Whole team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3–4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Dataset Preparation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Collect and clean datasets (Section 1); design knowledge graph schema (entities, relationships); set up NOAA/GDELT API access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 members on data, 1–2 on schema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5–6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Knowledge Graph Build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Load entities/relationships into graph DB; build ingestion scripts for supplier, shipment, and inventory data; validate multi-hop queries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 members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7–8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GraphRAG Integration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Implement subgraph retrieval pipeline; connect retrieval to an LLM for grounded Q&amp;A; test against hallucination/staleness cases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 members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9–10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Multi-Agent Layer (LangGraph)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Build Supplier, Shipment, Weather, News, and Inventory agents as LangGraph nodes; wire shared state and message passing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Split agents across 3–4 members (1–2 agents each)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Risk Agent &amp; Synthesis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Build Risk Agent to synthesize other agents' outputs; implement basic mitigation ranking logic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 members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Persistent Memory Module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Add session-persistent storage for disruption history and supplier reliability scores; wire into Risk Agent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1–2 members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Dashboard &amp; Evaluation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Build risk dashboard/UI for alerts and mitigation plans; run evaluation across pharma, semiconductor, and FMCG scenarios; measure detection latency and accuracy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Whole team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Documentation &amp; Submission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Final testing, bug fixes, report writing, slide deck, demo rehearsal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Whole team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4.2 Suggested Weekly Effort Split (3–4 members, ~8–10 hrs/week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Role Focus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Typical Weekly Tasks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 &amp; Knowledge Graph Lead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Dataset sourcing/cleaning, schema design, graph DB maintenance, GraphRAG retrieval tuning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Agent Development Lead(s)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Build and test 2–3 LangGraph agents (e.g., Supplier + Shipment, or Weather + News), integrate with knowledge graph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Risk Logic &amp; Memory Lead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Risk Agent synthesis logic, mitigation ranking rules, persistent memory schema and storage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Integration &amp; Dashboard Lead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End-to-end pipeline wiring, dashboard UI, evaluation scripts, documentation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 w:val="false"/>
          <w:iCs w:val="false"/>
          <w:color w:val="000000"/>
          <w:sz w:val="22"/>
          <w:szCs w:val="22"/>
        </w:rPr>
        <w:t xml:space="preserve">For a 3-member team, combine the Risk Logic/Memory role with either the Data/Knowledge Graph role or the Integration/Dashboard role, depending on individual strengths.</w:t>
      </w:r>
    </w:p>
    <w:p>
      <w:pPr>
        <w:pStyle w:val="Heading2"/>
      </w:pPr>
      <w:r>
        <w:t xml:space="preserve">4.3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End of Week 4: Cleaned datasets + knowledge graph schema finalized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End of Week 8: Working GraphRAG retrieval pipeline returning grounded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End of Week 11: All six agents operational within a single LangGraph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End of Week 13: End-to-end demo with dashboard, evaluated on 3 supply chain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End of Week 14: Final report, slides, and demo ready for submission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8" w:space="4"/>
      </w:pBdr>
      <w:spacing w:after="20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ryw6ajizwbjlqixnoxr9" Type="http://schemas.openxmlformats.org/officeDocument/2006/relationships/hyperlink" Target="https://www.mdpi.com/2305-6290/9/1/22" TargetMode="External"/><Relationship Id="rIdl77knyui5wv0f-yo8cqsa" Type="http://schemas.openxmlformats.org/officeDocument/2006/relationships/hyperlink" Target="https://ieeexplore.ieee.org" TargetMode="External"/><Relationship Id="rIdsqujujepaj0sftpnkecfb" Type="http://schemas.openxmlformats.org/officeDocument/2006/relationships/hyperlink" Target="https://neo4j.com/labs/genai-ecosystem/graphrag/" TargetMode="External"/><Relationship Id="rIdv1te3xsurg32xck1qofyl" Type="http://schemas.openxmlformats.org/officeDocument/2006/relationships/hyperlink" Target="https://langchain-ai.github.io/langgraph/" TargetMode="External"/><Relationship Id="rId7" Type="http://schemas.openxmlformats.org/officeDocument/2006/relationships/image" Target="media/6c863dae7f7598e676402ae9305e9a587ce8dbe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2026-06-19T11:24:57.017Z</dcterms:created>
  <dcterms:modified xsi:type="dcterms:W3CDTF">2026-06-19T11:24:57.017Z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