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 Camino - FITUR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Stand Junta de Castilla y León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Instalación de luz láser que traza un recorrido arquitectónico por las Iglesias del Camino de Santiago francés.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Burgos: San Juan de Ortega, Catedral de Burgos, Colegiata de Santa María del Manzano en Castrojeriz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Palencia: San Martín de Frómista, Iglesia de Santiago en Carrión de los Condes, Iglesia de Santa María la Blanca en Villalcázar de Sirga.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León: Iglesia de San Tirso en Sahagún, Catedral de León , Catedral de Astorga, Iglesia de Santiago en Villafranca del Bierzo (Puerta del Perdón)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Dirigida y realizada por Lluís Campmajó para la Junta de Castilla y León con motivo de la Feria de turismo FITUR de Madrid y la Feria INTUR de Valladolid.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https://youtu.be/r-eBG2UT3lQ?si=SbkzMDWt0ubjWLqc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-eBG2UT3lQ?si=SbkzMDWt0ubjWL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