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2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H ANNANDALE</w:t>
            </w:r>
          </w:p>
          <w:p>
            <w:pPr>
              <w:spacing w:after="150" w:before="0" w:line="240"/>
            </w:pPr>
            <w:r>
              <w:rPr>
                <w:rFonts w:ascii="Arial" w:cs="Arial" w:eastAsia="Arial" w:hAnsi="Arial"/>
                <w:color w:val="B58C4B"/>
                <w:spacing w:val="80"/>
                <w:sz w:val="11"/>
                <w:szCs w:val="11"/>
              </w:rPr>
              <w:t xml:space="preserve">ATTORNEYS INC.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59 Bolo Street, Moreleta Park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0181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VAT reg.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[if registered]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[Company / VAT reg. no.]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300"/>
        <w:gridCol w:w="49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Terms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1.  This invoice is payable on presentation unless otherwise agreed in writing.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2.  Third-party registration and subscription costs are recovered at cost; supporting invoices are available on request.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3.  Any query on this account must be raised within 30 days of the date of invoice.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4.  Ownership of any design work supplied passes to the client on receipt of payment in full.</w:t>
            </w:r>
          </w:p>
        </w:tc>
      </w:tr>
    </w:tbl>
    <w:p>
      <w:pPr>
        <w:spacing w:after="2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H Annandale Attorneys Inc.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Reg. no. </w:t>
      </w:r>
      <w:r>
        <w:rPr>
          <w:rFonts w:ascii="Arial" w:cs="Arial" w:eastAsia="Arial" w:hAnsi="Arial"/>
          <w:i/>
          <w:iCs/>
          <w:color w:val="9AA6B6"/>
          <w:sz w:val="13"/>
          <w:szCs w:val="13"/>
        </w:rPr>
        <w:t xml:space="preserve">[Company reg. no.]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59 Bolo Street, Moreleta Park, Pretoria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2026-08-21T05:53:48.493Z</dcterms:created>
  <dcterms:modified xsi:type="dcterms:W3CDTF">2026-08-21T05:53:48.493Z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